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2"/>
        <w:spacing w:after="0"/>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150495</wp:posOffset>
            </wp:positionH>
            <wp:positionV relativeFrom="page">
              <wp:posOffset>158115</wp:posOffset>
            </wp:positionV>
            <wp:extent cx="726122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1225" cy="7620"/>
                    </a:xfrm>
                    <a:prstGeom prst="rect">
                      <a:avLst/>
                    </a:prstGeom>
                    <a:noFill/>
                  </pic:spPr>
                </pic:pic>
              </a:graphicData>
            </a:graphic>
          </wp:anchor>
        </w:drawing>
        <w:drawing>
          <wp:anchor simplePos="0" relativeHeight="251657728" behindDoc="1" locked="0" layoutInCell="0" allowOverlap="1">
            <wp:simplePos x="0" y="0"/>
            <wp:positionH relativeFrom="page">
              <wp:posOffset>150495</wp:posOffset>
            </wp:positionH>
            <wp:positionV relativeFrom="page">
              <wp:posOffset>173355</wp:posOffset>
            </wp:positionV>
            <wp:extent cx="726122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1225" cy="7620"/>
                    </a:xfrm>
                    <a:prstGeom prst="rect">
                      <a:avLst/>
                    </a:prstGeom>
                    <a:noFill/>
                  </pic:spPr>
                </pic:pic>
              </a:graphicData>
            </a:graphic>
          </wp:anchor>
        </w:drawing>
        <w:drawing>
          <wp:anchor simplePos="0" relativeHeight="251657728" behindDoc="1" locked="0" layoutInCell="0" allowOverlap="1">
            <wp:simplePos x="0" y="0"/>
            <wp:positionH relativeFrom="page">
              <wp:posOffset>150495</wp:posOffset>
            </wp:positionH>
            <wp:positionV relativeFrom="page">
              <wp:posOffset>188595</wp:posOffset>
            </wp:positionV>
            <wp:extent cx="726122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1225" cy="7620"/>
                    </a:xfrm>
                    <a:prstGeom prst="rect">
                      <a:avLst/>
                    </a:prstGeom>
                    <a:noFill/>
                  </pic:spPr>
                </pic:pic>
              </a:graphicData>
            </a:graphic>
          </wp:anchor>
        </w:drawing>
        <w:drawing>
          <wp:anchor simplePos="0" relativeHeight="251657728" behindDoc="1" locked="0" layoutInCell="0" allowOverlap="1">
            <wp:simplePos x="0" y="0"/>
            <wp:positionH relativeFrom="page">
              <wp:posOffset>150495</wp:posOffset>
            </wp:positionH>
            <wp:positionV relativeFrom="page">
              <wp:posOffset>203835</wp:posOffset>
            </wp:positionV>
            <wp:extent cx="726122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1225" cy="7620"/>
                    </a:xfrm>
                    <a:prstGeom prst="rect">
                      <a:avLst/>
                    </a:prstGeom>
                    <a:noFill/>
                  </pic:spPr>
                </pic:pic>
              </a:graphicData>
            </a:graphic>
          </wp:anchor>
        </w:drawing>
        <w:t>SECURITIES AND EXCHANGE COMMISSION</w:t>
      </w:r>
    </w:p>
    <w:p>
      <w:pPr>
        <w:spacing w:after="0" w:line="20" w:lineRule="exact"/>
        <w:rPr>
          <w:sz w:val="24"/>
          <w:szCs w:val="24"/>
          <w:color w:val="auto"/>
        </w:rPr>
      </w:pPr>
    </w:p>
    <w:p>
      <w:pPr>
        <w:jc w:val="center"/>
        <w:ind w:right="-62"/>
        <w:spacing w:after="0"/>
        <w:rPr>
          <w:sz w:val="20"/>
          <w:szCs w:val="20"/>
          <w:color w:val="auto"/>
        </w:rPr>
      </w:pPr>
      <w:r>
        <w:rPr>
          <w:rFonts w:ascii="Arial" w:cs="Arial" w:eastAsia="Arial" w:hAnsi="Arial"/>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2901315</wp:posOffset>
            </wp:positionH>
            <wp:positionV relativeFrom="paragraph">
              <wp:posOffset>62865</wp:posOffset>
            </wp:positionV>
            <wp:extent cx="145859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58595" cy="7620"/>
                    </a:xfrm>
                    <a:prstGeom prst="rect">
                      <a:avLst/>
                    </a:prstGeom>
                    <a:noFill/>
                  </pic:spPr>
                </pic:pic>
              </a:graphicData>
            </a:graphic>
          </wp:anchor>
        </w:drawing>
      </w:r>
    </w:p>
    <w:p>
      <w:pPr>
        <w:spacing w:after="0" w:line="130" w:lineRule="exact"/>
        <w:rPr>
          <w:sz w:val="24"/>
          <w:szCs w:val="24"/>
          <w:color w:val="auto"/>
        </w:rPr>
      </w:pPr>
    </w:p>
    <w:p>
      <w:pPr>
        <w:jc w:val="center"/>
        <w:ind w:right="-62"/>
        <w:spacing w:after="0"/>
        <w:rPr>
          <w:sz w:val="20"/>
          <w:szCs w:val="20"/>
          <w:color w:val="auto"/>
        </w:rPr>
      </w:pPr>
      <w:r>
        <w:rPr>
          <w:rFonts w:ascii="Arial" w:cs="Arial" w:eastAsia="Arial" w:hAnsi="Arial"/>
          <w:sz w:val="23"/>
          <w:szCs w:val="23"/>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2901315</wp:posOffset>
            </wp:positionH>
            <wp:positionV relativeFrom="paragraph">
              <wp:posOffset>68580</wp:posOffset>
            </wp:positionV>
            <wp:extent cx="145859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58595" cy="7620"/>
                    </a:xfrm>
                    <a:prstGeom prst="rect">
                      <a:avLst/>
                    </a:prstGeom>
                    <a:noFill/>
                  </pic:spPr>
                </pic:pic>
              </a:graphicData>
            </a:graphic>
          </wp:anchor>
        </w:drawing>
      </w:r>
    </w:p>
    <w:p>
      <w:pPr>
        <w:spacing w:after="0" w:line="159" w:lineRule="exact"/>
        <w:rPr>
          <w:sz w:val="24"/>
          <w:szCs w:val="24"/>
          <w:color w:val="auto"/>
        </w:rPr>
      </w:pPr>
    </w:p>
    <w:p>
      <w:pPr>
        <w:ind w:left="743" w:hanging="743"/>
        <w:spacing w:after="0"/>
        <w:tabs>
          <w:tab w:leader="none" w:pos="743" w:val="left"/>
        </w:tabs>
        <w:numPr>
          <w:ilvl w:val="0"/>
          <w:numId w:val="1"/>
        </w:numPr>
        <w:rPr>
          <w:rFonts w:ascii="MS PGothic" w:cs="MS PGothic" w:eastAsia="MS PGothic" w:hAnsi="MS PGothic"/>
          <w:sz w:val="19"/>
          <w:szCs w:val="19"/>
          <w:color w:val="auto"/>
          <w:highlight w:val="black"/>
        </w:rPr>
      </w:pPr>
      <w:r>
        <w:rPr>
          <w:rFonts w:ascii="Arial" w:cs="Arial" w:eastAsia="Arial" w:hAnsi="Arial"/>
          <w:sz w:val="19"/>
          <w:szCs w:val="19"/>
          <w:b w:val="1"/>
          <w:bCs w:val="1"/>
          <w:color w:val="auto"/>
        </w:rPr>
        <w:t>Annual report pursuant to Section 13 or 15(d) of the Securities Exchange Act of 1934</w:t>
      </w:r>
    </w:p>
    <w:p>
      <w:pPr>
        <w:spacing w:after="0" w:line="68" w:lineRule="exact"/>
        <w:rPr>
          <w:sz w:val="24"/>
          <w:szCs w:val="24"/>
          <w:color w:val="auto"/>
        </w:rPr>
      </w:pPr>
    </w:p>
    <w:p>
      <w:pPr>
        <w:jc w:val="center"/>
        <w:ind w:right="-62"/>
        <w:spacing w:after="0"/>
        <w:rPr>
          <w:sz w:val="20"/>
          <w:szCs w:val="20"/>
          <w:color w:val="auto"/>
        </w:rPr>
      </w:pPr>
      <w:r>
        <w:rPr>
          <w:rFonts w:ascii="Arial" w:cs="Arial" w:eastAsia="Arial" w:hAnsi="Arial"/>
          <w:sz w:val="16"/>
          <w:szCs w:val="16"/>
          <w:b w:val="1"/>
          <w:bCs w:val="1"/>
          <w:color w:val="auto"/>
        </w:rPr>
        <w:t>For the year ended December 31, 2017 or</w:t>
      </w:r>
    </w:p>
    <w:p>
      <w:pPr>
        <w:spacing w:after="0" w:line="73" w:lineRule="exact"/>
        <w:rPr>
          <w:sz w:val="24"/>
          <w:szCs w:val="24"/>
          <w:color w:val="auto"/>
        </w:rPr>
      </w:pPr>
    </w:p>
    <w:p>
      <w:pPr>
        <w:ind w:left="743" w:hanging="743"/>
        <w:spacing w:after="0"/>
        <w:tabs>
          <w:tab w:leader="none" w:pos="743" w:val="left"/>
        </w:tabs>
        <w:numPr>
          <w:ilvl w:val="0"/>
          <w:numId w:val="2"/>
        </w:numPr>
        <w:rPr>
          <w:rFonts w:ascii="MS PGothic" w:cs="MS PGothic" w:eastAsia="MS PGothic" w:hAnsi="MS PGothic"/>
          <w:sz w:val="19"/>
          <w:szCs w:val="19"/>
          <w:color w:val="auto"/>
          <w:highlight w:val="black"/>
        </w:rPr>
      </w:pPr>
      <w:r>
        <w:rPr>
          <w:rFonts w:ascii="Arial" w:cs="Arial" w:eastAsia="Arial" w:hAnsi="Arial"/>
          <w:sz w:val="19"/>
          <w:szCs w:val="19"/>
          <w:b w:val="1"/>
          <w:bCs w:val="1"/>
          <w:color w:val="auto"/>
        </w:rPr>
        <w:t>Transition report pursuant to Section 13 or 15(d) of the Securities Exchange Act of 1934</w:t>
      </w:r>
    </w:p>
    <w:p>
      <w:pPr>
        <w:spacing w:after="0" w:line="80" w:lineRule="exact"/>
        <w:rPr>
          <w:sz w:val="24"/>
          <w:szCs w:val="24"/>
          <w:color w:val="auto"/>
        </w:rPr>
      </w:pPr>
    </w:p>
    <w:p>
      <w:pPr>
        <w:ind w:left="4163"/>
        <w:spacing w:after="0"/>
        <w:rPr>
          <w:sz w:val="20"/>
          <w:szCs w:val="20"/>
          <w:color w:val="auto"/>
        </w:rPr>
      </w:pPr>
      <w:r>
        <w:rPr>
          <w:rFonts w:ascii="Arial" w:cs="Arial" w:eastAsia="Arial" w:hAnsi="Arial"/>
          <w:sz w:val="16"/>
          <w:szCs w:val="16"/>
          <w:b w:val="1"/>
          <w:bCs w:val="1"/>
          <w:color w:val="auto"/>
        </w:rPr>
        <w:t>For the transition period from _____ to_____</w:t>
      </w:r>
    </w:p>
    <w:p>
      <w:pPr>
        <w:spacing w:after="0" w:line="70" w:lineRule="exact"/>
        <w:rPr>
          <w:sz w:val="24"/>
          <w:szCs w:val="24"/>
          <w:color w:val="auto"/>
        </w:rPr>
      </w:pPr>
    </w:p>
    <w:p>
      <w:pPr>
        <w:jc w:val="center"/>
        <w:ind w:right="-62"/>
        <w:spacing w:after="0"/>
        <w:rPr>
          <w:sz w:val="20"/>
          <w:szCs w:val="20"/>
          <w:color w:val="auto"/>
        </w:rPr>
      </w:pPr>
      <w:r>
        <w:rPr>
          <w:rFonts w:ascii="Arial" w:cs="Arial" w:eastAsia="Arial" w:hAnsi="Arial"/>
          <w:sz w:val="16"/>
          <w:szCs w:val="16"/>
          <w:b w:val="1"/>
          <w:bCs w:val="1"/>
          <w:color w:val="auto"/>
        </w:rPr>
        <w:t>Commission File Number 1-87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2901315</wp:posOffset>
            </wp:positionH>
            <wp:positionV relativeFrom="paragraph">
              <wp:posOffset>70485</wp:posOffset>
            </wp:positionV>
            <wp:extent cx="145859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58595" cy="7620"/>
                    </a:xfrm>
                    <a:prstGeom prst="rect">
                      <a:avLst/>
                    </a:prstGeom>
                    <a:noFill/>
                  </pic:spPr>
                </pic:pic>
              </a:graphicData>
            </a:graphic>
          </wp:anchor>
        </w:drawing>
      </w:r>
    </w:p>
    <w:p>
      <w:pPr>
        <w:spacing w:after="0" w:line="145" w:lineRule="exact"/>
        <w:rPr>
          <w:sz w:val="24"/>
          <w:szCs w:val="24"/>
          <w:color w:val="auto"/>
        </w:rPr>
      </w:pPr>
    </w:p>
    <w:p>
      <w:pPr>
        <w:jc w:val="center"/>
        <w:ind w:right="-62"/>
        <w:spacing w:after="0"/>
        <w:rPr>
          <w:sz w:val="20"/>
          <w:szCs w:val="20"/>
          <w:color w:val="auto"/>
        </w:rPr>
      </w:pPr>
      <w:r>
        <w:rPr>
          <w:rFonts w:ascii="Arial" w:cs="Arial" w:eastAsia="Arial" w:hAnsi="Arial"/>
          <w:sz w:val="26"/>
          <w:szCs w:val="26"/>
          <w:b w:val="1"/>
          <w:bCs w:val="1"/>
          <w:color w:val="auto"/>
        </w:rPr>
        <w:t>EASTMAN KODAK COMPANY</w:t>
      </w:r>
    </w:p>
    <w:p>
      <w:pPr>
        <w:spacing w:after="0" w:line="35" w:lineRule="exact"/>
        <w:rPr>
          <w:sz w:val="24"/>
          <w:szCs w:val="24"/>
          <w:color w:val="auto"/>
        </w:rPr>
      </w:pPr>
    </w:p>
    <w:p>
      <w:pPr>
        <w:jc w:val="center"/>
        <w:ind w:right="-62"/>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2901315</wp:posOffset>
            </wp:positionH>
            <wp:positionV relativeFrom="paragraph">
              <wp:posOffset>59055</wp:posOffset>
            </wp:positionV>
            <wp:extent cx="145859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58595" cy="7620"/>
                    </a:xfrm>
                    <a:prstGeom prst="rect">
                      <a:avLst/>
                    </a:prstGeom>
                    <a:noFill/>
                  </pic:spPr>
                </pic:pic>
              </a:graphicData>
            </a:graphic>
          </wp:anchor>
        </w:drawing>
      </w:r>
    </w:p>
    <w:p>
      <w:pPr>
        <w:spacing w:after="0" w:line="129" w:lineRule="exact"/>
        <w:rPr>
          <w:sz w:val="24"/>
          <w:szCs w:val="24"/>
          <w:color w:val="auto"/>
        </w:rPr>
      </w:pPr>
    </w:p>
    <w:tbl>
      <w:tblPr>
        <w:tblLayout w:type="fixed"/>
        <w:tblInd w:w="3" w:type="dxa"/>
        <w:tblCellMar>
          <w:top w:w="0" w:type="dxa"/>
          <w:left w:w="0" w:type="dxa"/>
          <w:bottom w:w="0" w:type="dxa"/>
          <w:right w:w="0" w:type="dxa"/>
        </w:tblCellMar>
      </w:tblPr>
      <w:tr>
        <w:trPr>
          <w:trHeight w:val="190"/>
        </w:trPr>
        <w:tc>
          <w:tcPr>
            <w:tcW w:w="6860" w:type="dxa"/>
            <w:vAlign w:val="bottom"/>
            <w:gridSpan w:val="4"/>
          </w:tcPr>
          <w:p>
            <w:pPr>
              <w:jc w:val="center"/>
              <w:ind w:right="1380"/>
              <w:spacing w:after="0"/>
              <w:rPr>
                <w:sz w:val="20"/>
                <w:szCs w:val="20"/>
                <w:color w:val="auto"/>
              </w:rPr>
            </w:pPr>
            <w:r>
              <w:rPr>
                <w:rFonts w:ascii="Arial" w:cs="Arial" w:eastAsia="Arial" w:hAnsi="Arial"/>
                <w:sz w:val="16"/>
                <w:szCs w:val="16"/>
                <w:b w:val="1"/>
                <w:bCs w:val="1"/>
                <w:color w:val="auto"/>
                <w:w w:val="99"/>
              </w:rPr>
              <w:t>NEW JERSEY</w:t>
            </w: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60" w:type="dxa"/>
            <w:vAlign w:val="bottom"/>
            <w:gridSpan w:val="2"/>
          </w:tcPr>
          <w:p>
            <w:pPr>
              <w:jc w:val="right"/>
              <w:ind w:right="839"/>
              <w:spacing w:after="0"/>
              <w:rPr>
                <w:sz w:val="20"/>
                <w:szCs w:val="20"/>
                <w:color w:val="auto"/>
              </w:rPr>
            </w:pPr>
            <w:r>
              <w:rPr>
                <w:rFonts w:ascii="Arial" w:cs="Arial" w:eastAsia="Arial" w:hAnsi="Arial"/>
                <w:sz w:val="16"/>
                <w:szCs w:val="16"/>
                <w:b w:val="1"/>
                <w:bCs w:val="1"/>
                <w:color w:val="auto"/>
              </w:rPr>
              <w:t>16-0417150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6860" w:type="dxa"/>
            <w:vAlign w:val="bottom"/>
            <w:gridSpan w:val="4"/>
          </w:tcPr>
          <w:p>
            <w:pPr>
              <w:jc w:val="center"/>
              <w:ind w:right="1380"/>
              <w:spacing w:after="0"/>
              <w:rPr>
                <w:sz w:val="20"/>
                <w:szCs w:val="20"/>
                <w:color w:val="auto"/>
              </w:rPr>
            </w:pPr>
            <w:r>
              <w:rPr>
                <w:rFonts w:ascii="Arial" w:cs="Arial" w:eastAsia="Arial" w:hAnsi="Arial"/>
                <w:sz w:val="13"/>
                <w:szCs w:val="13"/>
                <w:b w:val="1"/>
                <w:bCs w:val="1"/>
                <w:color w:val="auto"/>
                <w:w w:val="89"/>
              </w:rPr>
              <w:t>(State of incorporation)</w:t>
            </w:r>
          </w:p>
        </w:tc>
        <w:tc>
          <w:tcPr>
            <w:tcW w:w="520" w:type="dxa"/>
            <w:vAlign w:val="bottom"/>
          </w:tcPr>
          <w:p>
            <w:pPr>
              <w:spacing w:after="0"/>
              <w:rPr>
                <w:sz w:val="14"/>
                <w:szCs w:val="14"/>
                <w:color w:val="auto"/>
              </w:rPr>
            </w:pPr>
          </w:p>
        </w:tc>
        <w:tc>
          <w:tcPr>
            <w:tcW w:w="2400" w:type="dxa"/>
            <w:vAlign w:val="bottom"/>
            <w:gridSpan w:val="4"/>
          </w:tcPr>
          <w:p>
            <w:pPr>
              <w:ind w:left="140"/>
              <w:spacing w:after="0"/>
              <w:rPr>
                <w:sz w:val="20"/>
                <w:szCs w:val="20"/>
                <w:color w:val="auto"/>
              </w:rPr>
            </w:pPr>
            <w:r>
              <w:rPr>
                <w:rFonts w:ascii="Arial" w:cs="Arial" w:eastAsia="Arial" w:hAnsi="Arial"/>
                <w:sz w:val="13"/>
                <w:szCs w:val="13"/>
                <w:b w:val="1"/>
                <w:bCs w:val="1"/>
                <w:color w:val="auto"/>
              </w:rPr>
              <w:t>(IRS Employer Identification No.)</w:t>
            </w:r>
          </w:p>
        </w:tc>
        <w:tc>
          <w:tcPr>
            <w:tcW w:w="0" w:type="dxa"/>
            <w:vAlign w:val="bottom"/>
          </w:tcPr>
          <w:p>
            <w:pPr>
              <w:spacing w:after="0"/>
              <w:rPr>
                <w:sz w:val="1"/>
                <w:szCs w:val="1"/>
                <w:color w:val="auto"/>
              </w:rPr>
            </w:pPr>
          </w:p>
        </w:tc>
      </w:tr>
      <w:tr>
        <w:trPr>
          <w:trHeight w:val="232"/>
        </w:trPr>
        <w:tc>
          <w:tcPr>
            <w:tcW w:w="6860" w:type="dxa"/>
            <w:vAlign w:val="bottom"/>
            <w:gridSpan w:val="4"/>
          </w:tcPr>
          <w:p>
            <w:pPr>
              <w:jc w:val="center"/>
              <w:ind w:right="1380"/>
              <w:spacing w:after="0"/>
              <w:rPr>
                <w:sz w:val="20"/>
                <w:szCs w:val="20"/>
                <w:color w:val="auto"/>
              </w:rPr>
            </w:pPr>
            <w:r>
              <w:rPr>
                <w:rFonts w:ascii="Arial" w:cs="Arial" w:eastAsia="Arial" w:hAnsi="Arial"/>
                <w:sz w:val="16"/>
                <w:szCs w:val="16"/>
                <w:b w:val="1"/>
                <w:bCs w:val="1"/>
                <w:color w:val="auto"/>
                <w:w w:val="98"/>
              </w:rPr>
              <w:t>343 STATE STREET, ROCHESTER, NEW YORK</w:t>
            </w: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60" w:type="dxa"/>
            <w:vAlign w:val="bottom"/>
            <w:gridSpan w:val="2"/>
          </w:tcPr>
          <w:p>
            <w:pPr>
              <w:jc w:val="right"/>
              <w:ind w:right="1019"/>
              <w:spacing w:after="0"/>
              <w:rPr>
                <w:sz w:val="20"/>
                <w:szCs w:val="20"/>
                <w:color w:val="auto"/>
              </w:rPr>
            </w:pPr>
            <w:r>
              <w:rPr>
                <w:rFonts w:ascii="Arial" w:cs="Arial" w:eastAsia="Arial" w:hAnsi="Arial"/>
                <w:sz w:val="16"/>
                <w:szCs w:val="16"/>
                <w:b w:val="1"/>
                <w:bCs w:val="1"/>
                <w:color w:val="auto"/>
              </w:rPr>
              <w:t>14650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7"/>
        </w:trPr>
        <w:tc>
          <w:tcPr>
            <w:tcW w:w="6860" w:type="dxa"/>
            <w:vAlign w:val="bottom"/>
            <w:gridSpan w:val="4"/>
          </w:tcPr>
          <w:p>
            <w:pPr>
              <w:jc w:val="center"/>
              <w:ind w:right="1380"/>
              <w:spacing w:after="0"/>
              <w:rPr>
                <w:sz w:val="20"/>
                <w:szCs w:val="20"/>
                <w:color w:val="auto"/>
              </w:rPr>
            </w:pPr>
            <w:r>
              <w:rPr>
                <w:rFonts w:ascii="Arial" w:cs="Arial" w:eastAsia="Arial" w:hAnsi="Arial"/>
                <w:sz w:val="13"/>
                <w:szCs w:val="13"/>
                <w:b w:val="1"/>
                <w:bCs w:val="1"/>
                <w:color w:val="auto"/>
                <w:w w:val="87"/>
              </w:rPr>
              <w:t>(Address of principal executive offices)</w:t>
            </w: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80" w:type="dxa"/>
            <w:vAlign w:val="bottom"/>
            <w:gridSpan w:val="3"/>
          </w:tcPr>
          <w:p>
            <w:pPr>
              <w:jc w:val="right"/>
              <w:ind w:right="1020"/>
              <w:spacing w:after="0"/>
              <w:rPr>
                <w:sz w:val="20"/>
                <w:szCs w:val="20"/>
                <w:color w:val="auto"/>
              </w:rPr>
            </w:pPr>
            <w:r>
              <w:rPr>
                <w:rFonts w:ascii="Arial" w:cs="Arial" w:eastAsia="Arial" w:hAnsi="Arial"/>
                <w:sz w:val="13"/>
                <w:szCs w:val="13"/>
                <w:b w:val="1"/>
                <w:bCs w:val="1"/>
                <w:color w:val="auto"/>
              </w:rPr>
              <w:t>(Zip Code)</w:t>
            </w:r>
          </w:p>
        </w:tc>
        <w:tc>
          <w:tcPr>
            <w:tcW w:w="0" w:type="dxa"/>
            <w:vAlign w:val="bottom"/>
          </w:tcPr>
          <w:p>
            <w:pPr>
              <w:spacing w:after="0"/>
              <w:rPr>
                <w:sz w:val="1"/>
                <w:szCs w:val="1"/>
                <w:color w:val="auto"/>
              </w:rPr>
            </w:pPr>
          </w:p>
        </w:tc>
      </w:tr>
      <w:tr>
        <w:trPr>
          <w:trHeight w:val="252"/>
        </w:trPr>
        <w:tc>
          <w:tcPr>
            <w:tcW w:w="2380" w:type="dxa"/>
            <w:vAlign w:val="bottom"/>
          </w:tcPr>
          <w:p>
            <w:pPr>
              <w:spacing w:after="0"/>
              <w:rPr>
                <w:sz w:val="21"/>
                <w:szCs w:val="21"/>
                <w:color w:val="auto"/>
              </w:rPr>
            </w:pPr>
          </w:p>
        </w:tc>
        <w:tc>
          <w:tcPr>
            <w:tcW w:w="4480" w:type="dxa"/>
            <w:vAlign w:val="bottom"/>
            <w:gridSpan w:val="3"/>
          </w:tcPr>
          <w:p>
            <w:pPr>
              <w:ind w:left="800"/>
              <w:spacing w:after="0"/>
              <w:rPr>
                <w:sz w:val="20"/>
                <w:szCs w:val="20"/>
                <w:color w:val="auto"/>
              </w:rPr>
            </w:pPr>
            <w:r>
              <w:rPr>
                <w:rFonts w:ascii="Arial" w:cs="Arial" w:eastAsia="Arial" w:hAnsi="Arial"/>
                <w:sz w:val="16"/>
                <w:szCs w:val="16"/>
                <w:b w:val="1"/>
                <w:bCs w:val="1"/>
                <w:color w:val="auto"/>
                <w:w w:val="91"/>
              </w:rPr>
              <w:t>Registrant’s telephone number, including area code:</w:t>
            </w:r>
          </w:p>
        </w:tc>
        <w:tc>
          <w:tcPr>
            <w:tcW w:w="1460" w:type="dxa"/>
            <w:vAlign w:val="bottom"/>
            <w:gridSpan w:val="3"/>
          </w:tcPr>
          <w:p>
            <w:pPr>
              <w:jc w:val="right"/>
              <w:spacing w:after="0"/>
              <w:rPr>
                <w:sz w:val="20"/>
                <w:szCs w:val="20"/>
                <w:color w:val="auto"/>
              </w:rPr>
            </w:pPr>
            <w:r>
              <w:rPr>
                <w:rFonts w:ascii="Arial" w:cs="Arial" w:eastAsia="Arial" w:hAnsi="Arial"/>
                <w:sz w:val="16"/>
                <w:szCs w:val="16"/>
                <w:b w:val="1"/>
                <w:bCs w:val="1"/>
                <w:color w:val="auto"/>
              </w:rPr>
              <w:t>585-724-4000</w:t>
            </w:r>
          </w:p>
        </w:tc>
        <w:tc>
          <w:tcPr>
            <w:tcW w:w="1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7"/>
        </w:trPr>
        <w:tc>
          <w:tcPr>
            <w:tcW w:w="23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30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6"/>
        </w:trPr>
        <w:tc>
          <w:tcPr>
            <w:tcW w:w="23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360" w:type="dxa"/>
            <w:vAlign w:val="bottom"/>
            <w:gridSpan w:val="4"/>
          </w:tcPr>
          <w:p>
            <w:pPr>
              <w:jc w:val="center"/>
              <w:ind w:left="299"/>
              <w:spacing w:after="0"/>
              <w:rPr>
                <w:sz w:val="20"/>
                <w:szCs w:val="20"/>
                <w:color w:val="auto"/>
              </w:rPr>
            </w:pPr>
            <w:r>
              <w:rPr>
                <w:rFonts w:ascii="Arial" w:cs="Arial" w:eastAsia="Arial" w:hAnsi="Arial"/>
                <w:sz w:val="16"/>
                <w:szCs w:val="16"/>
                <w:b w:val="1"/>
                <w:bCs w:val="1"/>
                <w:color w:val="auto"/>
                <w:w w:val="89"/>
              </w:rPr>
              <w:t>Securities registered pursuant to Section 12(b) of the Act:</w:t>
            </w:r>
          </w:p>
        </w:tc>
        <w:tc>
          <w:tcPr>
            <w:tcW w:w="6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2380" w:type="dxa"/>
            <w:vAlign w:val="bottom"/>
          </w:tcPr>
          <w:p>
            <w:pPr>
              <w:spacing w:after="0"/>
              <w:rPr>
                <w:sz w:val="16"/>
                <w:szCs w:val="16"/>
                <w:color w:val="auto"/>
              </w:rPr>
            </w:pPr>
          </w:p>
        </w:tc>
        <w:tc>
          <w:tcPr>
            <w:tcW w:w="4480" w:type="dxa"/>
            <w:vAlign w:val="bottom"/>
            <w:gridSpan w:val="3"/>
          </w:tcPr>
          <w:p>
            <w:pPr>
              <w:jc w:val="center"/>
              <w:ind w:right="3520"/>
              <w:spacing w:after="0"/>
              <w:rPr>
                <w:sz w:val="20"/>
                <w:szCs w:val="20"/>
                <w:color w:val="auto"/>
              </w:rPr>
            </w:pPr>
            <w:r>
              <w:rPr>
                <w:rFonts w:ascii="Arial" w:cs="Arial" w:eastAsia="Arial" w:hAnsi="Arial"/>
                <w:sz w:val="13"/>
                <w:szCs w:val="13"/>
                <w:b w:val="1"/>
                <w:bCs w:val="1"/>
                <w:color w:val="auto"/>
                <w:w w:val="85"/>
              </w:rPr>
              <w:t>Title of each class</w:t>
            </w:r>
          </w:p>
        </w:tc>
        <w:tc>
          <w:tcPr>
            <w:tcW w:w="520" w:type="dxa"/>
            <w:vAlign w:val="bottom"/>
          </w:tcPr>
          <w:p>
            <w:pPr>
              <w:spacing w:after="0"/>
              <w:rPr>
                <w:sz w:val="16"/>
                <w:szCs w:val="16"/>
                <w:color w:val="auto"/>
              </w:rPr>
            </w:pPr>
          </w:p>
        </w:tc>
        <w:tc>
          <w:tcPr>
            <w:tcW w:w="2400" w:type="dxa"/>
            <w:vAlign w:val="bottom"/>
            <w:gridSpan w:val="4"/>
          </w:tcPr>
          <w:p>
            <w:pPr>
              <w:spacing w:after="0"/>
              <w:rPr>
                <w:sz w:val="20"/>
                <w:szCs w:val="20"/>
                <w:color w:val="auto"/>
              </w:rPr>
            </w:pPr>
            <w:r>
              <w:rPr>
                <w:rFonts w:ascii="Arial" w:cs="Arial" w:eastAsia="Arial" w:hAnsi="Arial"/>
                <w:sz w:val="13"/>
                <w:szCs w:val="13"/>
                <w:b w:val="1"/>
                <w:bCs w:val="1"/>
                <w:color w:val="auto"/>
                <w:w w:val="86"/>
              </w:rPr>
              <w:t>Name of each exchange on which registered</w:t>
            </w:r>
          </w:p>
        </w:tc>
        <w:tc>
          <w:tcPr>
            <w:tcW w:w="0" w:type="dxa"/>
            <w:vAlign w:val="bottom"/>
          </w:tcPr>
          <w:p>
            <w:pPr>
              <w:spacing w:after="0"/>
              <w:rPr>
                <w:sz w:val="1"/>
                <w:szCs w:val="1"/>
                <w:color w:val="auto"/>
              </w:rPr>
            </w:pPr>
          </w:p>
        </w:tc>
      </w:tr>
      <w:tr>
        <w:trPr>
          <w:trHeight w:val="202"/>
        </w:trPr>
        <w:tc>
          <w:tcPr>
            <w:tcW w:w="2380" w:type="dxa"/>
            <w:vAlign w:val="bottom"/>
          </w:tcPr>
          <w:p>
            <w:pPr>
              <w:ind w:left="1760"/>
              <w:spacing w:after="0"/>
              <w:rPr>
                <w:sz w:val="20"/>
                <w:szCs w:val="20"/>
                <w:color w:val="auto"/>
              </w:rPr>
            </w:pPr>
            <w:r>
              <w:rPr>
                <w:rFonts w:ascii="Arial" w:cs="Arial" w:eastAsia="Arial" w:hAnsi="Arial"/>
                <w:sz w:val="16"/>
                <w:szCs w:val="16"/>
                <w:b w:val="1"/>
                <w:bCs w:val="1"/>
                <w:color w:val="auto"/>
                <w:w w:val="86"/>
              </w:rPr>
              <w:t>Common</w:t>
            </w:r>
          </w:p>
        </w:tc>
        <w:tc>
          <w:tcPr>
            <w:tcW w:w="96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Stock, $0.01</w:t>
            </w:r>
          </w:p>
        </w:tc>
        <w:tc>
          <w:tcPr>
            <w:tcW w:w="3520" w:type="dxa"/>
            <w:vAlign w:val="bottom"/>
            <w:gridSpan w:val="2"/>
          </w:tcPr>
          <w:p>
            <w:pPr>
              <w:spacing w:after="0"/>
              <w:rPr>
                <w:sz w:val="20"/>
                <w:szCs w:val="20"/>
                <w:color w:val="auto"/>
              </w:rPr>
            </w:pPr>
            <w:r>
              <w:rPr>
                <w:rFonts w:ascii="Arial" w:cs="Arial" w:eastAsia="Arial" w:hAnsi="Arial"/>
                <w:sz w:val="16"/>
                <w:szCs w:val="16"/>
                <w:b w:val="1"/>
                <w:bCs w:val="1"/>
                <w:color w:val="auto"/>
              </w:rPr>
              <w:t>par value</w:t>
            </w:r>
          </w:p>
        </w:tc>
        <w:tc>
          <w:tcPr>
            <w:tcW w:w="520" w:type="dxa"/>
            <w:vAlign w:val="bottom"/>
          </w:tcPr>
          <w:p>
            <w:pPr>
              <w:spacing w:after="0"/>
              <w:rPr>
                <w:sz w:val="17"/>
                <w:szCs w:val="17"/>
                <w:color w:val="auto"/>
              </w:rPr>
            </w:pPr>
          </w:p>
        </w:tc>
        <w:tc>
          <w:tcPr>
            <w:tcW w:w="2380" w:type="dxa"/>
            <w:vAlign w:val="bottom"/>
            <w:tcBorders>
              <w:top w:val="single" w:sz="8" w:color="auto"/>
            </w:tcBorders>
            <w:gridSpan w:val="3"/>
          </w:tcPr>
          <w:p>
            <w:pPr>
              <w:jc w:val="right"/>
              <w:ind w:right="199"/>
              <w:spacing w:after="0"/>
              <w:rPr>
                <w:sz w:val="20"/>
                <w:szCs w:val="20"/>
                <w:color w:val="auto"/>
              </w:rPr>
            </w:pPr>
            <w:r>
              <w:rPr>
                <w:rFonts w:ascii="Arial" w:cs="Arial" w:eastAsia="Arial" w:hAnsi="Arial"/>
                <w:sz w:val="16"/>
                <w:szCs w:val="16"/>
                <w:b w:val="1"/>
                <w:bCs w:val="1"/>
                <w:color w:val="auto"/>
              </w:rPr>
              <w:t>New York Stock Exchange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23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980" w:type="dxa"/>
            <w:vAlign w:val="bottom"/>
            <w:gridSpan w:val="5"/>
          </w:tcPr>
          <w:p>
            <w:pPr>
              <w:jc w:val="center"/>
              <w:ind w:right="163"/>
              <w:spacing w:after="0"/>
              <w:rPr>
                <w:sz w:val="20"/>
                <w:szCs w:val="20"/>
                <w:color w:val="auto"/>
              </w:rPr>
            </w:pPr>
            <w:r>
              <w:rPr>
                <w:rFonts w:ascii="Arial" w:cs="Arial" w:eastAsia="Arial" w:hAnsi="Arial"/>
                <w:sz w:val="16"/>
                <w:szCs w:val="16"/>
                <w:b w:val="1"/>
                <w:bCs w:val="1"/>
                <w:color w:val="auto"/>
                <w:w w:val="89"/>
              </w:rPr>
              <w:t>Securities registered pursuant to Section 12(g) of the Act: None</w:t>
            </w:r>
          </w:p>
        </w:tc>
        <w:tc>
          <w:tcPr>
            <w:tcW w:w="1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5"/>
        </w:trPr>
        <w:tc>
          <w:tcPr>
            <w:tcW w:w="2380" w:type="dxa"/>
            <w:vAlign w:val="bottom"/>
          </w:tcPr>
          <w:p>
            <w:pPr>
              <w:spacing w:after="0"/>
              <w:rPr>
                <w:sz w:val="7"/>
                <w:szCs w:val="7"/>
                <w:color w:val="auto"/>
              </w:rPr>
            </w:pPr>
          </w:p>
        </w:tc>
        <w:tc>
          <w:tcPr>
            <w:tcW w:w="9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2300" w:type="dxa"/>
            <w:vAlign w:val="bottom"/>
            <w:tcBorders>
              <w:bottom w:val="single" w:sz="8" w:color="auto"/>
            </w:tcBorders>
          </w:tcPr>
          <w:p>
            <w:pPr>
              <w:spacing w:after="0"/>
              <w:rPr>
                <w:sz w:val="7"/>
                <w:szCs w:val="7"/>
                <w:color w:val="auto"/>
              </w:rPr>
            </w:pPr>
          </w:p>
        </w:tc>
        <w:tc>
          <w:tcPr>
            <w:tcW w:w="52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vMerge w:val="restart"/>
          </w:tcPr>
          <w:p>
            <w:pPr>
              <w:jc w:val="right"/>
              <w:ind w:right="63"/>
              <w:spacing w:after="0" w:line="184" w:lineRule="exact"/>
              <w:rPr>
                <w:sz w:val="20"/>
                <w:szCs w:val="20"/>
                <w:color w:val="auto"/>
              </w:rPr>
            </w:pPr>
            <w:r>
              <w:rPr>
                <w:rFonts w:ascii="Arial" w:cs="Arial" w:eastAsia="Arial" w:hAnsi="Arial"/>
                <w:sz w:val="16"/>
                <w:szCs w:val="16"/>
                <w:color w:val="auto"/>
                <w:w w:val="95"/>
              </w:rPr>
              <w:t xml:space="preserve">Yes </w:t>
            </w:r>
            <w:r>
              <w:rPr>
                <w:rFonts w:ascii="MS PGothic" w:cs="MS PGothic" w:eastAsia="MS PGothic" w:hAnsi="MS PGothic"/>
                <w:sz w:val="16"/>
                <w:szCs w:val="16"/>
                <w:color w:val="auto"/>
                <w:w w:val="95"/>
              </w:rPr>
              <w:t>☐</w:t>
            </w:r>
          </w:p>
        </w:tc>
        <w:tc>
          <w:tcPr>
            <w:tcW w:w="1460" w:type="dxa"/>
            <w:vAlign w:val="bottom"/>
            <w:gridSpan w:val="2"/>
            <w:vMerge w:val="restart"/>
          </w:tcPr>
          <w:p>
            <w:pPr>
              <w:jc w:val="right"/>
              <w:ind w:right="1020"/>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276"/>
        </w:trPr>
        <w:tc>
          <w:tcPr>
            <w:tcW w:w="7700" w:type="dxa"/>
            <w:vAlign w:val="bottom"/>
            <w:gridSpan w:val="6"/>
          </w:tcPr>
          <w:p>
            <w:pPr>
              <w:spacing w:after="0"/>
              <w:rPr>
                <w:sz w:val="20"/>
                <w:szCs w:val="20"/>
                <w:color w:val="auto"/>
              </w:rPr>
            </w:pPr>
            <w:r>
              <w:rPr>
                <w:rFonts w:ascii="Arial" w:cs="Arial" w:eastAsia="Arial" w:hAnsi="Arial"/>
                <w:sz w:val="16"/>
                <w:szCs w:val="16"/>
                <w:color w:val="auto"/>
                <w:w w:val="92"/>
              </w:rPr>
              <w:t>Indicate by check mark if the registrant is a well-known seasoned issuer, as defined in Rule 405 of the Securities Act.</w:t>
            </w:r>
          </w:p>
        </w:tc>
        <w:tc>
          <w:tcPr>
            <w:tcW w:w="620" w:type="dxa"/>
            <w:vAlign w:val="bottom"/>
            <w:vMerge w:val="continue"/>
          </w:tcPr>
          <w:p>
            <w:pPr>
              <w:spacing w:after="0"/>
              <w:rPr>
                <w:sz w:val="23"/>
                <w:szCs w:val="23"/>
                <w:color w:val="auto"/>
              </w:rPr>
            </w:pPr>
          </w:p>
        </w:tc>
        <w:tc>
          <w:tcPr>
            <w:tcW w:w="1460" w:type="dxa"/>
            <w:vAlign w:val="bottom"/>
            <w:gridSpan w:val="2"/>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54"/>
        </w:trPr>
        <w:tc>
          <w:tcPr>
            <w:tcW w:w="7700" w:type="dxa"/>
            <w:vAlign w:val="bottom"/>
            <w:gridSpan w:val="6"/>
          </w:tcPr>
          <w:p>
            <w:pPr>
              <w:spacing w:after="0"/>
              <w:rPr>
                <w:sz w:val="20"/>
                <w:szCs w:val="20"/>
                <w:color w:val="auto"/>
              </w:rPr>
            </w:pPr>
            <w:r>
              <w:rPr>
                <w:rFonts w:ascii="Arial" w:cs="Arial" w:eastAsia="Arial" w:hAnsi="Arial"/>
                <w:sz w:val="16"/>
                <w:szCs w:val="16"/>
                <w:color w:val="auto"/>
                <w:w w:val="91"/>
              </w:rPr>
              <w:t>Indicate by check mark if the registrant is not required to file reports pursuant to Section 13 or Section 15(d) of the Act.</w:t>
            </w:r>
          </w:p>
        </w:tc>
        <w:tc>
          <w:tcPr>
            <w:tcW w:w="620" w:type="dxa"/>
            <w:vAlign w:val="bottom"/>
          </w:tcPr>
          <w:p>
            <w:pPr>
              <w:jc w:val="right"/>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p>
        </w:tc>
        <w:tc>
          <w:tcPr>
            <w:tcW w:w="1460" w:type="dxa"/>
            <w:vAlign w:val="bottom"/>
            <w:gridSpan w:val="2"/>
          </w:tcPr>
          <w:p>
            <w:pPr>
              <w:ind w:left="160"/>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3" w:right="20"/>
        <w:spacing w:after="0" w:line="208"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44" w:lineRule="exact"/>
        <w:rPr>
          <w:sz w:val="24"/>
          <w:szCs w:val="24"/>
          <w:color w:val="auto"/>
        </w:rPr>
      </w:pPr>
    </w:p>
    <w:p>
      <w:pPr>
        <w:jc w:val="both"/>
        <w:ind w:left="3" w:right="80"/>
        <w:spacing w:after="0" w:line="204"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1" w:lineRule="exact"/>
        <w:rPr>
          <w:sz w:val="24"/>
          <w:szCs w:val="24"/>
          <w:color w:val="auto"/>
        </w:rPr>
      </w:pPr>
    </w:p>
    <w:p>
      <w:pPr>
        <w:ind w:left="3"/>
        <w:spacing w:after="0" w:line="294" w:lineRule="auto"/>
        <w:rPr>
          <w:sz w:val="20"/>
          <w:szCs w:val="20"/>
          <w:color w:val="auto"/>
        </w:rPr>
      </w:pPr>
      <w:r>
        <w:rPr>
          <w:rFonts w:ascii="Arial" w:cs="Arial" w:eastAsia="Arial" w:hAnsi="Arial"/>
          <w:sz w:val="14"/>
          <w:szCs w:val="14"/>
          <w:color w:val="auto"/>
        </w:rPr>
        <w:t>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w:t>
      </w:r>
    </w:p>
    <w:p>
      <w:pPr>
        <w:ind w:left="323" w:hanging="323"/>
        <w:spacing w:after="0" w:line="184" w:lineRule="exact"/>
        <w:tabs>
          <w:tab w:leader="none" w:pos="323" w:val="left"/>
        </w:tabs>
        <w:numPr>
          <w:ilvl w:val="0"/>
          <w:numId w:val="3"/>
        </w:numPr>
        <w:rPr>
          <w:rFonts w:ascii="Arial" w:cs="Arial" w:eastAsia="Arial" w:hAnsi="Arial"/>
          <w:sz w:val="16"/>
          <w:szCs w:val="16"/>
          <w:color w:val="auto"/>
        </w:rPr>
      </w:pPr>
      <w:r>
        <w:rPr>
          <w:rFonts w:ascii="MS PGothic" w:cs="MS PGothic" w:eastAsia="MS PGothic" w:hAnsi="MS PGothic"/>
          <w:sz w:val="16"/>
          <w:szCs w:val="16"/>
          <w:color w:val="auto"/>
        </w:rPr>
        <w:t>☒</w:t>
      </w:r>
    </w:p>
    <w:p>
      <w:pPr>
        <w:spacing w:after="0" w:line="134" w:lineRule="exact"/>
        <w:rPr>
          <w:sz w:val="24"/>
          <w:szCs w:val="24"/>
          <w:color w:val="auto"/>
        </w:rPr>
      </w:pPr>
    </w:p>
    <w:p>
      <w:pPr>
        <w:ind w:left="3" w:right="460"/>
        <w:spacing w:after="0" w:line="280"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w:t>
      </w:r>
    </w:p>
    <w:p>
      <w:pPr>
        <w:spacing w:after="0" w:line="78" w:lineRule="exact"/>
        <w:rPr>
          <w:sz w:val="24"/>
          <w:szCs w:val="24"/>
          <w:color w:val="auto"/>
        </w:rPr>
      </w:pPr>
    </w:p>
    <w:p>
      <w:pPr>
        <w:ind w:left="3"/>
        <w:spacing w:after="0"/>
        <w:rPr>
          <w:sz w:val="20"/>
          <w:szCs w:val="20"/>
          <w:color w:val="auto"/>
        </w:rPr>
      </w:pPr>
      <w:r>
        <w:rPr>
          <w:rFonts w:ascii="Arial" w:cs="Arial" w:eastAsia="Arial" w:hAnsi="Arial"/>
          <w:sz w:val="16"/>
          <w:szCs w:val="16"/>
          <w:color w:val="auto"/>
        </w:rPr>
        <w:t>See definition of “large accelerated filer,” “accelerated filer” “smaller reporting company” and “emerging growth company in Rule 12b-2 of the Exchange Act.</w:t>
      </w:r>
    </w:p>
    <w:p>
      <w:pPr>
        <w:spacing w:after="0" w:line="17" w:lineRule="exact"/>
        <w:rPr>
          <w:sz w:val="24"/>
          <w:szCs w:val="24"/>
          <w:color w:val="auto"/>
        </w:rPr>
      </w:pPr>
    </w:p>
    <w:tbl>
      <w:tblPr>
        <w:tblLayout w:type="fixed"/>
        <w:tblInd w:w="763" w:type="dxa"/>
        <w:tblCellMar>
          <w:top w:w="0" w:type="dxa"/>
          <w:left w:w="0" w:type="dxa"/>
          <w:bottom w:w="0" w:type="dxa"/>
          <w:right w:w="0" w:type="dxa"/>
        </w:tblCellMar>
      </w:tblPr>
      <w:tr>
        <w:trPr>
          <w:trHeight w:val="204"/>
        </w:trPr>
        <w:tc>
          <w:tcPr>
            <w:tcW w:w="23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4000" w:type="dxa"/>
            <w:vAlign w:val="bottom"/>
          </w:tcPr>
          <w:p>
            <w:pPr>
              <w:ind w:left="540"/>
              <w:spacing w:after="0" w:line="161" w:lineRule="exact"/>
              <w:rPr>
                <w:sz w:val="20"/>
                <w:szCs w:val="20"/>
                <w:color w:val="auto"/>
              </w:rPr>
            </w:pPr>
            <w:r>
              <w:rPr>
                <w:rFonts w:ascii="MS PGothic" w:cs="MS PGothic" w:eastAsia="MS PGothic" w:hAnsi="MS PGothic"/>
                <w:sz w:val="16"/>
                <w:szCs w:val="16"/>
                <w:color w:val="auto"/>
              </w:rPr>
              <w:t>☐</w:t>
            </w:r>
          </w:p>
        </w:tc>
        <w:tc>
          <w:tcPr>
            <w:tcW w:w="2120" w:type="dxa"/>
            <w:vAlign w:val="bottom"/>
          </w:tcPr>
          <w:p>
            <w:pPr>
              <w:ind w:left="260"/>
              <w:spacing w:after="0"/>
              <w:rPr>
                <w:sz w:val="20"/>
                <w:szCs w:val="20"/>
                <w:color w:val="auto"/>
              </w:rPr>
            </w:pPr>
            <w:r>
              <w:rPr>
                <w:rFonts w:ascii="Arial" w:cs="Arial" w:eastAsia="Arial" w:hAnsi="Arial"/>
                <w:sz w:val="16"/>
                <w:szCs w:val="16"/>
                <w:color w:val="auto"/>
              </w:rPr>
              <w:t>Accelerated filer</w:t>
            </w:r>
          </w:p>
        </w:tc>
        <w:tc>
          <w:tcPr>
            <w:tcW w:w="260" w:type="dxa"/>
            <w:vAlign w:val="bottom"/>
          </w:tcPr>
          <w:p>
            <w:pPr>
              <w:ind w:left="80"/>
              <w:spacing w:after="0" w:line="161" w:lineRule="exact"/>
              <w:rPr>
                <w:sz w:val="20"/>
                <w:szCs w:val="20"/>
                <w:color w:val="auto"/>
              </w:rPr>
            </w:pPr>
            <w:r>
              <w:rPr>
                <w:rFonts w:ascii="MS PGothic" w:cs="MS PGothic" w:eastAsia="MS PGothic" w:hAnsi="MS PGothic"/>
                <w:sz w:val="16"/>
                <w:szCs w:val="16"/>
                <w:color w:val="auto"/>
                <w:w w:val="99"/>
              </w:rPr>
              <w:t>☒</w:t>
            </w:r>
          </w:p>
        </w:tc>
      </w:tr>
      <w:tr>
        <w:trPr>
          <w:trHeight w:val="242"/>
        </w:trPr>
        <w:tc>
          <w:tcPr>
            <w:tcW w:w="2320" w:type="dxa"/>
            <w:vAlign w:val="bottom"/>
          </w:tcPr>
          <w:p>
            <w:pPr>
              <w:spacing w:after="0"/>
              <w:rPr>
                <w:sz w:val="20"/>
                <w:szCs w:val="20"/>
                <w:color w:val="auto"/>
              </w:rPr>
            </w:pPr>
            <w:r>
              <w:rPr>
                <w:rFonts w:ascii="Arial" w:cs="Arial" w:eastAsia="Arial" w:hAnsi="Arial"/>
                <w:sz w:val="16"/>
                <w:szCs w:val="16"/>
                <w:color w:val="auto"/>
              </w:rPr>
              <w:t>Non-accelerated filer</w:t>
            </w:r>
          </w:p>
        </w:tc>
        <w:tc>
          <w:tcPr>
            <w:tcW w:w="4000" w:type="dxa"/>
            <w:vAlign w:val="bottom"/>
          </w:tcPr>
          <w:p>
            <w:pPr>
              <w:ind w:left="54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(Do not check if a smaller reporting company)</w:t>
            </w:r>
          </w:p>
        </w:tc>
        <w:tc>
          <w:tcPr>
            <w:tcW w:w="2120" w:type="dxa"/>
            <w:vAlign w:val="bottom"/>
          </w:tcPr>
          <w:p>
            <w:pPr>
              <w:ind w:left="260"/>
              <w:spacing w:after="0"/>
              <w:rPr>
                <w:sz w:val="20"/>
                <w:szCs w:val="20"/>
                <w:color w:val="auto"/>
              </w:rPr>
            </w:pPr>
            <w:r>
              <w:rPr>
                <w:rFonts w:ascii="Arial" w:cs="Arial" w:eastAsia="Arial" w:hAnsi="Arial"/>
                <w:sz w:val="16"/>
                <w:szCs w:val="16"/>
                <w:color w:val="auto"/>
                <w:w w:val="96"/>
              </w:rPr>
              <w:t>Smaller reporting company</w:t>
            </w:r>
          </w:p>
        </w:tc>
        <w:tc>
          <w:tcPr>
            <w:tcW w:w="260" w:type="dxa"/>
            <w:vAlign w:val="bottom"/>
          </w:tcPr>
          <w:p>
            <w:pPr>
              <w:ind w:left="1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32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4000" w:type="dxa"/>
            <w:vAlign w:val="bottom"/>
          </w:tcPr>
          <w:p>
            <w:pPr>
              <w:ind w:left="540"/>
              <w:spacing w:after="0" w:line="161" w:lineRule="exact"/>
              <w:rPr>
                <w:sz w:val="20"/>
                <w:szCs w:val="20"/>
                <w:color w:val="auto"/>
              </w:rPr>
            </w:pPr>
            <w:r>
              <w:rPr>
                <w:rFonts w:ascii="MS PGothic" w:cs="MS PGothic" w:eastAsia="MS PGothic" w:hAnsi="MS PGothic"/>
                <w:sz w:val="16"/>
                <w:szCs w:val="16"/>
                <w:color w:val="auto"/>
              </w:rPr>
              <w:t>☐</w:t>
            </w:r>
          </w:p>
        </w:tc>
        <w:tc>
          <w:tcPr>
            <w:tcW w:w="2120" w:type="dxa"/>
            <w:vAlign w:val="bottom"/>
          </w:tcPr>
          <w:p>
            <w:pPr>
              <w:spacing w:after="0"/>
              <w:rPr>
                <w:sz w:val="22"/>
                <w:szCs w:val="22"/>
                <w:color w:val="auto"/>
              </w:rPr>
            </w:pPr>
          </w:p>
        </w:tc>
        <w:tc>
          <w:tcPr>
            <w:tcW w:w="260" w:type="dxa"/>
            <w:vAlign w:val="bottom"/>
          </w:tcPr>
          <w:p>
            <w:pPr>
              <w:spacing w:after="0"/>
              <w:rPr>
                <w:sz w:val="22"/>
                <w:szCs w:val="22"/>
                <w:color w:val="auto"/>
              </w:rPr>
            </w:pPr>
          </w:p>
        </w:tc>
      </w:tr>
    </w:tbl>
    <w:p>
      <w:pPr>
        <w:spacing w:after="0" w:line="127" w:lineRule="exact"/>
        <w:rPr>
          <w:sz w:val="24"/>
          <w:szCs w:val="24"/>
          <w:color w:val="auto"/>
        </w:rPr>
      </w:pPr>
    </w:p>
    <w:p>
      <w:pPr>
        <w:ind w:left="3" w:right="200"/>
        <w:spacing w:after="0" w:line="208"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4" w:lineRule="exact"/>
        <w:rPr>
          <w:sz w:val="24"/>
          <w:szCs w:val="24"/>
          <w:color w:val="auto"/>
        </w:rPr>
      </w:pPr>
    </w:p>
    <w:p>
      <w:pPr>
        <w:ind w:left="3"/>
        <w:spacing w:after="0" w:line="184" w:lineRule="exact"/>
        <w:tabs>
          <w:tab w:leader="none" w:pos="7923" w:val="left"/>
        </w:tabs>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53" w:lineRule="exact"/>
        <w:rPr>
          <w:sz w:val="24"/>
          <w:szCs w:val="24"/>
          <w:color w:val="auto"/>
        </w:rPr>
      </w:pPr>
    </w:p>
    <w:p>
      <w:pPr>
        <w:ind w:left="3" w:right="60"/>
        <w:spacing w:after="0" w:line="322" w:lineRule="auto"/>
        <w:rPr>
          <w:sz w:val="20"/>
          <w:szCs w:val="20"/>
          <w:color w:val="auto"/>
        </w:rPr>
      </w:pPr>
      <w:r>
        <w:rPr>
          <w:rFonts w:ascii="Arial" w:cs="Arial" w:eastAsia="Arial" w:hAnsi="Arial"/>
          <w:sz w:val="14"/>
          <w:szCs w:val="14"/>
          <w:color w:val="auto"/>
        </w:rPr>
        <w:t>The aggregate market value of the voting common equity held by non-affiliates computed by reference to the price at which the common equity was last sold, as of the last business day of the registrant's most recently completed second fiscal quarter, June 30, 2017 was approximately $160 million. The registrant has no non-voting common stock.</w:t>
      </w:r>
    </w:p>
    <w:p>
      <w:pPr>
        <w:spacing w:after="0" w:line="1" w:lineRule="exact"/>
        <w:rPr>
          <w:sz w:val="24"/>
          <w:szCs w:val="24"/>
          <w:color w:val="auto"/>
        </w:rPr>
      </w:pPr>
    </w:p>
    <w:p>
      <w:pPr>
        <w:ind w:left="3"/>
        <w:spacing w:after="0"/>
        <w:rPr>
          <w:sz w:val="20"/>
          <w:szCs w:val="20"/>
          <w:color w:val="auto"/>
        </w:rPr>
      </w:pPr>
      <w:r>
        <w:rPr>
          <w:rFonts w:ascii="Arial" w:cs="Arial" w:eastAsia="Arial" w:hAnsi="Arial"/>
          <w:sz w:val="16"/>
          <w:szCs w:val="16"/>
          <w:color w:val="auto"/>
        </w:rPr>
        <w:t>The number of shares outstanding of the registrant's common stock as of March 1, 2018 was 42,638,662 shares of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177800</wp:posOffset>
            </wp:positionV>
            <wp:extent cx="7301865" cy="406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301865" cy="40640"/>
                    </a:xfrm>
                    <a:prstGeom prst="rect">
                      <a:avLst/>
                    </a:prstGeom>
                    <a:noFill/>
                  </pic:spPr>
                </pic:pic>
              </a:graphicData>
            </a:graphic>
          </wp:anchor>
        </w:drawing>
      </w:r>
    </w:p>
    <w:p>
      <w:pPr>
        <w:sectPr>
          <w:pgSz w:w="11900" w:h="16838" w:orient="portrait"/>
          <w:cols w:equalWidth="0" w:num="1">
            <w:col w:w="11383"/>
          </w:cols>
          <w:pgMar w:left="237" w:top="372" w:right="27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93"/>
        </w:trPr>
        <w:tc>
          <w:tcPr>
            <w:tcW w:w="13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60" w:type="dxa"/>
            <w:vAlign w:val="bottom"/>
            <w:gridSpan w:val="16"/>
          </w:tcPr>
          <w:p>
            <w:pPr>
              <w:jc w:val="center"/>
              <w:ind w:right="2680"/>
              <w:spacing w:after="0"/>
              <w:rPr>
                <w:sz w:val="20"/>
                <w:szCs w:val="20"/>
                <w:color w:val="auto"/>
              </w:rPr>
            </w:pPr>
            <w:r>
              <w:rPr>
                <w:rFonts w:ascii="Arial" w:cs="Arial" w:eastAsia="Arial" w:hAnsi="Arial"/>
                <w:sz w:val="16"/>
                <w:szCs w:val="16"/>
                <w:b w:val="1"/>
                <w:bCs w:val="1"/>
                <w:color w:val="auto"/>
                <w:w w:val="92"/>
              </w:rPr>
              <w:t>Eastman Kodak Company</w:t>
            </w:r>
          </w:p>
        </w:tc>
        <w:tc>
          <w:tcPr>
            <w:tcW w:w="1880" w:type="dxa"/>
            <w:vAlign w:val="bottom"/>
          </w:tcPr>
          <w:p>
            <w:pPr>
              <w:spacing w:after="0"/>
              <w:rPr>
                <w:sz w:val="16"/>
                <w:szCs w:val="16"/>
                <w:color w:val="auto"/>
              </w:rPr>
            </w:pPr>
          </w:p>
        </w:tc>
      </w:tr>
      <w:tr>
        <w:trPr>
          <w:trHeight w:val="193"/>
        </w:trPr>
        <w:tc>
          <w:tcPr>
            <w:tcW w:w="13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300" w:type="dxa"/>
            <w:vAlign w:val="bottom"/>
            <w:gridSpan w:val="14"/>
          </w:tcPr>
          <w:p>
            <w:pPr>
              <w:jc w:val="center"/>
              <w:ind w:right="3420"/>
              <w:spacing w:after="0"/>
              <w:rPr>
                <w:sz w:val="20"/>
                <w:szCs w:val="20"/>
                <w:color w:val="auto"/>
              </w:rPr>
            </w:pPr>
            <w:r>
              <w:rPr>
                <w:rFonts w:ascii="Arial" w:cs="Arial" w:eastAsia="Arial" w:hAnsi="Arial"/>
                <w:sz w:val="16"/>
                <w:szCs w:val="16"/>
                <w:b w:val="1"/>
                <w:bCs w:val="1"/>
                <w:color w:val="auto"/>
                <w:w w:val="95"/>
              </w:rPr>
              <w:t>Form 10-K</w:t>
            </w:r>
          </w:p>
        </w:tc>
        <w:tc>
          <w:tcPr>
            <w:tcW w:w="1880" w:type="dxa"/>
            <w:vAlign w:val="bottom"/>
          </w:tcPr>
          <w:p>
            <w:pPr>
              <w:spacing w:after="0"/>
              <w:rPr>
                <w:sz w:val="16"/>
                <w:szCs w:val="16"/>
                <w:color w:val="auto"/>
              </w:rPr>
            </w:pPr>
          </w:p>
        </w:tc>
      </w:tr>
      <w:tr>
        <w:trPr>
          <w:trHeight w:val="210"/>
        </w:trPr>
        <w:tc>
          <w:tcPr>
            <w:tcW w:w="1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540" w:type="dxa"/>
            <w:vAlign w:val="bottom"/>
            <w:gridSpan w:val="15"/>
          </w:tcPr>
          <w:p>
            <w:pPr>
              <w:jc w:val="center"/>
              <w:ind w:right="3200"/>
              <w:spacing w:after="0"/>
              <w:rPr>
                <w:sz w:val="20"/>
                <w:szCs w:val="20"/>
                <w:color w:val="auto"/>
              </w:rPr>
            </w:pPr>
            <w:r>
              <w:rPr>
                <w:rFonts w:ascii="Arial" w:cs="Arial" w:eastAsia="Arial" w:hAnsi="Arial"/>
                <w:sz w:val="16"/>
                <w:szCs w:val="16"/>
                <w:b w:val="1"/>
                <w:bCs w:val="1"/>
                <w:color w:val="auto"/>
                <w:w w:val="90"/>
              </w:rPr>
              <w:t>December 31, 2017</w:t>
            </w:r>
          </w:p>
        </w:tc>
        <w:tc>
          <w:tcPr>
            <w:tcW w:w="1880" w:type="dxa"/>
            <w:vAlign w:val="bottom"/>
          </w:tcPr>
          <w:p>
            <w:pPr>
              <w:spacing w:after="0"/>
              <w:rPr>
                <w:sz w:val="18"/>
                <w:szCs w:val="18"/>
                <w:color w:val="auto"/>
              </w:rPr>
            </w:pPr>
          </w:p>
        </w:tc>
      </w:tr>
      <w:tr>
        <w:trPr>
          <w:trHeight w:val="387"/>
        </w:trPr>
        <w:tc>
          <w:tcPr>
            <w:tcW w:w="1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540" w:type="dxa"/>
            <w:vAlign w:val="bottom"/>
            <w:gridSpan w:val="15"/>
          </w:tcPr>
          <w:p>
            <w:pPr>
              <w:jc w:val="center"/>
              <w:ind w:right="3200"/>
              <w:spacing w:after="0"/>
              <w:rPr>
                <w:sz w:val="20"/>
                <w:szCs w:val="20"/>
                <w:color w:val="auto"/>
              </w:rPr>
            </w:pPr>
            <w:r>
              <w:rPr>
                <w:rFonts w:ascii="Arial" w:cs="Arial" w:eastAsia="Arial" w:hAnsi="Arial"/>
                <w:sz w:val="16"/>
                <w:szCs w:val="16"/>
                <w:b w:val="1"/>
                <w:bCs w:val="1"/>
                <w:color w:val="auto"/>
                <w:w w:val="90"/>
              </w:rPr>
              <w:t>Table of Contents</w:t>
            </w:r>
          </w:p>
        </w:tc>
        <w:tc>
          <w:tcPr>
            <w:tcW w:w="1880" w:type="dxa"/>
            <w:vAlign w:val="bottom"/>
          </w:tcPr>
          <w:p>
            <w:pPr>
              <w:spacing w:after="0"/>
              <w:rPr>
                <w:sz w:val="24"/>
                <w:szCs w:val="24"/>
                <w:color w:val="auto"/>
              </w:rPr>
            </w:pPr>
          </w:p>
        </w:tc>
      </w:tr>
      <w:tr>
        <w:trPr>
          <w:trHeight w:val="411"/>
        </w:trPr>
        <w:tc>
          <w:tcPr>
            <w:tcW w:w="1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80" w:type="dxa"/>
            <w:vAlign w:val="bottom"/>
          </w:tcPr>
          <w:p>
            <w:pPr>
              <w:ind w:left="980"/>
              <w:spacing w:after="0"/>
              <w:rPr>
                <w:sz w:val="20"/>
                <w:szCs w:val="20"/>
                <w:color w:val="auto"/>
              </w:rPr>
            </w:pPr>
            <w:r>
              <w:rPr>
                <w:rFonts w:ascii="Arial" w:cs="Arial" w:eastAsia="Arial" w:hAnsi="Arial"/>
                <w:sz w:val="16"/>
                <w:szCs w:val="16"/>
                <w:b w:val="1"/>
                <w:bCs w:val="1"/>
                <w:color w:val="auto"/>
              </w:rPr>
              <w:t>Page</w:t>
            </w:r>
          </w:p>
        </w:tc>
      </w:tr>
      <w:tr>
        <w:trPr>
          <w:trHeight w:val="375"/>
        </w:trPr>
        <w:tc>
          <w:tcPr>
            <w:tcW w:w="1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100" w:type="dxa"/>
            <w:vAlign w:val="bottom"/>
            <w:gridSpan w:val="11"/>
          </w:tcPr>
          <w:p>
            <w:pPr>
              <w:jc w:val="center"/>
              <w:ind w:right="3620"/>
              <w:spacing w:after="0"/>
              <w:rPr>
                <w:rFonts w:ascii="Arial" w:cs="Arial" w:eastAsia="Arial" w:hAnsi="Arial"/>
                <w:sz w:val="16"/>
                <w:szCs w:val="16"/>
                <w:b w:val="1"/>
                <w:bCs w:val="1"/>
                <w:color w:val="0000EE"/>
                <w:w w:val="99"/>
              </w:rPr>
            </w:pPr>
            <w:hyperlink w:anchor="page3">
              <w:r>
                <w:rPr>
                  <w:rFonts w:ascii="Arial" w:cs="Arial" w:eastAsia="Arial" w:hAnsi="Arial"/>
                  <w:sz w:val="16"/>
                  <w:szCs w:val="16"/>
                  <w:b w:val="1"/>
                  <w:bCs w:val="1"/>
                  <w:color w:val="0000EE"/>
                  <w:w w:val="99"/>
                </w:rPr>
                <w:t>Part I</w:t>
              </w:r>
            </w:hyperlink>
          </w:p>
        </w:tc>
        <w:tc>
          <w:tcPr>
            <w:tcW w:w="1880" w:type="dxa"/>
            <w:vAlign w:val="bottom"/>
          </w:tcPr>
          <w:p>
            <w:pPr>
              <w:spacing w:after="0"/>
              <w:rPr>
                <w:sz w:val="24"/>
                <w:szCs w:val="24"/>
                <w:color w:val="auto"/>
              </w:rPr>
            </w:pPr>
          </w:p>
        </w:tc>
      </w:tr>
      <w:tr>
        <w:trPr>
          <w:trHeight w:val="391"/>
        </w:trPr>
        <w:tc>
          <w:tcPr>
            <w:tcW w:w="1380" w:type="dxa"/>
            <w:vAlign w:val="bottom"/>
          </w:tcPr>
          <w:p>
            <w:pPr>
              <w:spacing w:after="0"/>
              <w:rPr>
                <w:sz w:val="20"/>
                <w:szCs w:val="20"/>
                <w:color w:val="auto"/>
              </w:rPr>
            </w:pPr>
            <w:r>
              <w:rPr>
                <w:rFonts w:ascii="Arial" w:cs="Arial" w:eastAsia="Arial" w:hAnsi="Arial"/>
                <w:sz w:val="16"/>
                <w:szCs w:val="16"/>
                <w:color w:val="auto"/>
              </w:rPr>
              <w:t>Item 1.</w:t>
            </w:r>
          </w:p>
        </w:tc>
        <w:tc>
          <w:tcPr>
            <w:tcW w:w="4140" w:type="dxa"/>
            <w:vAlign w:val="bottom"/>
            <w:gridSpan w:val="23"/>
          </w:tcPr>
          <w:p>
            <w:pPr>
              <w:spacing w:after="0"/>
              <w:rPr>
                <w:rFonts w:ascii="Arial" w:cs="Arial" w:eastAsia="Arial" w:hAnsi="Arial"/>
                <w:sz w:val="16"/>
                <w:szCs w:val="16"/>
                <w:color w:val="0000EE"/>
              </w:rPr>
            </w:pPr>
            <w:hyperlink w:anchor="page3">
              <w:r>
                <w:rPr>
                  <w:rFonts w:ascii="Arial" w:cs="Arial" w:eastAsia="Arial" w:hAnsi="Arial"/>
                  <w:sz w:val="16"/>
                  <w:szCs w:val="16"/>
                  <w:color w:val="0000EE"/>
                </w:rPr>
                <w:t>Business</w:t>
              </w:r>
            </w:hyperlink>
          </w:p>
        </w:tc>
        <w:tc>
          <w:tcPr>
            <w:tcW w:w="400" w:type="dxa"/>
            <w:vAlign w:val="bottom"/>
            <w:tcBorders>
              <w:top w:val="single" w:sz="8" w:color="0000EE"/>
            </w:tcBorders>
          </w:tcPr>
          <w:p>
            <w:pPr>
              <w:spacing w:after="0"/>
              <w:rPr>
                <w:sz w:val="24"/>
                <w:szCs w:val="24"/>
                <w:color w:val="auto"/>
              </w:rPr>
            </w:pPr>
          </w:p>
        </w:tc>
        <w:tc>
          <w:tcPr>
            <w:tcW w:w="3660" w:type="dxa"/>
            <w:vAlign w:val="bottom"/>
            <w:gridSpan w:val="9"/>
          </w:tcPr>
          <w:p>
            <w:pPr>
              <w:spacing w:after="0"/>
              <w:rPr>
                <w:sz w:val="24"/>
                <w:szCs w:val="24"/>
                <w:color w:val="auto"/>
              </w:rPr>
            </w:pPr>
          </w:p>
        </w:tc>
        <w:tc>
          <w:tcPr>
            <w:tcW w:w="1880" w:type="dxa"/>
            <w:vAlign w:val="bottom"/>
          </w:tcPr>
          <w:p>
            <w:pPr>
              <w:jc w:val="center"/>
              <w:ind w:left="319"/>
              <w:spacing w:after="0"/>
              <w:rPr>
                <w:sz w:val="20"/>
                <w:szCs w:val="20"/>
                <w:color w:val="auto"/>
              </w:rPr>
            </w:pPr>
            <w:r>
              <w:rPr>
                <w:rFonts w:ascii="Arial" w:cs="Arial" w:eastAsia="Arial" w:hAnsi="Arial"/>
                <w:sz w:val="16"/>
                <w:szCs w:val="16"/>
                <w:color w:val="auto"/>
                <w:w w:val="89"/>
              </w:rPr>
              <w:t>3</w:t>
            </w:r>
          </w:p>
        </w:tc>
      </w:tr>
      <w:tr>
        <w:trPr>
          <w:trHeight w:val="20"/>
        </w:trPr>
        <w:tc>
          <w:tcPr>
            <w:tcW w:w="13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173"/>
        </w:trPr>
        <w:tc>
          <w:tcPr>
            <w:tcW w:w="1380" w:type="dxa"/>
            <w:vAlign w:val="bottom"/>
          </w:tcPr>
          <w:p>
            <w:pPr>
              <w:spacing w:after="0" w:line="174" w:lineRule="exact"/>
              <w:rPr>
                <w:sz w:val="20"/>
                <w:szCs w:val="20"/>
                <w:color w:val="auto"/>
              </w:rPr>
            </w:pPr>
            <w:r>
              <w:rPr>
                <w:rFonts w:ascii="Arial" w:cs="Arial" w:eastAsia="Arial" w:hAnsi="Arial"/>
                <w:sz w:val="16"/>
                <w:szCs w:val="16"/>
                <w:color w:val="auto"/>
              </w:rPr>
              <w:t>Item 1A.</w:t>
            </w:r>
          </w:p>
        </w:tc>
        <w:tc>
          <w:tcPr>
            <w:tcW w:w="8200" w:type="dxa"/>
            <w:vAlign w:val="bottom"/>
            <w:gridSpan w:val="33"/>
          </w:tcPr>
          <w:p>
            <w:pPr>
              <w:spacing w:after="0" w:line="174" w:lineRule="exact"/>
              <w:rPr>
                <w:rFonts w:ascii="Arial" w:cs="Arial" w:eastAsia="Arial" w:hAnsi="Arial"/>
                <w:sz w:val="16"/>
                <w:szCs w:val="16"/>
                <w:color w:val="0000EE"/>
              </w:rPr>
            </w:pPr>
            <w:hyperlink w:anchor="page8">
              <w:r>
                <w:rPr>
                  <w:rFonts w:ascii="Arial" w:cs="Arial" w:eastAsia="Arial" w:hAnsi="Arial"/>
                  <w:sz w:val="16"/>
                  <w:szCs w:val="16"/>
                  <w:color w:val="0000EE"/>
                </w:rPr>
                <w:t>Risk Factors</w:t>
              </w:r>
            </w:hyperlink>
          </w:p>
        </w:tc>
        <w:tc>
          <w:tcPr>
            <w:tcW w:w="1880" w:type="dxa"/>
            <w:vAlign w:val="bottom"/>
          </w:tcPr>
          <w:p>
            <w:pPr>
              <w:jc w:val="center"/>
              <w:ind w:left="319"/>
              <w:spacing w:after="0" w:line="174" w:lineRule="exact"/>
              <w:rPr>
                <w:sz w:val="20"/>
                <w:szCs w:val="20"/>
                <w:color w:val="auto"/>
              </w:rPr>
            </w:pPr>
            <w:r>
              <w:rPr>
                <w:rFonts w:ascii="Arial" w:cs="Arial" w:eastAsia="Arial" w:hAnsi="Arial"/>
                <w:sz w:val="16"/>
                <w:szCs w:val="16"/>
                <w:color w:val="auto"/>
                <w:w w:val="89"/>
              </w:rPr>
              <w:t>8</w:t>
            </w:r>
          </w:p>
        </w:tc>
      </w:tr>
      <w:tr>
        <w:trPr>
          <w:trHeight w:val="20"/>
        </w:trPr>
        <w:tc>
          <w:tcPr>
            <w:tcW w:w="138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173"/>
        </w:trPr>
        <w:tc>
          <w:tcPr>
            <w:tcW w:w="1380" w:type="dxa"/>
            <w:vAlign w:val="bottom"/>
          </w:tcPr>
          <w:p>
            <w:pPr>
              <w:spacing w:after="0" w:line="174" w:lineRule="exact"/>
              <w:rPr>
                <w:sz w:val="20"/>
                <w:szCs w:val="20"/>
                <w:color w:val="auto"/>
              </w:rPr>
            </w:pPr>
            <w:r>
              <w:rPr>
                <w:rFonts w:ascii="Arial" w:cs="Arial" w:eastAsia="Arial" w:hAnsi="Arial"/>
                <w:sz w:val="16"/>
                <w:szCs w:val="16"/>
                <w:color w:val="auto"/>
              </w:rPr>
              <w:t>Item 1B.</w:t>
            </w:r>
          </w:p>
        </w:tc>
        <w:tc>
          <w:tcPr>
            <w:tcW w:w="8200" w:type="dxa"/>
            <w:vAlign w:val="bottom"/>
            <w:gridSpan w:val="33"/>
          </w:tcPr>
          <w:p>
            <w:pPr>
              <w:spacing w:after="0" w:line="174" w:lineRule="exact"/>
              <w:rPr>
                <w:rFonts w:ascii="Arial" w:cs="Arial" w:eastAsia="Arial" w:hAnsi="Arial"/>
                <w:sz w:val="16"/>
                <w:szCs w:val="16"/>
                <w:color w:val="0000EE"/>
              </w:rPr>
            </w:pPr>
            <w:hyperlink w:anchor="page20">
              <w:r>
                <w:rPr>
                  <w:rFonts w:ascii="Arial" w:cs="Arial" w:eastAsia="Arial" w:hAnsi="Arial"/>
                  <w:sz w:val="16"/>
                  <w:szCs w:val="16"/>
                  <w:color w:val="0000EE"/>
                </w:rPr>
                <w:t>Unresolved Staff Comments</w:t>
              </w:r>
            </w:hyperlink>
          </w:p>
        </w:tc>
        <w:tc>
          <w:tcPr>
            <w:tcW w:w="1880" w:type="dxa"/>
            <w:vAlign w:val="bottom"/>
          </w:tcPr>
          <w:p>
            <w:pPr>
              <w:jc w:val="center"/>
              <w:ind w:left="319"/>
              <w:spacing w:after="0" w:line="174" w:lineRule="exact"/>
              <w:rPr>
                <w:sz w:val="20"/>
                <w:szCs w:val="20"/>
                <w:color w:val="auto"/>
              </w:rPr>
            </w:pPr>
            <w:r>
              <w:rPr>
                <w:rFonts w:ascii="Arial" w:cs="Arial" w:eastAsia="Arial" w:hAnsi="Arial"/>
                <w:sz w:val="16"/>
                <w:szCs w:val="16"/>
                <w:color w:val="auto"/>
                <w:w w:val="89"/>
              </w:rPr>
              <w:t>20</w:t>
            </w:r>
          </w:p>
        </w:tc>
      </w:tr>
      <w:tr>
        <w:trPr>
          <w:trHeight w:val="173"/>
        </w:trPr>
        <w:tc>
          <w:tcPr>
            <w:tcW w:w="1380" w:type="dxa"/>
            <w:vAlign w:val="bottom"/>
          </w:tcPr>
          <w:p>
            <w:pPr>
              <w:spacing w:after="0" w:line="174" w:lineRule="exact"/>
              <w:rPr>
                <w:sz w:val="20"/>
                <w:szCs w:val="20"/>
                <w:color w:val="auto"/>
              </w:rPr>
            </w:pPr>
            <w:r>
              <w:rPr>
                <w:rFonts w:ascii="Arial" w:cs="Arial" w:eastAsia="Arial" w:hAnsi="Arial"/>
                <w:sz w:val="16"/>
                <w:szCs w:val="16"/>
                <w:color w:val="auto"/>
              </w:rPr>
              <w:t>Item 2.</w:t>
            </w:r>
          </w:p>
        </w:tc>
        <w:tc>
          <w:tcPr>
            <w:tcW w:w="1820" w:type="dxa"/>
            <w:vAlign w:val="bottom"/>
            <w:tcBorders>
              <w:top w:val="single" w:sz="8" w:color="0000EE"/>
            </w:tcBorders>
            <w:gridSpan w:val="11"/>
          </w:tcPr>
          <w:p>
            <w:pPr>
              <w:spacing w:after="0" w:line="174" w:lineRule="exact"/>
              <w:rPr>
                <w:rFonts w:ascii="Arial" w:cs="Arial" w:eastAsia="Arial" w:hAnsi="Arial"/>
                <w:sz w:val="16"/>
                <w:szCs w:val="16"/>
                <w:color w:val="0000EE"/>
              </w:rPr>
            </w:pPr>
            <w:hyperlink w:anchor="page20">
              <w:r>
                <w:rPr>
                  <w:rFonts w:ascii="Arial" w:cs="Arial" w:eastAsia="Arial" w:hAnsi="Arial"/>
                  <w:sz w:val="16"/>
                  <w:szCs w:val="16"/>
                  <w:color w:val="0000EE"/>
                </w:rPr>
                <w:t>Properties</w:t>
              </w:r>
            </w:hyperlink>
          </w:p>
        </w:tc>
        <w:tc>
          <w:tcPr>
            <w:tcW w:w="6380" w:type="dxa"/>
            <w:vAlign w:val="bottom"/>
            <w:gridSpan w:val="22"/>
          </w:tcPr>
          <w:p>
            <w:pPr>
              <w:spacing w:after="0"/>
              <w:rPr>
                <w:sz w:val="15"/>
                <w:szCs w:val="15"/>
                <w:color w:val="auto"/>
              </w:rPr>
            </w:pPr>
          </w:p>
        </w:tc>
        <w:tc>
          <w:tcPr>
            <w:tcW w:w="1880" w:type="dxa"/>
            <w:vAlign w:val="bottom"/>
          </w:tcPr>
          <w:p>
            <w:pPr>
              <w:jc w:val="center"/>
              <w:ind w:left="319"/>
              <w:spacing w:after="0" w:line="174" w:lineRule="exact"/>
              <w:rPr>
                <w:sz w:val="20"/>
                <w:szCs w:val="20"/>
                <w:color w:val="auto"/>
              </w:rPr>
            </w:pPr>
            <w:r>
              <w:rPr>
                <w:rFonts w:ascii="Arial" w:cs="Arial" w:eastAsia="Arial" w:hAnsi="Arial"/>
                <w:sz w:val="16"/>
                <w:szCs w:val="16"/>
                <w:color w:val="auto"/>
                <w:w w:val="89"/>
              </w:rPr>
              <w:t>20</w:t>
            </w:r>
          </w:p>
        </w:tc>
      </w:tr>
      <w:tr>
        <w:trPr>
          <w:trHeight w:val="20"/>
        </w:trPr>
        <w:tc>
          <w:tcPr>
            <w:tcW w:w="138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173"/>
        </w:trPr>
        <w:tc>
          <w:tcPr>
            <w:tcW w:w="1380" w:type="dxa"/>
            <w:vAlign w:val="bottom"/>
          </w:tcPr>
          <w:p>
            <w:pPr>
              <w:spacing w:after="0" w:line="174" w:lineRule="exact"/>
              <w:rPr>
                <w:sz w:val="20"/>
                <w:szCs w:val="20"/>
                <w:color w:val="auto"/>
              </w:rPr>
            </w:pPr>
            <w:r>
              <w:rPr>
                <w:rFonts w:ascii="Arial" w:cs="Arial" w:eastAsia="Arial" w:hAnsi="Arial"/>
                <w:sz w:val="16"/>
                <w:szCs w:val="16"/>
                <w:color w:val="auto"/>
              </w:rPr>
              <w:t>Item 3.</w:t>
            </w:r>
          </w:p>
        </w:tc>
        <w:tc>
          <w:tcPr>
            <w:tcW w:w="8200" w:type="dxa"/>
            <w:vAlign w:val="bottom"/>
            <w:gridSpan w:val="33"/>
          </w:tcPr>
          <w:p>
            <w:pPr>
              <w:spacing w:after="0" w:line="174" w:lineRule="exact"/>
              <w:rPr>
                <w:rFonts w:ascii="Arial" w:cs="Arial" w:eastAsia="Arial" w:hAnsi="Arial"/>
                <w:sz w:val="16"/>
                <w:szCs w:val="16"/>
                <w:color w:val="0000EE"/>
              </w:rPr>
            </w:pPr>
            <w:hyperlink w:anchor="page21">
              <w:r>
                <w:rPr>
                  <w:rFonts w:ascii="Arial" w:cs="Arial" w:eastAsia="Arial" w:hAnsi="Arial"/>
                  <w:sz w:val="16"/>
                  <w:szCs w:val="16"/>
                  <w:color w:val="0000EE"/>
                </w:rPr>
                <w:t>Legal Proceedings</w:t>
              </w:r>
            </w:hyperlink>
          </w:p>
        </w:tc>
        <w:tc>
          <w:tcPr>
            <w:tcW w:w="1880" w:type="dxa"/>
            <w:vAlign w:val="bottom"/>
          </w:tcPr>
          <w:p>
            <w:pPr>
              <w:jc w:val="center"/>
              <w:ind w:left="319"/>
              <w:spacing w:after="0" w:line="174" w:lineRule="exact"/>
              <w:rPr>
                <w:sz w:val="20"/>
                <w:szCs w:val="20"/>
                <w:color w:val="auto"/>
              </w:rPr>
            </w:pPr>
            <w:r>
              <w:rPr>
                <w:rFonts w:ascii="Arial" w:cs="Arial" w:eastAsia="Arial" w:hAnsi="Arial"/>
                <w:sz w:val="16"/>
                <w:szCs w:val="16"/>
                <w:color w:val="auto"/>
                <w:w w:val="89"/>
              </w:rPr>
              <w:t>21</w:t>
            </w:r>
          </w:p>
        </w:tc>
      </w:tr>
      <w:tr>
        <w:trPr>
          <w:trHeight w:val="20"/>
        </w:trPr>
        <w:tc>
          <w:tcPr>
            <w:tcW w:w="1380" w:type="dxa"/>
            <w:vAlign w:val="bottom"/>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173"/>
        </w:trPr>
        <w:tc>
          <w:tcPr>
            <w:tcW w:w="1380" w:type="dxa"/>
            <w:vAlign w:val="bottom"/>
          </w:tcPr>
          <w:p>
            <w:pPr>
              <w:spacing w:after="0" w:line="174" w:lineRule="exact"/>
              <w:rPr>
                <w:sz w:val="20"/>
                <w:szCs w:val="20"/>
                <w:color w:val="auto"/>
              </w:rPr>
            </w:pPr>
            <w:r>
              <w:rPr>
                <w:rFonts w:ascii="Arial" w:cs="Arial" w:eastAsia="Arial" w:hAnsi="Arial"/>
                <w:sz w:val="16"/>
                <w:szCs w:val="16"/>
                <w:color w:val="auto"/>
              </w:rPr>
              <w:t>Item 4.</w:t>
            </w:r>
          </w:p>
        </w:tc>
        <w:tc>
          <w:tcPr>
            <w:tcW w:w="1600" w:type="dxa"/>
            <w:vAlign w:val="bottom"/>
            <w:tcBorders>
              <w:bottom w:val="single" w:sz="8" w:color="0000EE"/>
            </w:tcBorders>
            <w:gridSpan w:val="10"/>
          </w:tcPr>
          <w:p>
            <w:pPr>
              <w:spacing w:after="0" w:line="174" w:lineRule="exact"/>
              <w:rPr>
                <w:rFonts w:ascii="Arial" w:cs="Arial" w:eastAsia="Arial" w:hAnsi="Arial"/>
                <w:sz w:val="16"/>
                <w:szCs w:val="16"/>
                <w:color w:val="0000EE"/>
                <w:w w:val="92"/>
              </w:rPr>
            </w:pPr>
            <w:hyperlink w:anchor="page21">
              <w:r>
                <w:rPr>
                  <w:rFonts w:ascii="Arial" w:cs="Arial" w:eastAsia="Arial" w:hAnsi="Arial"/>
                  <w:sz w:val="16"/>
                  <w:szCs w:val="16"/>
                  <w:color w:val="0000EE"/>
                  <w:w w:val="92"/>
                </w:rPr>
                <w:t>Mine Safety Disclosures</w:t>
              </w:r>
            </w:hyperlink>
          </w:p>
        </w:tc>
        <w:tc>
          <w:tcPr>
            <w:tcW w:w="6600" w:type="dxa"/>
            <w:vAlign w:val="bottom"/>
            <w:gridSpan w:val="23"/>
          </w:tcPr>
          <w:p>
            <w:pPr>
              <w:spacing w:after="0"/>
              <w:rPr>
                <w:sz w:val="15"/>
                <w:szCs w:val="15"/>
                <w:color w:val="auto"/>
              </w:rPr>
            </w:pPr>
          </w:p>
        </w:tc>
        <w:tc>
          <w:tcPr>
            <w:tcW w:w="1880" w:type="dxa"/>
            <w:vAlign w:val="bottom"/>
          </w:tcPr>
          <w:p>
            <w:pPr>
              <w:jc w:val="center"/>
              <w:ind w:left="319"/>
              <w:spacing w:after="0" w:line="174" w:lineRule="exact"/>
              <w:rPr>
                <w:sz w:val="20"/>
                <w:szCs w:val="20"/>
                <w:color w:val="auto"/>
              </w:rPr>
            </w:pPr>
            <w:r>
              <w:rPr>
                <w:rFonts w:ascii="Arial" w:cs="Arial" w:eastAsia="Arial" w:hAnsi="Arial"/>
                <w:sz w:val="16"/>
                <w:szCs w:val="16"/>
                <w:color w:val="auto"/>
                <w:w w:val="89"/>
              </w:rPr>
              <w:t>21</w:t>
            </w:r>
          </w:p>
        </w:tc>
      </w:tr>
      <w:tr>
        <w:trPr>
          <w:trHeight w:val="173"/>
        </w:trPr>
        <w:tc>
          <w:tcPr>
            <w:tcW w:w="1380" w:type="dxa"/>
            <w:vAlign w:val="bottom"/>
          </w:tcPr>
          <w:p>
            <w:pPr>
              <w:spacing w:after="0"/>
              <w:rPr>
                <w:sz w:val="15"/>
                <w:szCs w:val="15"/>
                <w:color w:val="auto"/>
              </w:rPr>
            </w:pPr>
          </w:p>
        </w:tc>
        <w:tc>
          <w:tcPr>
            <w:tcW w:w="8200" w:type="dxa"/>
            <w:vAlign w:val="bottom"/>
            <w:gridSpan w:val="33"/>
          </w:tcPr>
          <w:p>
            <w:pPr>
              <w:spacing w:after="0" w:line="174" w:lineRule="exact"/>
              <w:rPr>
                <w:rFonts w:ascii="Arial" w:cs="Arial" w:eastAsia="Arial" w:hAnsi="Arial"/>
                <w:sz w:val="16"/>
                <w:szCs w:val="16"/>
                <w:color w:val="0000EE"/>
              </w:rPr>
            </w:pPr>
            <w:hyperlink w:anchor="page21">
              <w:r>
                <w:rPr>
                  <w:rFonts w:ascii="Arial" w:cs="Arial" w:eastAsia="Arial" w:hAnsi="Arial"/>
                  <w:sz w:val="16"/>
                  <w:szCs w:val="16"/>
                  <w:color w:val="0000EE"/>
                </w:rPr>
                <w:t>Executive Officers of the Registrant</w:t>
              </w:r>
            </w:hyperlink>
          </w:p>
        </w:tc>
        <w:tc>
          <w:tcPr>
            <w:tcW w:w="1880" w:type="dxa"/>
            <w:vAlign w:val="bottom"/>
          </w:tcPr>
          <w:p>
            <w:pPr>
              <w:jc w:val="center"/>
              <w:ind w:left="319"/>
              <w:spacing w:after="0" w:line="174" w:lineRule="exact"/>
              <w:rPr>
                <w:sz w:val="20"/>
                <w:szCs w:val="20"/>
                <w:color w:val="auto"/>
              </w:rPr>
            </w:pPr>
            <w:r>
              <w:rPr>
                <w:rFonts w:ascii="Arial" w:cs="Arial" w:eastAsia="Arial" w:hAnsi="Arial"/>
                <w:sz w:val="16"/>
                <w:szCs w:val="16"/>
                <w:color w:val="auto"/>
                <w:w w:val="89"/>
              </w:rPr>
              <w:t>21</w:t>
            </w:r>
          </w:p>
        </w:tc>
      </w:tr>
      <w:tr>
        <w:trPr>
          <w:trHeight w:val="415"/>
        </w:trPr>
        <w:tc>
          <w:tcPr>
            <w:tcW w:w="1380" w:type="dxa"/>
            <w:vAlign w:val="bottom"/>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100" w:type="dxa"/>
            <w:vAlign w:val="bottom"/>
            <w:gridSpan w:val="11"/>
          </w:tcPr>
          <w:p>
            <w:pPr>
              <w:jc w:val="center"/>
              <w:ind w:right="3640"/>
              <w:spacing w:after="0"/>
              <w:rPr>
                <w:rFonts w:ascii="Arial" w:cs="Arial" w:eastAsia="Arial" w:hAnsi="Arial"/>
                <w:sz w:val="16"/>
                <w:szCs w:val="16"/>
                <w:b w:val="1"/>
                <w:bCs w:val="1"/>
                <w:color w:val="0000EE"/>
              </w:rPr>
            </w:pPr>
            <w:hyperlink w:anchor="page25">
              <w:r>
                <w:rPr>
                  <w:rFonts w:ascii="Arial" w:cs="Arial" w:eastAsia="Arial" w:hAnsi="Arial"/>
                  <w:sz w:val="16"/>
                  <w:szCs w:val="16"/>
                  <w:b w:val="1"/>
                  <w:bCs w:val="1"/>
                  <w:color w:val="0000EE"/>
                </w:rPr>
                <w:t>Part II</w:t>
              </w:r>
            </w:hyperlink>
          </w:p>
        </w:tc>
        <w:tc>
          <w:tcPr>
            <w:tcW w:w="1880" w:type="dxa"/>
            <w:vAlign w:val="bottom"/>
          </w:tcPr>
          <w:p>
            <w:pPr>
              <w:spacing w:after="0"/>
              <w:rPr>
                <w:sz w:val="24"/>
                <w:szCs w:val="24"/>
                <w:color w:val="auto"/>
              </w:rPr>
            </w:pPr>
          </w:p>
        </w:tc>
      </w:tr>
      <w:tr>
        <w:trPr>
          <w:trHeight w:val="20"/>
        </w:trPr>
        <w:tc>
          <w:tcPr>
            <w:tcW w:w="138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391"/>
        </w:trPr>
        <w:tc>
          <w:tcPr>
            <w:tcW w:w="1380" w:type="dxa"/>
            <w:vAlign w:val="bottom"/>
          </w:tcPr>
          <w:p>
            <w:pPr>
              <w:spacing w:after="0"/>
              <w:rPr>
                <w:sz w:val="20"/>
                <w:szCs w:val="20"/>
                <w:color w:val="auto"/>
              </w:rPr>
            </w:pPr>
            <w:r>
              <w:rPr>
                <w:rFonts w:ascii="Arial" w:cs="Arial" w:eastAsia="Arial" w:hAnsi="Arial"/>
                <w:sz w:val="16"/>
                <w:szCs w:val="16"/>
                <w:color w:val="auto"/>
              </w:rPr>
              <w:t>Item 5.</w:t>
            </w:r>
          </w:p>
        </w:tc>
        <w:tc>
          <w:tcPr>
            <w:tcW w:w="8200" w:type="dxa"/>
            <w:vAlign w:val="bottom"/>
            <w:gridSpan w:val="33"/>
          </w:tcPr>
          <w:p>
            <w:pPr>
              <w:spacing w:after="0"/>
              <w:rPr>
                <w:rFonts w:ascii="Arial" w:cs="Arial" w:eastAsia="Arial" w:hAnsi="Arial"/>
                <w:sz w:val="16"/>
                <w:szCs w:val="16"/>
                <w:color w:val="0000EE"/>
              </w:rPr>
            </w:pPr>
            <w:hyperlink w:anchor="page25">
              <w:r>
                <w:rPr>
                  <w:rFonts w:ascii="Arial" w:cs="Arial" w:eastAsia="Arial" w:hAnsi="Arial"/>
                  <w:sz w:val="16"/>
                  <w:szCs w:val="16"/>
                  <w:color w:val="0000EE"/>
                </w:rPr>
                <w:t>Market for Registrant's Common Equity, Related Stockholder Matters and Issuer Purchases of Equity Securities</w:t>
              </w:r>
            </w:hyperlink>
          </w:p>
        </w:tc>
        <w:tc>
          <w:tcPr>
            <w:tcW w:w="1880" w:type="dxa"/>
            <w:vAlign w:val="bottom"/>
          </w:tcPr>
          <w:p>
            <w:pPr>
              <w:jc w:val="center"/>
              <w:ind w:left="319"/>
              <w:spacing w:after="0"/>
              <w:rPr>
                <w:sz w:val="20"/>
                <w:szCs w:val="20"/>
                <w:color w:val="auto"/>
              </w:rPr>
            </w:pPr>
            <w:r>
              <w:rPr>
                <w:rFonts w:ascii="Arial" w:cs="Arial" w:eastAsia="Arial" w:hAnsi="Arial"/>
                <w:sz w:val="16"/>
                <w:szCs w:val="16"/>
                <w:color w:val="auto"/>
                <w:w w:val="89"/>
              </w:rPr>
              <w:t>25</w:t>
            </w:r>
          </w:p>
        </w:tc>
      </w:tr>
      <w:tr>
        <w:trPr>
          <w:trHeight w:val="173"/>
        </w:trPr>
        <w:tc>
          <w:tcPr>
            <w:tcW w:w="1380" w:type="dxa"/>
            <w:vAlign w:val="bottom"/>
          </w:tcPr>
          <w:p>
            <w:pPr>
              <w:spacing w:after="0" w:line="174" w:lineRule="exact"/>
              <w:rPr>
                <w:sz w:val="20"/>
                <w:szCs w:val="20"/>
                <w:color w:val="auto"/>
              </w:rPr>
            </w:pPr>
            <w:r>
              <w:rPr>
                <w:rFonts w:ascii="Arial" w:cs="Arial" w:eastAsia="Arial" w:hAnsi="Arial"/>
                <w:sz w:val="16"/>
                <w:szCs w:val="16"/>
                <w:color w:val="auto"/>
              </w:rPr>
              <w:t>Item 6.</w:t>
            </w:r>
          </w:p>
        </w:tc>
        <w:tc>
          <w:tcPr>
            <w:tcW w:w="7200" w:type="dxa"/>
            <w:vAlign w:val="bottom"/>
            <w:tcBorders>
              <w:top w:val="single" w:sz="8" w:color="0000EE"/>
            </w:tcBorders>
            <w:gridSpan w:val="32"/>
          </w:tcPr>
          <w:p>
            <w:pPr>
              <w:spacing w:after="0" w:line="174" w:lineRule="exact"/>
              <w:rPr>
                <w:rFonts w:ascii="Arial" w:cs="Arial" w:eastAsia="Arial" w:hAnsi="Arial"/>
                <w:sz w:val="16"/>
                <w:szCs w:val="16"/>
                <w:color w:val="0000EE"/>
              </w:rPr>
            </w:pPr>
            <w:hyperlink w:anchor="page29">
              <w:r>
                <w:rPr>
                  <w:rFonts w:ascii="Arial" w:cs="Arial" w:eastAsia="Arial" w:hAnsi="Arial"/>
                  <w:sz w:val="16"/>
                  <w:szCs w:val="16"/>
                  <w:color w:val="0000EE"/>
                </w:rPr>
                <w:t>Selected Financial Data</w:t>
              </w:r>
            </w:hyperlink>
          </w:p>
        </w:tc>
        <w:tc>
          <w:tcPr>
            <w:tcW w:w="1000" w:type="dxa"/>
            <w:vAlign w:val="bottom"/>
          </w:tcPr>
          <w:p>
            <w:pPr>
              <w:spacing w:after="0"/>
              <w:rPr>
                <w:sz w:val="15"/>
                <w:szCs w:val="15"/>
                <w:color w:val="auto"/>
              </w:rPr>
            </w:pPr>
          </w:p>
        </w:tc>
        <w:tc>
          <w:tcPr>
            <w:tcW w:w="1880" w:type="dxa"/>
            <w:vAlign w:val="bottom"/>
          </w:tcPr>
          <w:p>
            <w:pPr>
              <w:jc w:val="center"/>
              <w:ind w:left="319"/>
              <w:spacing w:after="0" w:line="174" w:lineRule="exact"/>
              <w:rPr>
                <w:sz w:val="20"/>
                <w:szCs w:val="20"/>
                <w:color w:val="auto"/>
              </w:rPr>
            </w:pPr>
            <w:r>
              <w:rPr>
                <w:rFonts w:ascii="Arial" w:cs="Arial" w:eastAsia="Arial" w:hAnsi="Arial"/>
                <w:sz w:val="16"/>
                <w:szCs w:val="16"/>
                <w:color w:val="auto"/>
                <w:w w:val="89"/>
              </w:rPr>
              <w:t>29</w:t>
            </w:r>
          </w:p>
        </w:tc>
      </w:tr>
      <w:tr>
        <w:trPr>
          <w:trHeight w:val="20"/>
        </w:trPr>
        <w:tc>
          <w:tcPr>
            <w:tcW w:w="1380" w:type="dxa"/>
            <w:vAlign w:val="bottom"/>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173"/>
        </w:trPr>
        <w:tc>
          <w:tcPr>
            <w:tcW w:w="1380" w:type="dxa"/>
            <w:vAlign w:val="bottom"/>
          </w:tcPr>
          <w:p>
            <w:pPr>
              <w:spacing w:after="0" w:line="174" w:lineRule="exact"/>
              <w:rPr>
                <w:sz w:val="20"/>
                <w:szCs w:val="20"/>
                <w:color w:val="auto"/>
              </w:rPr>
            </w:pPr>
            <w:r>
              <w:rPr>
                <w:rFonts w:ascii="Arial" w:cs="Arial" w:eastAsia="Arial" w:hAnsi="Arial"/>
                <w:sz w:val="16"/>
                <w:szCs w:val="16"/>
                <w:color w:val="auto"/>
              </w:rPr>
              <w:t>Item 7.</w:t>
            </w:r>
          </w:p>
        </w:tc>
        <w:tc>
          <w:tcPr>
            <w:tcW w:w="5760" w:type="dxa"/>
            <w:vAlign w:val="bottom"/>
            <w:tcBorders>
              <w:bottom w:val="single" w:sz="8" w:color="0000EE"/>
            </w:tcBorders>
            <w:gridSpan w:val="29"/>
          </w:tcPr>
          <w:p>
            <w:pPr>
              <w:spacing w:after="0" w:line="174" w:lineRule="exact"/>
              <w:rPr>
                <w:rFonts w:ascii="Arial" w:cs="Arial" w:eastAsia="Arial" w:hAnsi="Arial"/>
                <w:sz w:val="16"/>
                <w:szCs w:val="16"/>
                <w:color w:val="0000EE"/>
                <w:w w:val="91"/>
              </w:rPr>
            </w:pPr>
            <w:hyperlink w:anchor="page31">
              <w:r>
                <w:rPr>
                  <w:rFonts w:ascii="Arial" w:cs="Arial" w:eastAsia="Arial" w:hAnsi="Arial"/>
                  <w:sz w:val="16"/>
                  <w:szCs w:val="16"/>
                  <w:color w:val="0000EE"/>
                  <w:w w:val="91"/>
                </w:rPr>
                <w:t>Management's Discussion and Analysis of Financial Condition and Results of Operations</w:t>
              </w:r>
            </w:hyperlink>
          </w:p>
        </w:tc>
        <w:tc>
          <w:tcPr>
            <w:tcW w:w="2440" w:type="dxa"/>
            <w:vAlign w:val="bottom"/>
            <w:gridSpan w:val="4"/>
          </w:tcPr>
          <w:p>
            <w:pPr>
              <w:spacing w:after="0"/>
              <w:rPr>
                <w:sz w:val="15"/>
                <w:szCs w:val="15"/>
                <w:color w:val="auto"/>
              </w:rPr>
            </w:pPr>
          </w:p>
        </w:tc>
        <w:tc>
          <w:tcPr>
            <w:tcW w:w="1880" w:type="dxa"/>
            <w:vAlign w:val="bottom"/>
          </w:tcPr>
          <w:p>
            <w:pPr>
              <w:jc w:val="center"/>
              <w:ind w:left="319"/>
              <w:spacing w:after="0" w:line="174" w:lineRule="exact"/>
              <w:rPr>
                <w:sz w:val="20"/>
                <w:szCs w:val="20"/>
                <w:color w:val="auto"/>
              </w:rPr>
            </w:pPr>
            <w:r>
              <w:rPr>
                <w:rFonts w:ascii="Arial" w:cs="Arial" w:eastAsia="Arial" w:hAnsi="Arial"/>
                <w:sz w:val="16"/>
                <w:szCs w:val="16"/>
                <w:color w:val="auto"/>
                <w:w w:val="89"/>
              </w:rPr>
              <w:t>31</w:t>
            </w:r>
          </w:p>
        </w:tc>
      </w:tr>
      <w:tr>
        <w:trPr>
          <w:trHeight w:val="173"/>
        </w:trPr>
        <w:tc>
          <w:tcPr>
            <w:tcW w:w="1380" w:type="dxa"/>
            <w:vAlign w:val="bottom"/>
          </w:tcPr>
          <w:p>
            <w:pPr>
              <w:spacing w:after="0"/>
              <w:rPr>
                <w:sz w:val="15"/>
                <w:szCs w:val="15"/>
                <w:color w:val="auto"/>
              </w:rPr>
            </w:pPr>
          </w:p>
        </w:tc>
        <w:tc>
          <w:tcPr>
            <w:tcW w:w="2080" w:type="dxa"/>
            <w:vAlign w:val="bottom"/>
            <w:tcBorders>
              <w:bottom w:val="single" w:sz="8" w:color="0000EE"/>
            </w:tcBorders>
            <w:gridSpan w:val="12"/>
          </w:tcPr>
          <w:p>
            <w:pPr>
              <w:spacing w:after="0" w:line="174" w:lineRule="exact"/>
              <w:rPr>
                <w:rFonts w:ascii="Arial" w:cs="Arial" w:eastAsia="Arial" w:hAnsi="Arial"/>
                <w:sz w:val="16"/>
                <w:szCs w:val="16"/>
                <w:color w:val="0000EE"/>
                <w:w w:val="91"/>
              </w:rPr>
            </w:pPr>
            <w:hyperlink w:anchor="page47">
              <w:r>
                <w:rPr>
                  <w:rFonts w:ascii="Arial" w:cs="Arial" w:eastAsia="Arial" w:hAnsi="Arial"/>
                  <w:sz w:val="16"/>
                  <w:szCs w:val="16"/>
                  <w:color w:val="0000EE"/>
                  <w:w w:val="91"/>
                </w:rPr>
                <w:t>Liquidity and Capital Resources</w:t>
              </w:r>
            </w:hyperlink>
          </w:p>
        </w:tc>
        <w:tc>
          <w:tcPr>
            <w:tcW w:w="6120" w:type="dxa"/>
            <w:vAlign w:val="bottom"/>
            <w:gridSpan w:val="21"/>
          </w:tcPr>
          <w:p>
            <w:pPr>
              <w:spacing w:after="0"/>
              <w:rPr>
                <w:sz w:val="15"/>
                <w:szCs w:val="15"/>
                <w:color w:val="auto"/>
              </w:rPr>
            </w:pPr>
          </w:p>
        </w:tc>
        <w:tc>
          <w:tcPr>
            <w:tcW w:w="1880" w:type="dxa"/>
            <w:vAlign w:val="bottom"/>
          </w:tcPr>
          <w:p>
            <w:pPr>
              <w:jc w:val="center"/>
              <w:ind w:left="319"/>
              <w:spacing w:after="0" w:line="174" w:lineRule="exact"/>
              <w:rPr>
                <w:sz w:val="20"/>
                <w:szCs w:val="20"/>
                <w:color w:val="auto"/>
              </w:rPr>
            </w:pPr>
            <w:r>
              <w:rPr>
                <w:rFonts w:ascii="Arial" w:cs="Arial" w:eastAsia="Arial" w:hAnsi="Arial"/>
                <w:sz w:val="16"/>
                <w:szCs w:val="16"/>
                <w:color w:val="auto"/>
                <w:w w:val="89"/>
              </w:rPr>
              <w:t>47</w:t>
            </w:r>
          </w:p>
        </w:tc>
      </w:tr>
      <w:tr>
        <w:trPr>
          <w:trHeight w:val="173"/>
        </w:trPr>
        <w:tc>
          <w:tcPr>
            <w:tcW w:w="1380" w:type="dxa"/>
            <w:vAlign w:val="bottom"/>
          </w:tcPr>
          <w:p>
            <w:pPr>
              <w:spacing w:after="0" w:line="174" w:lineRule="exact"/>
              <w:rPr>
                <w:sz w:val="20"/>
                <w:szCs w:val="20"/>
                <w:color w:val="auto"/>
              </w:rPr>
            </w:pPr>
            <w:r>
              <w:rPr>
                <w:rFonts w:ascii="Arial" w:cs="Arial" w:eastAsia="Arial" w:hAnsi="Arial"/>
                <w:sz w:val="16"/>
                <w:szCs w:val="16"/>
                <w:color w:val="auto"/>
              </w:rPr>
              <w:t>Item 7A.</w:t>
            </w:r>
          </w:p>
        </w:tc>
        <w:tc>
          <w:tcPr>
            <w:tcW w:w="3900" w:type="dxa"/>
            <w:vAlign w:val="bottom"/>
            <w:tcBorders>
              <w:bottom w:val="single" w:sz="8" w:color="0000EE"/>
            </w:tcBorders>
            <w:gridSpan w:val="19"/>
          </w:tcPr>
          <w:p>
            <w:pPr>
              <w:spacing w:after="0" w:line="174" w:lineRule="exact"/>
              <w:rPr>
                <w:rFonts w:ascii="Arial" w:cs="Arial" w:eastAsia="Arial" w:hAnsi="Arial"/>
                <w:sz w:val="16"/>
                <w:szCs w:val="16"/>
                <w:color w:val="0000EE"/>
                <w:w w:val="92"/>
              </w:rPr>
            </w:pPr>
            <w:hyperlink w:anchor="page51">
              <w:r>
                <w:rPr>
                  <w:rFonts w:ascii="Arial" w:cs="Arial" w:eastAsia="Arial" w:hAnsi="Arial"/>
                  <w:sz w:val="16"/>
                  <w:szCs w:val="16"/>
                  <w:color w:val="0000EE"/>
                  <w:w w:val="92"/>
                </w:rPr>
                <w:t>Quantitative and Qualitative Disclosures About Market Risk</w:t>
              </w:r>
            </w:hyperlink>
          </w:p>
        </w:tc>
        <w:tc>
          <w:tcPr>
            <w:tcW w:w="4300" w:type="dxa"/>
            <w:vAlign w:val="bottom"/>
            <w:gridSpan w:val="14"/>
          </w:tcPr>
          <w:p>
            <w:pPr>
              <w:spacing w:after="0"/>
              <w:rPr>
                <w:sz w:val="15"/>
                <w:szCs w:val="15"/>
                <w:color w:val="auto"/>
              </w:rPr>
            </w:pPr>
          </w:p>
        </w:tc>
        <w:tc>
          <w:tcPr>
            <w:tcW w:w="1880" w:type="dxa"/>
            <w:vAlign w:val="bottom"/>
          </w:tcPr>
          <w:p>
            <w:pPr>
              <w:jc w:val="center"/>
              <w:ind w:left="319"/>
              <w:spacing w:after="0" w:line="174" w:lineRule="exact"/>
              <w:rPr>
                <w:sz w:val="20"/>
                <w:szCs w:val="20"/>
                <w:color w:val="auto"/>
              </w:rPr>
            </w:pPr>
            <w:r>
              <w:rPr>
                <w:rFonts w:ascii="Arial" w:cs="Arial" w:eastAsia="Arial" w:hAnsi="Arial"/>
                <w:sz w:val="16"/>
                <w:szCs w:val="16"/>
                <w:color w:val="auto"/>
                <w:w w:val="89"/>
              </w:rPr>
              <w:t>51</w:t>
            </w:r>
          </w:p>
        </w:tc>
      </w:tr>
      <w:tr>
        <w:trPr>
          <w:trHeight w:val="173"/>
        </w:trPr>
        <w:tc>
          <w:tcPr>
            <w:tcW w:w="1380" w:type="dxa"/>
            <w:vAlign w:val="bottom"/>
          </w:tcPr>
          <w:p>
            <w:pPr>
              <w:spacing w:after="0" w:line="174" w:lineRule="exact"/>
              <w:rPr>
                <w:sz w:val="20"/>
                <w:szCs w:val="20"/>
                <w:color w:val="auto"/>
              </w:rPr>
            </w:pPr>
            <w:r>
              <w:rPr>
                <w:rFonts w:ascii="Arial" w:cs="Arial" w:eastAsia="Arial" w:hAnsi="Arial"/>
                <w:sz w:val="16"/>
                <w:szCs w:val="16"/>
                <w:color w:val="auto"/>
              </w:rPr>
              <w:t>Item 8.</w:t>
            </w:r>
          </w:p>
        </w:tc>
        <w:tc>
          <w:tcPr>
            <w:tcW w:w="2980" w:type="dxa"/>
            <w:vAlign w:val="bottom"/>
            <w:tcBorders>
              <w:bottom w:val="single" w:sz="8" w:color="0000EE"/>
            </w:tcBorders>
            <w:gridSpan w:val="16"/>
          </w:tcPr>
          <w:p>
            <w:pPr>
              <w:spacing w:after="0" w:line="174" w:lineRule="exact"/>
              <w:rPr>
                <w:rFonts w:ascii="Arial" w:cs="Arial" w:eastAsia="Arial" w:hAnsi="Arial"/>
                <w:sz w:val="16"/>
                <w:szCs w:val="16"/>
                <w:color w:val="0000EE"/>
                <w:w w:val="89"/>
              </w:rPr>
            </w:pPr>
            <w:hyperlink w:anchor="page52">
              <w:r>
                <w:rPr>
                  <w:rFonts w:ascii="Arial" w:cs="Arial" w:eastAsia="Arial" w:hAnsi="Arial"/>
                  <w:sz w:val="16"/>
                  <w:szCs w:val="16"/>
                  <w:color w:val="0000EE"/>
                  <w:w w:val="89"/>
                </w:rPr>
                <w:t>Financial Statements and Supplementary Data</w:t>
              </w:r>
            </w:hyperlink>
          </w:p>
        </w:tc>
        <w:tc>
          <w:tcPr>
            <w:tcW w:w="5220" w:type="dxa"/>
            <w:vAlign w:val="bottom"/>
            <w:gridSpan w:val="17"/>
          </w:tcPr>
          <w:p>
            <w:pPr>
              <w:spacing w:after="0"/>
              <w:rPr>
                <w:sz w:val="15"/>
                <w:szCs w:val="15"/>
                <w:color w:val="auto"/>
              </w:rPr>
            </w:pPr>
          </w:p>
        </w:tc>
        <w:tc>
          <w:tcPr>
            <w:tcW w:w="1880" w:type="dxa"/>
            <w:vAlign w:val="bottom"/>
          </w:tcPr>
          <w:p>
            <w:pPr>
              <w:jc w:val="center"/>
              <w:ind w:left="319"/>
              <w:spacing w:after="0" w:line="174" w:lineRule="exact"/>
              <w:rPr>
                <w:sz w:val="20"/>
                <w:szCs w:val="20"/>
                <w:color w:val="auto"/>
              </w:rPr>
            </w:pPr>
            <w:r>
              <w:rPr>
                <w:rFonts w:ascii="Arial" w:cs="Arial" w:eastAsia="Arial" w:hAnsi="Arial"/>
                <w:sz w:val="16"/>
                <w:szCs w:val="16"/>
                <w:color w:val="auto"/>
                <w:w w:val="89"/>
              </w:rPr>
              <w:t>52</w:t>
            </w:r>
          </w:p>
        </w:tc>
      </w:tr>
      <w:tr>
        <w:trPr>
          <w:trHeight w:val="173"/>
        </w:trPr>
        <w:tc>
          <w:tcPr>
            <w:tcW w:w="1380" w:type="dxa"/>
            <w:vAlign w:val="bottom"/>
          </w:tcPr>
          <w:p>
            <w:pPr>
              <w:spacing w:after="0" w:line="174" w:lineRule="exact"/>
              <w:rPr>
                <w:sz w:val="20"/>
                <w:szCs w:val="20"/>
                <w:color w:val="auto"/>
              </w:rPr>
            </w:pPr>
            <w:r>
              <w:rPr>
                <w:rFonts w:ascii="Arial" w:cs="Arial" w:eastAsia="Arial" w:hAnsi="Arial"/>
                <w:sz w:val="16"/>
                <w:szCs w:val="16"/>
                <w:color w:val="auto"/>
              </w:rPr>
              <w:t>Item 9.</w:t>
            </w:r>
          </w:p>
        </w:tc>
        <w:tc>
          <w:tcPr>
            <w:tcW w:w="8200" w:type="dxa"/>
            <w:vAlign w:val="bottom"/>
            <w:gridSpan w:val="33"/>
          </w:tcPr>
          <w:p>
            <w:pPr>
              <w:spacing w:after="0" w:line="174" w:lineRule="exact"/>
              <w:rPr>
                <w:rFonts w:ascii="Arial" w:cs="Arial" w:eastAsia="Arial" w:hAnsi="Arial"/>
                <w:sz w:val="16"/>
                <w:szCs w:val="16"/>
                <w:color w:val="0000EE"/>
              </w:rPr>
            </w:pPr>
            <w:hyperlink w:anchor="page104">
              <w:r>
                <w:rPr>
                  <w:rFonts w:ascii="Arial" w:cs="Arial" w:eastAsia="Arial" w:hAnsi="Arial"/>
                  <w:sz w:val="16"/>
                  <w:szCs w:val="16"/>
                  <w:color w:val="0000EE"/>
                </w:rPr>
                <w:t>Changes in and Disagreements With Accountants on Accounting and Financial Disclosure</w:t>
              </w:r>
            </w:hyperlink>
          </w:p>
        </w:tc>
        <w:tc>
          <w:tcPr>
            <w:tcW w:w="1880" w:type="dxa"/>
            <w:vAlign w:val="bottom"/>
          </w:tcPr>
          <w:p>
            <w:pPr>
              <w:jc w:val="center"/>
              <w:ind w:left="319"/>
              <w:spacing w:after="0" w:line="174" w:lineRule="exact"/>
              <w:rPr>
                <w:sz w:val="20"/>
                <w:szCs w:val="20"/>
                <w:color w:val="auto"/>
              </w:rPr>
            </w:pPr>
            <w:r>
              <w:rPr>
                <w:rFonts w:ascii="Arial" w:cs="Arial" w:eastAsia="Arial" w:hAnsi="Arial"/>
                <w:sz w:val="16"/>
                <w:szCs w:val="16"/>
                <w:color w:val="auto"/>
                <w:w w:val="89"/>
              </w:rPr>
              <w:t>104</w:t>
            </w:r>
          </w:p>
        </w:tc>
      </w:tr>
      <w:tr>
        <w:trPr>
          <w:trHeight w:val="173"/>
        </w:trPr>
        <w:tc>
          <w:tcPr>
            <w:tcW w:w="1380" w:type="dxa"/>
            <w:vAlign w:val="bottom"/>
          </w:tcPr>
          <w:p>
            <w:pPr>
              <w:spacing w:after="0" w:line="174" w:lineRule="exact"/>
              <w:rPr>
                <w:sz w:val="20"/>
                <w:szCs w:val="20"/>
                <w:color w:val="auto"/>
              </w:rPr>
            </w:pPr>
            <w:r>
              <w:rPr>
                <w:rFonts w:ascii="Arial" w:cs="Arial" w:eastAsia="Arial" w:hAnsi="Arial"/>
                <w:sz w:val="16"/>
                <w:szCs w:val="16"/>
                <w:color w:val="auto"/>
              </w:rPr>
              <w:t>Item 9A.</w:t>
            </w:r>
          </w:p>
        </w:tc>
        <w:tc>
          <w:tcPr>
            <w:tcW w:w="1580" w:type="dxa"/>
            <w:vAlign w:val="bottom"/>
            <w:tcBorders>
              <w:top w:val="single" w:sz="8" w:color="0000EE"/>
              <w:bottom w:val="single" w:sz="8" w:color="0000EE"/>
            </w:tcBorders>
            <w:gridSpan w:val="9"/>
          </w:tcPr>
          <w:p>
            <w:pPr>
              <w:spacing w:after="0" w:line="174" w:lineRule="exact"/>
              <w:rPr>
                <w:rFonts w:ascii="Arial" w:cs="Arial" w:eastAsia="Arial" w:hAnsi="Arial"/>
                <w:sz w:val="16"/>
                <w:szCs w:val="16"/>
                <w:color w:val="0000EE"/>
                <w:w w:val="88"/>
              </w:rPr>
            </w:pPr>
            <w:hyperlink w:anchor="page104">
              <w:r>
                <w:rPr>
                  <w:rFonts w:ascii="Arial" w:cs="Arial" w:eastAsia="Arial" w:hAnsi="Arial"/>
                  <w:sz w:val="16"/>
                  <w:szCs w:val="16"/>
                  <w:color w:val="0000EE"/>
                  <w:w w:val="88"/>
                </w:rPr>
                <w:t>Controls and Procedures</w:t>
              </w:r>
            </w:hyperlink>
          </w:p>
        </w:tc>
        <w:tc>
          <w:tcPr>
            <w:tcW w:w="4240" w:type="dxa"/>
            <w:vAlign w:val="bottom"/>
            <w:tcBorders>
              <w:top w:val="single" w:sz="8" w:color="0000EE"/>
            </w:tcBorders>
            <w:gridSpan w:val="21"/>
          </w:tcPr>
          <w:p>
            <w:pPr>
              <w:spacing w:after="0"/>
              <w:rPr>
                <w:sz w:val="15"/>
                <w:szCs w:val="15"/>
                <w:color w:val="auto"/>
              </w:rPr>
            </w:pPr>
          </w:p>
        </w:tc>
        <w:tc>
          <w:tcPr>
            <w:tcW w:w="2380" w:type="dxa"/>
            <w:vAlign w:val="bottom"/>
            <w:gridSpan w:val="3"/>
          </w:tcPr>
          <w:p>
            <w:pPr>
              <w:spacing w:after="0"/>
              <w:rPr>
                <w:sz w:val="15"/>
                <w:szCs w:val="15"/>
                <w:color w:val="auto"/>
              </w:rPr>
            </w:pPr>
          </w:p>
        </w:tc>
        <w:tc>
          <w:tcPr>
            <w:tcW w:w="1880" w:type="dxa"/>
            <w:vAlign w:val="bottom"/>
          </w:tcPr>
          <w:p>
            <w:pPr>
              <w:jc w:val="center"/>
              <w:ind w:left="319"/>
              <w:spacing w:after="0" w:line="174" w:lineRule="exact"/>
              <w:rPr>
                <w:sz w:val="20"/>
                <w:szCs w:val="20"/>
                <w:color w:val="auto"/>
              </w:rPr>
            </w:pPr>
            <w:r>
              <w:rPr>
                <w:rFonts w:ascii="Arial" w:cs="Arial" w:eastAsia="Arial" w:hAnsi="Arial"/>
                <w:sz w:val="16"/>
                <w:szCs w:val="16"/>
                <w:color w:val="auto"/>
                <w:w w:val="89"/>
              </w:rPr>
              <w:t>104</w:t>
            </w:r>
          </w:p>
        </w:tc>
      </w:tr>
      <w:tr>
        <w:trPr>
          <w:trHeight w:val="173"/>
        </w:trPr>
        <w:tc>
          <w:tcPr>
            <w:tcW w:w="1380" w:type="dxa"/>
            <w:vAlign w:val="bottom"/>
          </w:tcPr>
          <w:p>
            <w:pPr>
              <w:spacing w:after="0" w:line="174" w:lineRule="exact"/>
              <w:rPr>
                <w:sz w:val="20"/>
                <w:szCs w:val="20"/>
                <w:color w:val="auto"/>
              </w:rPr>
            </w:pPr>
            <w:r>
              <w:rPr>
                <w:rFonts w:ascii="Arial" w:cs="Arial" w:eastAsia="Arial" w:hAnsi="Arial"/>
                <w:sz w:val="16"/>
                <w:szCs w:val="16"/>
                <w:color w:val="auto"/>
              </w:rPr>
              <w:t>Item 9B.</w:t>
            </w:r>
          </w:p>
        </w:tc>
        <w:tc>
          <w:tcPr>
            <w:tcW w:w="8200" w:type="dxa"/>
            <w:vAlign w:val="bottom"/>
            <w:gridSpan w:val="33"/>
          </w:tcPr>
          <w:p>
            <w:pPr>
              <w:spacing w:after="0" w:line="174" w:lineRule="exact"/>
              <w:rPr>
                <w:rFonts w:ascii="Arial" w:cs="Arial" w:eastAsia="Arial" w:hAnsi="Arial"/>
                <w:sz w:val="16"/>
                <w:szCs w:val="16"/>
                <w:color w:val="0000EE"/>
              </w:rPr>
            </w:pPr>
            <w:hyperlink w:anchor="page104">
              <w:r>
                <w:rPr>
                  <w:rFonts w:ascii="Arial" w:cs="Arial" w:eastAsia="Arial" w:hAnsi="Arial"/>
                  <w:sz w:val="16"/>
                  <w:szCs w:val="16"/>
                  <w:color w:val="0000EE"/>
                </w:rPr>
                <w:t>Other Information</w:t>
              </w:r>
            </w:hyperlink>
          </w:p>
        </w:tc>
        <w:tc>
          <w:tcPr>
            <w:tcW w:w="1880" w:type="dxa"/>
            <w:vAlign w:val="bottom"/>
          </w:tcPr>
          <w:p>
            <w:pPr>
              <w:jc w:val="center"/>
              <w:ind w:left="319"/>
              <w:spacing w:after="0" w:line="174" w:lineRule="exact"/>
              <w:rPr>
                <w:sz w:val="20"/>
                <w:szCs w:val="20"/>
                <w:color w:val="auto"/>
              </w:rPr>
            </w:pPr>
            <w:r>
              <w:rPr>
                <w:rFonts w:ascii="Arial" w:cs="Arial" w:eastAsia="Arial" w:hAnsi="Arial"/>
                <w:sz w:val="16"/>
                <w:szCs w:val="16"/>
                <w:color w:val="auto"/>
                <w:w w:val="89"/>
              </w:rPr>
              <w:t>104</w:t>
            </w:r>
          </w:p>
        </w:tc>
      </w:tr>
      <w:tr>
        <w:trPr>
          <w:trHeight w:val="391"/>
        </w:trPr>
        <w:tc>
          <w:tcPr>
            <w:tcW w:w="1380" w:type="dxa"/>
            <w:vAlign w:val="bottom"/>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Borders>
              <w:bottom w:val="single" w:sz="8" w:color="0000EE"/>
            </w:tcBorders>
            <w:gridSpan w:val="7"/>
          </w:tcPr>
          <w:p>
            <w:pPr>
              <w:jc w:val="center"/>
              <w:ind w:right="20"/>
              <w:spacing w:after="0"/>
              <w:rPr>
                <w:rFonts w:ascii="Arial" w:cs="Arial" w:eastAsia="Arial" w:hAnsi="Arial"/>
                <w:sz w:val="16"/>
                <w:szCs w:val="16"/>
                <w:b w:val="1"/>
                <w:bCs w:val="1"/>
                <w:color w:val="0000EE"/>
              </w:rPr>
            </w:pPr>
            <w:hyperlink w:anchor="page105">
              <w:r>
                <w:rPr>
                  <w:rFonts w:ascii="Arial" w:cs="Arial" w:eastAsia="Arial" w:hAnsi="Arial"/>
                  <w:sz w:val="16"/>
                  <w:szCs w:val="16"/>
                  <w:b w:val="1"/>
                  <w:bCs w:val="1"/>
                  <w:color w:val="0000EE"/>
                </w:rPr>
                <w:t>Part III</w:t>
              </w:r>
            </w:hyperlink>
          </w:p>
        </w:tc>
        <w:tc>
          <w:tcPr>
            <w:tcW w:w="3580" w:type="dxa"/>
            <w:vAlign w:val="bottom"/>
            <w:gridSpan w:val="6"/>
          </w:tcPr>
          <w:p>
            <w:pPr>
              <w:spacing w:after="0"/>
              <w:rPr>
                <w:sz w:val="24"/>
                <w:szCs w:val="24"/>
                <w:color w:val="auto"/>
              </w:rPr>
            </w:pPr>
          </w:p>
        </w:tc>
        <w:tc>
          <w:tcPr>
            <w:tcW w:w="1880" w:type="dxa"/>
            <w:vAlign w:val="bottom"/>
          </w:tcPr>
          <w:p>
            <w:pPr>
              <w:spacing w:after="0"/>
              <w:rPr>
                <w:sz w:val="24"/>
                <w:szCs w:val="24"/>
                <w:color w:val="auto"/>
              </w:rPr>
            </w:pPr>
          </w:p>
        </w:tc>
      </w:tr>
      <w:tr>
        <w:trPr>
          <w:trHeight w:val="391"/>
        </w:trPr>
        <w:tc>
          <w:tcPr>
            <w:tcW w:w="1380" w:type="dxa"/>
            <w:vAlign w:val="bottom"/>
          </w:tcPr>
          <w:p>
            <w:pPr>
              <w:spacing w:after="0"/>
              <w:rPr>
                <w:sz w:val="20"/>
                <w:szCs w:val="20"/>
                <w:color w:val="auto"/>
              </w:rPr>
            </w:pPr>
            <w:r>
              <w:rPr>
                <w:rFonts w:ascii="Arial" w:cs="Arial" w:eastAsia="Arial" w:hAnsi="Arial"/>
                <w:sz w:val="16"/>
                <w:szCs w:val="16"/>
                <w:color w:val="auto"/>
              </w:rPr>
              <w:t>Item 10.</w:t>
            </w:r>
          </w:p>
        </w:tc>
        <w:tc>
          <w:tcPr>
            <w:tcW w:w="3660" w:type="dxa"/>
            <w:vAlign w:val="bottom"/>
            <w:tcBorders>
              <w:bottom w:val="single" w:sz="8" w:color="0000EE"/>
            </w:tcBorders>
            <w:gridSpan w:val="18"/>
          </w:tcPr>
          <w:p>
            <w:pPr>
              <w:spacing w:after="0"/>
              <w:rPr>
                <w:rFonts w:ascii="Arial" w:cs="Arial" w:eastAsia="Arial" w:hAnsi="Arial"/>
                <w:sz w:val="16"/>
                <w:szCs w:val="16"/>
                <w:color w:val="0000EE"/>
                <w:w w:val="90"/>
              </w:rPr>
            </w:pPr>
            <w:hyperlink w:anchor="page105">
              <w:r>
                <w:rPr>
                  <w:rFonts w:ascii="Arial" w:cs="Arial" w:eastAsia="Arial" w:hAnsi="Arial"/>
                  <w:sz w:val="16"/>
                  <w:szCs w:val="16"/>
                  <w:color w:val="0000EE"/>
                  <w:w w:val="90"/>
                </w:rPr>
                <w:t>Directors, Executive Officers and Corporate Governance</w:t>
              </w:r>
            </w:hyperlink>
          </w:p>
        </w:tc>
        <w:tc>
          <w:tcPr>
            <w:tcW w:w="4540" w:type="dxa"/>
            <w:vAlign w:val="bottom"/>
            <w:gridSpan w:val="15"/>
          </w:tcPr>
          <w:p>
            <w:pPr>
              <w:spacing w:after="0"/>
              <w:rPr>
                <w:sz w:val="24"/>
                <w:szCs w:val="24"/>
                <w:color w:val="auto"/>
              </w:rPr>
            </w:pPr>
          </w:p>
        </w:tc>
        <w:tc>
          <w:tcPr>
            <w:tcW w:w="1880" w:type="dxa"/>
            <w:vAlign w:val="bottom"/>
          </w:tcPr>
          <w:p>
            <w:pPr>
              <w:jc w:val="center"/>
              <w:ind w:left="319"/>
              <w:spacing w:after="0"/>
              <w:rPr>
                <w:sz w:val="20"/>
                <w:szCs w:val="20"/>
                <w:color w:val="auto"/>
              </w:rPr>
            </w:pPr>
            <w:r>
              <w:rPr>
                <w:rFonts w:ascii="Arial" w:cs="Arial" w:eastAsia="Arial" w:hAnsi="Arial"/>
                <w:sz w:val="16"/>
                <w:szCs w:val="16"/>
                <w:color w:val="auto"/>
                <w:w w:val="89"/>
              </w:rPr>
              <w:t>105</w:t>
            </w:r>
          </w:p>
        </w:tc>
      </w:tr>
      <w:tr>
        <w:trPr>
          <w:trHeight w:val="173"/>
        </w:trPr>
        <w:tc>
          <w:tcPr>
            <w:tcW w:w="1380" w:type="dxa"/>
            <w:vAlign w:val="bottom"/>
          </w:tcPr>
          <w:p>
            <w:pPr>
              <w:spacing w:after="0" w:line="174" w:lineRule="exact"/>
              <w:rPr>
                <w:sz w:val="20"/>
                <w:szCs w:val="20"/>
                <w:color w:val="auto"/>
              </w:rPr>
            </w:pPr>
            <w:r>
              <w:rPr>
                <w:rFonts w:ascii="Arial" w:cs="Arial" w:eastAsia="Arial" w:hAnsi="Arial"/>
                <w:sz w:val="16"/>
                <w:szCs w:val="16"/>
                <w:color w:val="auto"/>
              </w:rPr>
              <w:t>Item 11.</w:t>
            </w:r>
          </w:p>
        </w:tc>
        <w:tc>
          <w:tcPr>
            <w:tcW w:w="8200" w:type="dxa"/>
            <w:vAlign w:val="bottom"/>
            <w:gridSpan w:val="33"/>
          </w:tcPr>
          <w:p>
            <w:pPr>
              <w:spacing w:after="0" w:line="174" w:lineRule="exact"/>
              <w:rPr>
                <w:rFonts w:ascii="Arial" w:cs="Arial" w:eastAsia="Arial" w:hAnsi="Arial"/>
                <w:sz w:val="16"/>
                <w:szCs w:val="16"/>
                <w:color w:val="0000EE"/>
              </w:rPr>
            </w:pPr>
            <w:hyperlink w:anchor="page105">
              <w:r>
                <w:rPr>
                  <w:rFonts w:ascii="Arial" w:cs="Arial" w:eastAsia="Arial" w:hAnsi="Arial"/>
                  <w:sz w:val="16"/>
                  <w:szCs w:val="16"/>
                  <w:color w:val="0000EE"/>
                </w:rPr>
                <w:t>Executive Compensation</w:t>
              </w:r>
            </w:hyperlink>
          </w:p>
        </w:tc>
        <w:tc>
          <w:tcPr>
            <w:tcW w:w="1880" w:type="dxa"/>
            <w:vAlign w:val="bottom"/>
          </w:tcPr>
          <w:p>
            <w:pPr>
              <w:jc w:val="center"/>
              <w:ind w:left="319"/>
              <w:spacing w:after="0" w:line="174" w:lineRule="exact"/>
              <w:rPr>
                <w:sz w:val="20"/>
                <w:szCs w:val="20"/>
                <w:color w:val="auto"/>
              </w:rPr>
            </w:pPr>
            <w:r>
              <w:rPr>
                <w:rFonts w:ascii="Arial" w:cs="Arial" w:eastAsia="Arial" w:hAnsi="Arial"/>
                <w:sz w:val="16"/>
                <w:szCs w:val="16"/>
                <w:color w:val="auto"/>
                <w:w w:val="89"/>
              </w:rPr>
              <w:t>105</w:t>
            </w:r>
          </w:p>
        </w:tc>
      </w:tr>
      <w:tr>
        <w:trPr>
          <w:trHeight w:val="20"/>
        </w:trPr>
        <w:tc>
          <w:tcPr>
            <w:tcW w:w="1380" w:type="dxa"/>
            <w:vAlign w:val="bottom"/>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173"/>
        </w:trPr>
        <w:tc>
          <w:tcPr>
            <w:tcW w:w="1380" w:type="dxa"/>
            <w:vAlign w:val="bottom"/>
          </w:tcPr>
          <w:p>
            <w:pPr>
              <w:spacing w:after="0" w:line="174" w:lineRule="exact"/>
              <w:rPr>
                <w:sz w:val="20"/>
                <w:szCs w:val="20"/>
                <w:color w:val="auto"/>
              </w:rPr>
            </w:pPr>
            <w:r>
              <w:rPr>
                <w:rFonts w:ascii="Arial" w:cs="Arial" w:eastAsia="Arial" w:hAnsi="Arial"/>
                <w:sz w:val="16"/>
                <w:szCs w:val="16"/>
                <w:color w:val="auto"/>
              </w:rPr>
              <w:t>Item 12.</w:t>
            </w:r>
          </w:p>
        </w:tc>
        <w:tc>
          <w:tcPr>
            <w:tcW w:w="8200" w:type="dxa"/>
            <w:vAlign w:val="bottom"/>
            <w:gridSpan w:val="33"/>
          </w:tcPr>
          <w:p>
            <w:pPr>
              <w:spacing w:after="0" w:line="174" w:lineRule="exact"/>
              <w:rPr>
                <w:rFonts w:ascii="Arial" w:cs="Arial" w:eastAsia="Arial" w:hAnsi="Arial"/>
                <w:sz w:val="16"/>
                <w:szCs w:val="16"/>
                <w:color w:val="0000EE"/>
              </w:rPr>
            </w:pPr>
            <w:hyperlink w:anchor="page105">
              <w:r>
                <w:rPr>
                  <w:rFonts w:ascii="Arial" w:cs="Arial" w:eastAsia="Arial" w:hAnsi="Arial"/>
                  <w:sz w:val="16"/>
                  <w:szCs w:val="16"/>
                  <w:color w:val="0000EE"/>
                </w:rPr>
                <w:t>Security Ownership of Certain Beneficial Owners and Management and Related Stockholder Matters</w:t>
              </w:r>
            </w:hyperlink>
          </w:p>
        </w:tc>
        <w:tc>
          <w:tcPr>
            <w:tcW w:w="1880" w:type="dxa"/>
            <w:vAlign w:val="bottom"/>
          </w:tcPr>
          <w:p>
            <w:pPr>
              <w:jc w:val="center"/>
              <w:ind w:left="319"/>
              <w:spacing w:after="0" w:line="174" w:lineRule="exact"/>
              <w:rPr>
                <w:sz w:val="20"/>
                <w:szCs w:val="20"/>
                <w:color w:val="auto"/>
              </w:rPr>
            </w:pPr>
            <w:r>
              <w:rPr>
                <w:rFonts w:ascii="Arial" w:cs="Arial" w:eastAsia="Arial" w:hAnsi="Arial"/>
                <w:sz w:val="16"/>
                <w:szCs w:val="16"/>
                <w:color w:val="auto"/>
                <w:w w:val="89"/>
              </w:rPr>
              <w:t>105</w:t>
            </w:r>
          </w:p>
        </w:tc>
      </w:tr>
      <w:tr>
        <w:trPr>
          <w:trHeight w:val="173"/>
        </w:trPr>
        <w:tc>
          <w:tcPr>
            <w:tcW w:w="1380" w:type="dxa"/>
            <w:vAlign w:val="bottom"/>
          </w:tcPr>
          <w:p>
            <w:pPr>
              <w:spacing w:after="0" w:line="174" w:lineRule="exact"/>
              <w:rPr>
                <w:sz w:val="20"/>
                <w:szCs w:val="20"/>
                <w:color w:val="auto"/>
              </w:rPr>
            </w:pPr>
            <w:r>
              <w:rPr>
                <w:rFonts w:ascii="Arial" w:cs="Arial" w:eastAsia="Arial" w:hAnsi="Arial"/>
                <w:sz w:val="16"/>
                <w:szCs w:val="16"/>
                <w:color w:val="auto"/>
              </w:rPr>
              <w:t>Item 13.</w:t>
            </w:r>
          </w:p>
        </w:tc>
        <w:tc>
          <w:tcPr>
            <w:tcW w:w="4880" w:type="dxa"/>
            <w:vAlign w:val="bottom"/>
            <w:tcBorders>
              <w:top w:val="single" w:sz="8" w:color="0000EE"/>
              <w:bottom w:val="single" w:sz="8" w:color="0000EE"/>
            </w:tcBorders>
            <w:gridSpan w:val="28"/>
          </w:tcPr>
          <w:p>
            <w:pPr>
              <w:spacing w:after="0" w:line="174" w:lineRule="exact"/>
              <w:rPr>
                <w:rFonts w:ascii="Arial" w:cs="Arial" w:eastAsia="Arial" w:hAnsi="Arial"/>
                <w:sz w:val="16"/>
                <w:szCs w:val="16"/>
                <w:color w:val="0000EE"/>
                <w:w w:val="89"/>
              </w:rPr>
            </w:pPr>
            <w:hyperlink w:anchor="page105">
              <w:r>
                <w:rPr>
                  <w:rFonts w:ascii="Arial" w:cs="Arial" w:eastAsia="Arial" w:hAnsi="Arial"/>
                  <w:sz w:val="16"/>
                  <w:szCs w:val="16"/>
                  <w:color w:val="0000EE"/>
                  <w:w w:val="89"/>
                </w:rPr>
                <w:t>Certain Relationships and Related Transactions, and Director Independence</w:t>
              </w:r>
            </w:hyperlink>
          </w:p>
        </w:tc>
        <w:tc>
          <w:tcPr>
            <w:tcW w:w="1640" w:type="dxa"/>
            <w:vAlign w:val="bottom"/>
            <w:tcBorders>
              <w:top w:val="single" w:sz="8" w:color="0000EE"/>
            </w:tcBorders>
            <w:gridSpan w:val="3"/>
          </w:tcPr>
          <w:p>
            <w:pPr>
              <w:spacing w:after="0"/>
              <w:rPr>
                <w:sz w:val="15"/>
                <w:szCs w:val="15"/>
                <w:color w:val="auto"/>
              </w:rPr>
            </w:pPr>
          </w:p>
        </w:tc>
        <w:tc>
          <w:tcPr>
            <w:tcW w:w="1680" w:type="dxa"/>
            <w:vAlign w:val="bottom"/>
            <w:gridSpan w:val="2"/>
          </w:tcPr>
          <w:p>
            <w:pPr>
              <w:spacing w:after="0"/>
              <w:rPr>
                <w:sz w:val="15"/>
                <w:szCs w:val="15"/>
                <w:color w:val="auto"/>
              </w:rPr>
            </w:pPr>
          </w:p>
        </w:tc>
        <w:tc>
          <w:tcPr>
            <w:tcW w:w="1880" w:type="dxa"/>
            <w:vAlign w:val="bottom"/>
          </w:tcPr>
          <w:p>
            <w:pPr>
              <w:jc w:val="center"/>
              <w:ind w:left="319"/>
              <w:spacing w:after="0" w:line="174" w:lineRule="exact"/>
              <w:rPr>
                <w:sz w:val="20"/>
                <w:szCs w:val="20"/>
                <w:color w:val="auto"/>
              </w:rPr>
            </w:pPr>
            <w:r>
              <w:rPr>
                <w:rFonts w:ascii="Arial" w:cs="Arial" w:eastAsia="Arial" w:hAnsi="Arial"/>
                <w:sz w:val="16"/>
                <w:szCs w:val="16"/>
                <w:color w:val="auto"/>
                <w:w w:val="89"/>
              </w:rPr>
              <w:t>105</w:t>
            </w:r>
          </w:p>
        </w:tc>
      </w:tr>
      <w:tr>
        <w:trPr>
          <w:trHeight w:val="173"/>
        </w:trPr>
        <w:tc>
          <w:tcPr>
            <w:tcW w:w="1380" w:type="dxa"/>
            <w:vAlign w:val="bottom"/>
          </w:tcPr>
          <w:p>
            <w:pPr>
              <w:spacing w:after="0" w:line="174" w:lineRule="exact"/>
              <w:rPr>
                <w:sz w:val="20"/>
                <w:szCs w:val="20"/>
                <w:color w:val="auto"/>
              </w:rPr>
            </w:pPr>
            <w:r>
              <w:rPr>
                <w:rFonts w:ascii="Arial" w:cs="Arial" w:eastAsia="Arial" w:hAnsi="Arial"/>
                <w:sz w:val="16"/>
                <w:szCs w:val="16"/>
                <w:color w:val="auto"/>
              </w:rPr>
              <w:t>Item 14.</w:t>
            </w:r>
          </w:p>
        </w:tc>
        <w:tc>
          <w:tcPr>
            <w:tcW w:w="8200" w:type="dxa"/>
            <w:vAlign w:val="bottom"/>
            <w:gridSpan w:val="33"/>
          </w:tcPr>
          <w:p>
            <w:pPr>
              <w:spacing w:after="0" w:line="174" w:lineRule="exact"/>
              <w:rPr>
                <w:rFonts w:ascii="Arial" w:cs="Arial" w:eastAsia="Arial" w:hAnsi="Arial"/>
                <w:sz w:val="16"/>
                <w:szCs w:val="16"/>
                <w:color w:val="0000EE"/>
              </w:rPr>
            </w:pPr>
            <w:hyperlink w:anchor="page105">
              <w:r>
                <w:rPr>
                  <w:rFonts w:ascii="Arial" w:cs="Arial" w:eastAsia="Arial" w:hAnsi="Arial"/>
                  <w:sz w:val="16"/>
                  <w:szCs w:val="16"/>
                  <w:color w:val="0000EE"/>
                </w:rPr>
                <w:t>Principal Accounting Fees and Services</w:t>
              </w:r>
            </w:hyperlink>
          </w:p>
        </w:tc>
        <w:tc>
          <w:tcPr>
            <w:tcW w:w="1880" w:type="dxa"/>
            <w:vAlign w:val="bottom"/>
          </w:tcPr>
          <w:p>
            <w:pPr>
              <w:jc w:val="center"/>
              <w:ind w:left="319"/>
              <w:spacing w:after="0" w:line="174" w:lineRule="exact"/>
              <w:rPr>
                <w:sz w:val="20"/>
                <w:szCs w:val="20"/>
                <w:color w:val="auto"/>
              </w:rPr>
            </w:pPr>
            <w:r>
              <w:rPr>
                <w:rFonts w:ascii="Arial" w:cs="Arial" w:eastAsia="Arial" w:hAnsi="Arial"/>
                <w:sz w:val="16"/>
                <w:szCs w:val="16"/>
                <w:color w:val="auto"/>
                <w:w w:val="89"/>
              </w:rPr>
              <w:t>105</w:t>
            </w:r>
          </w:p>
        </w:tc>
      </w:tr>
      <w:tr>
        <w:trPr>
          <w:trHeight w:val="391"/>
        </w:trPr>
        <w:tc>
          <w:tcPr>
            <w:tcW w:w="1380" w:type="dxa"/>
            <w:vAlign w:val="bottom"/>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140" w:type="dxa"/>
            <w:vAlign w:val="bottom"/>
            <w:gridSpan w:val="13"/>
          </w:tcPr>
          <w:p>
            <w:pPr>
              <w:jc w:val="center"/>
              <w:ind w:right="3580"/>
              <w:spacing w:after="0"/>
              <w:rPr>
                <w:rFonts w:ascii="Arial" w:cs="Arial" w:eastAsia="Arial" w:hAnsi="Arial"/>
                <w:sz w:val="16"/>
                <w:szCs w:val="16"/>
                <w:b w:val="1"/>
                <w:bCs w:val="1"/>
                <w:color w:val="0000EE"/>
              </w:rPr>
            </w:pPr>
            <w:hyperlink w:anchor="page106">
              <w:r>
                <w:rPr>
                  <w:rFonts w:ascii="Arial" w:cs="Arial" w:eastAsia="Arial" w:hAnsi="Arial"/>
                  <w:sz w:val="16"/>
                  <w:szCs w:val="16"/>
                  <w:b w:val="1"/>
                  <w:bCs w:val="1"/>
                  <w:color w:val="0000EE"/>
                </w:rPr>
                <w:t>Part IV</w:t>
              </w:r>
            </w:hyperlink>
          </w:p>
        </w:tc>
        <w:tc>
          <w:tcPr>
            <w:tcW w:w="1880" w:type="dxa"/>
            <w:vAlign w:val="bottom"/>
          </w:tcPr>
          <w:p>
            <w:pPr>
              <w:spacing w:after="0"/>
              <w:rPr>
                <w:sz w:val="24"/>
                <w:szCs w:val="24"/>
                <w:color w:val="auto"/>
              </w:rPr>
            </w:pPr>
          </w:p>
        </w:tc>
      </w:tr>
      <w:tr>
        <w:trPr>
          <w:trHeight w:val="391"/>
        </w:trPr>
        <w:tc>
          <w:tcPr>
            <w:tcW w:w="1380" w:type="dxa"/>
            <w:vAlign w:val="bottom"/>
          </w:tcPr>
          <w:p>
            <w:pPr>
              <w:spacing w:after="0"/>
              <w:rPr>
                <w:sz w:val="20"/>
                <w:szCs w:val="20"/>
                <w:color w:val="auto"/>
              </w:rPr>
            </w:pPr>
            <w:r>
              <w:rPr>
                <w:rFonts w:ascii="Arial" w:cs="Arial" w:eastAsia="Arial" w:hAnsi="Arial"/>
                <w:sz w:val="16"/>
                <w:szCs w:val="16"/>
                <w:color w:val="auto"/>
              </w:rPr>
              <w:t>Item 15.</w:t>
            </w:r>
          </w:p>
        </w:tc>
        <w:tc>
          <w:tcPr>
            <w:tcW w:w="4080" w:type="dxa"/>
            <w:vAlign w:val="bottom"/>
            <w:gridSpan w:val="21"/>
          </w:tcPr>
          <w:p>
            <w:pPr>
              <w:spacing w:after="0"/>
              <w:rPr>
                <w:rFonts w:ascii="Arial" w:cs="Arial" w:eastAsia="Arial" w:hAnsi="Arial"/>
                <w:sz w:val="16"/>
                <w:szCs w:val="16"/>
                <w:color w:val="0000EE"/>
              </w:rPr>
            </w:pPr>
            <w:hyperlink w:anchor="page106">
              <w:r>
                <w:rPr>
                  <w:rFonts w:ascii="Arial" w:cs="Arial" w:eastAsia="Arial" w:hAnsi="Arial"/>
                  <w:sz w:val="16"/>
                  <w:szCs w:val="16"/>
                  <w:color w:val="0000EE"/>
                </w:rPr>
                <w:t>Financial Statement Schedules, Exhibits</w:t>
              </w:r>
            </w:hyperlink>
          </w:p>
        </w:tc>
        <w:tc>
          <w:tcPr>
            <w:tcW w:w="520" w:type="dxa"/>
            <w:vAlign w:val="bottom"/>
            <w:tcBorders>
              <w:top w:val="single" w:sz="8" w:color="0000EE"/>
            </w:tcBorders>
            <w:gridSpan w:val="5"/>
          </w:tcPr>
          <w:p>
            <w:pPr>
              <w:spacing w:after="0"/>
              <w:rPr>
                <w:sz w:val="24"/>
                <w:szCs w:val="24"/>
                <w:color w:val="auto"/>
              </w:rPr>
            </w:pPr>
          </w:p>
        </w:tc>
        <w:tc>
          <w:tcPr>
            <w:tcW w:w="3600" w:type="dxa"/>
            <w:vAlign w:val="bottom"/>
            <w:gridSpan w:val="7"/>
          </w:tcPr>
          <w:p>
            <w:pPr>
              <w:spacing w:after="0"/>
              <w:rPr>
                <w:sz w:val="24"/>
                <w:szCs w:val="24"/>
                <w:color w:val="auto"/>
              </w:rPr>
            </w:pPr>
          </w:p>
        </w:tc>
        <w:tc>
          <w:tcPr>
            <w:tcW w:w="1880" w:type="dxa"/>
            <w:vAlign w:val="bottom"/>
          </w:tcPr>
          <w:p>
            <w:pPr>
              <w:jc w:val="center"/>
              <w:ind w:left="319"/>
              <w:spacing w:after="0"/>
              <w:rPr>
                <w:sz w:val="20"/>
                <w:szCs w:val="20"/>
                <w:color w:val="auto"/>
              </w:rPr>
            </w:pPr>
            <w:r>
              <w:rPr>
                <w:rFonts w:ascii="Arial" w:cs="Arial" w:eastAsia="Arial" w:hAnsi="Arial"/>
                <w:sz w:val="16"/>
                <w:szCs w:val="16"/>
                <w:color w:val="auto"/>
                <w:w w:val="89"/>
              </w:rPr>
              <w:t>106</w:t>
            </w:r>
          </w:p>
        </w:tc>
      </w:tr>
      <w:tr>
        <w:trPr>
          <w:trHeight w:val="173"/>
        </w:trPr>
        <w:tc>
          <w:tcPr>
            <w:tcW w:w="1380" w:type="dxa"/>
            <w:vAlign w:val="bottom"/>
          </w:tcPr>
          <w:p>
            <w:pPr>
              <w:spacing w:after="0" w:line="174" w:lineRule="exact"/>
              <w:rPr>
                <w:sz w:val="20"/>
                <w:szCs w:val="20"/>
                <w:color w:val="auto"/>
              </w:rPr>
            </w:pPr>
            <w:r>
              <w:rPr>
                <w:rFonts w:ascii="Arial" w:cs="Arial" w:eastAsia="Arial" w:hAnsi="Arial"/>
                <w:sz w:val="16"/>
                <w:szCs w:val="16"/>
                <w:color w:val="auto"/>
              </w:rPr>
              <w:t>Item 16.</w:t>
            </w:r>
          </w:p>
        </w:tc>
        <w:tc>
          <w:tcPr>
            <w:tcW w:w="2580" w:type="dxa"/>
            <w:vAlign w:val="bottom"/>
            <w:tcBorders>
              <w:top w:val="single" w:sz="8" w:color="0000EE"/>
            </w:tcBorders>
            <w:gridSpan w:val="15"/>
          </w:tcPr>
          <w:p>
            <w:pPr>
              <w:spacing w:after="0" w:line="174" w:lineRule="exact"/>
              <w:rPr>
                <w:rFonts w:ascii="Arial" w:cs="Arial" w:eastAsia="Arial" w:hAnsi="Arial"/>
                <w:sz w:val="16"/>
                <w:szCs w:val="16"/>
                <w:color w:val="0000EE"/>
              </w:rPr>
            </w:pPr>
            <w:hyperlink w:anchor="page106">
              <w:r>
                <w:rPr>
                  <w:rFonts w:ascii="Arial" w:cs="Arial" w:eastAsia="Arial" w:hAnsi="Arial"/>
                  <w:sz w:val="16"/>
                  <w:szCs w:val="16"/>
                  <w:color w:val="0000EE"/>
                </w:rPr>
                <w:t>Form 10-K Summary</w:t>
              </w:r>
            </w:hyperlink>
          </w:p>
        </w:tc>
        <w:tc>
          <w:tcPr>
            <w:tcW w:w="5620" w:type="dxa"/>
            <w:vAlign w:val="bottom"/>
            <w:gridSpan w:val="18"/>
          </w:tcPr>
          <w:p>
            <w:pPr>
              <w:spacing w:after="0"/>
              <w:rPr>
                <w:sz w:val="15"/>
                <w:szCs w:val="15"/>
                <w:color w:val="auto"/>
              </w:rPr>
            </w:pPr>
          </w:p>
        </w:tc>
        <w:tc>
          <w:tcPr>
            <w:tcW w:w="1880" w:type="dxa"/>
            <w:vAlign w:val="bottom"/>
          </w:tcPr>
          <w:p>
            <w:pPr>
              <w:jc w:val="center"/>
              <w:ind w:left="319"/>
              <w:spacing w:after="0" w:line="174" w:lineRule="exact"/>
              <w:rPr>
                <w:sz w:val="20"/>
                <w:szCs w:val="20"/>
                <w:color w:val="auto"/>
              </w:rPr>
            </w:pPr>
            <w:r>
              <w:rPr>
                <w:rFonts w:ascii="Arial" w:cs="Arial" w:eastAsia="Arial" w:hAnsi="Arial"/>
                <w:sz w:val="16"/>
                <w:szCs w:val="16"/>
                <w:color w:val="auto"/>
                <w:w w:val="89"/>
              </w:rPr>
              <w:t>106</w:t>
            </w:r>
          </w:p>
        </w:tc>
      </w:tr>
      <w:tr>
        <w:trPr>
          <w:trHeight w:val="20"/>
        </w:trPr>
        <w:tc>
          <w:tcPr>
            <w:tcW w:w="1380" w:type="dxa"/>
            <w:vAlign w:val="bottom"/>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760" w:type="dxa"/>
            <w:vAlign w:val="bottom"/>
            <w:gridSpan w:val="10"/>
          </w:tcPr>
          <w:p>
            <w:pPr>
              <w:spacing w:after="0" w:line="20" w:lineRule="exact"/>
              <w:rPr>
                <w:sz w:val="1"/>
                <w:szCs w:val="1"/>
                <w:color w:val="auto"/>
              </w:rPr>
            </w:pPr>
          </w:p>
        </w:tc>
        <w:tc>
          <w:tcPr>
            <w:tcW w:w="5060" w:type="dxa"/>
            <w:vAlign w:val="bottom"/>
            <w:gridSpan w:val="16"/>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173"/>
        </w:trPr>
        <w:tc>
          <w:tcPr>
            <w:tcW w:w="1380" w:type="dxa"/>
            <w:vAlign w:val="bottom"/>
          </w:tcPr>
          <w:p>
            <w:pPr>
              <w:spacing w:after="0"/>
              <w:rPr>
                <w:sz w:val="15"/>
                <w:szCs w:val="15"/>
                <w:color w:val="auto"/>
              </w:rPr>
            </w:pPr>
          </w:p>
        </w:tc>
        <w:tc>
          <w:tcPr>
            <w:tcW w:w="8200" w:type="dxa"/>
            <w:vAlign w:val="bottom"/>
            <w:gridSpan w:val="33"/>
          </w:tcPr>
          <w:p>
            <w:pPr>
              <w:spacing w:after="0" w:line="174" w:lineRule="exact"/>
              <w:rPr>
                <w:rFonts w:ascii="Arial" w:cs="Arial" w:eastAsia="Arial" w:hAnsi="Arial"/>
                <w:sz w:val="16"/>
                <w:szCs w:val="16"/>
                <w:color w:val="0000EE"/>
              </w:rPr>
            </w:pPr>
            <w:hyperlink w:anchor="page106">
              <w:r>
                <w:rPr>
                  <w:rFonts w:ascii="Arial" w:cs="Arial" w:eastAsia="Arial" w:hAnsi="Arial"/>
                  <w:sz w:val="16"/>
                  <w:szCs w:val="16"/>
                  <w:color w:val="0000EE"/>
                </w:rPr>
                <w:t>Schedule II - Valuation and Qualifying Accounts</w:t>
              </w:r>
            </w:hyperlink>
          </w:p>
        </w:tc>
        <w:tc>
          <w:tcPr>
            <w:tcW w:w="1880" w:type="dxa"/>
            <w:vAlign w:val="bottom"/>
          </w:tcPr>
          <w:p>
            <w:pPr>
              <w:jc w:val="center"/>
              <w:ind w:left="319"/>
              <w:spacing w:after="0" w:line="174" w:lineRule="exact"/>
              <w:rPr>
                <w:sz w:val="20"/>
                <w:szCs w:val="20"/>
                <w:color w:val="auto"/>
              </w:rPr>
            </w:pPr>
            <w:r>
              <w:rPr>
                <w:rFonts w:ascii="Arial" w:cs="Arial" w:eastAsia="Arial" w:hAnsi="Arial"/>
                <w:sz w:val="16"/>
                <w:szCs w:val="16"/>
                <w:color w:val="auto"/>
                <w:w w:val="89"/>
              </w:rPr>
              <w:t>106</w:t>
            </w:r>
          </w:p>
        </w:tc>
      </w:tr>
      <w:tr>
        <w:trPr>
          <w:trHeight w:val="173"/>
        </w:trPr>
        <w:tc>
          <w:tcPr>
            <w:tcW w:w="1380" w:type="dxa"/>
            <w:vAlign w:val="bottom"/>
          </w:tcPr>
          <w:p>
            <w:pPr>
              <w:spacing w:after="0"/>
              <w:rPr>
                <w:sz w:val="15"/>
                <w:szCs w:val="15"/>
                <w:color w:val="auto"/>
              </w:rPr>
            </w:pPr>
          </w:p>
        </w:tc>
        <w:tc>
          <w:tcPr>
            <w:tcW w:w="3140" w:type="dxa"/>
            <w:vAlign w:val="bottom"/>
            <w:tcBorders>
              <w:top w:val="single" w:sz="8" w:color="0000EE"/>
            </w:tcBorders>
            <w:gridSpan w:val="17"/>
          </w:tcPr>
          <w:p>
            <w:pPr>
              <w:spacing w:after="0" w:line="174" w:lineRule="exact"/>
              <w:rPr>
                <w:rFonts w:ascii="Arial" w:cs="Arial" w:eastAsia="Arial" w:hAnsi="Arial"/>
                <w:sz w:val="16"/>
                <w:szCs w:val="16"/>
                <w:color w:val="0000EE"/>
              </w:rPr>
            </w:pPr>
            <w:hyperlink w:anchor="page107">
              <w:r>
                <w:rPr>
                  <w:rFonts w:ascii="Arial" w:cs="Arial" w:eastAsia="Arial" w:hAnsi="Arial"/>
                  <w:sz w:val="16"/>
                  <w:szCs w:val="16"/>
                  <w:color w:val="0000EE"/>
                </w:rPr>
                <w:t>Index to Exhibits</w:t>
              </w:r>
            </w:hyperlink>
          </w:p>
        </w:tc>
        <w:tc>
          <w:tcPr>
            <w:tcW w:w="5060" w:type="dxa"/>
            <w:vAlign w:val="bottom"/>
            <w:gridSpan w:val="16"/>
          </w:tcPr>
          <w:p>
            <w:pPr>
              <w:spacing w:after="0"/>
              <w:rPr>
                <w:sz w:val="15"/>
                <w:szCs w:val="15"/>
                <w:color w:val="auto"/>
              </w:rPr>
            </w:pPr>
          </w:p>
        </w:tc>
        <w:tc>
          <w:tcPr>
            <w:tcW w:w="1880" w:type="dxa"/>
            <w:vAlign w:val="bottom"/>
          </w:tcPr>
          <w:p>
            <w:pPr>
              <w:jc w:val="center"/>
              <w:ind w:left="319"/>
              <w:spacing w:after="0" w:line="174" w:lineRule="exact"/>
              <w:rPr>
                <w:sz w:val="20"/>
                <w:szCs w:val="20"/>
                <w:color w:val="auto"/>
              </w:rPr>
            </w:pPr>
            <w:r>
              <w:rPr>
                <w:rFonts w:ascii="Arial" w:cs="Arial" w:eastAsia="Arial" w:hAnsi="Arial"/>
                <w:sz w:val="16"/>
                <w:szCs w:val="16"/>
                <w:color w:val="auto"/>
                <w:w w:val="89"/>
              </w:rPr>
              <w:t>107</w:t>
            </w:r>
          </w:p>
        </w:tc>
      </w:tr>
      <w:tr>
        <w:trPr>
          <w:trHeight w:val="173"/>
        </w:trPr>
        <w:tc>
          <w:tcPr>
            <w:tcW w:w="1380" w:type="dxa"/>
            <w:vAlign w:val="bottom"/>
          </w:tcPr>
          <w:p>
            <w:pPr>
              <w:spacing w:after="0"/>
              <w:rPr>
                <w:sz w:val="15"/>
                <w:szCs w:val="15"/>
                <w:color w:val="auto"/>
              </w:rPr>
            </w:pPr>
          </w:p>
        </w:tc>
        <w:tc>
          <w:tcPr>
            <w:tcW w:w="680" w:type="dxa"/>
            <w:vAlign w:val="bottom"/>
            <w:tcBorders>
              <w:top w:val="single" w:sz="8" w:color="0000EE"/>
              <w:bottom w:val="single" w:sz="8" w:color="0000EE"/>
            </w:tcBorders>
            <w:gridSpan w:val="3"/>
          </w:tcPr>
          <w:p>
            <w:pPr>
              <w:spacing w:after="0" w:line="174" w:lineRule="exact"/>
              <w:rPr>
                <w:rFonts w:ascii="Arial" w:cs="Arial" w:eastAsia="Arial" w:hAnsi="Arial"/>
                <w:sz w:val="16"/>
                <w:szCs w:val="16"/>
                <w:color w:val="0000EE"/>
                <w:w w:val="86"/>
              </w:rPr>
            </w:pPr>
            <w:hyperlink w:anchor="page111">
              <w:r>
                <w:rPr>
                  <w:rFonts w:ascii="Arial" w:cs="Arial" w:eastAsia="Arial" w:hAnsi="Arial"/>
                  <w:sz w:val="16"/>
                  <w:szCs w:val="16"/>
                  <w:color w:val="0000EE"/>
                  <w:w w:val="86"/>
                </w:rPr>
                <w:t>Signatures</w:t>
              </w:r>
            </w:hyperlink>
          </w:p>
        </w:tc>
        <w:tc>
          <w:tcPr>
            <w:tcW w:w="420" w:type="dxa"/>
            <w:vAlign w:val="bottom"/>
            <w:tcBorders>
              <w:top w:val="single" w:sz="8" w:color="0000EE"/>
            </w:tcBorders>
            <w:gridSpan w:val="2"/>
          </w:tcPr>
          <w:p>
            <w:pPr>
              <w:spacing w:after="0"/>
              <w:rPr>
                <w:sz w:val="15"/>
                <w:szCs w:val="15"/>
                <w:color w:val="auto"/>
              </w:rPr>
            </w:pPr>
          </w:p>
        </w:tc>
        <w:tc>
          <w:tcPr>
            <w:tcW w:w="7100" w:type="dxa"/>
            <w:vAlign w:val="bottom"/>
            <w:gridSpan w:val="28"/>
          </w:tcPr>
          <w:p>
            <w:pPr>
              <w:spacing w:after="0"/>
              <w:rPr>
                <w:sz w:val="15"/>
                <w:szCs w:val="15"/>
                <w:color w:val="auto"/>
              </w:rPr>
            </w:pPr>
          </w:p>
        </w:tc>
        <w:tc>
          <w:tcPr>
            <w:tcW w:w="1880" w:type="dxa"/>
            <w:vAlign w:val="bottom"/>
          </w:tcPr>
          <w:p>
            <w:pPr>
              <w:jc w:val="center"/>
              <w:ind w:left="319"/>
              <w:spacing w:after="0" w:line="174" w:lineRule="exact"/>
              <w:rPr>
                <w:sz w:val="20"/>
                <w:szCs w:val="20"/>
                <w:color w:val="auto"/>
              </w:rPr>
            </w:pPr>
            <w:r>
              <w:rPr>
                <w:rFonts w:ascii="Arial" w:cs="Arial" w:eastAsia="Arial" w:hAnsi="Arial"/>
                <w:sz w:val="16"/>
                <w:szCs w:val="16"/>
                <w:color w:val="auto"/>
                <w:w w:val="89"/>
              </w:rPr>
              <w:t>111</w:t>
            </w:r>
          </w:p>
        </w:tc>
      </w:tr>
      <w:tr>
        <w:trPr>
          <w:trHeight w:val="838"/>
        </w:trPr>
        <w:tc>
          <w:tcPr>
            <w:tcW w:w="1380" w:type="dxa"/>
            <w:vAlign w:val="bottom"/>
          </w:tcPr>
          <w:p>
            <w:pPr>
              <w:spacing w:after="0"/>
              <w:rPr>
                <w:sz w:val="24"/>
                <w:szCs w:val="24"/>
                <w:color w:val="auto"/>
              </w:rPr>
            </w:pPr>
          </w:p>
        </w:tc>
        <w:tc>
          <w:tcPr>
            <w:tcW w:w="4540" w:type="dxa"/>
            <w:vAlign w:val="bottom"/>
            <w:gridSpan w:val="24"/>
          </w:tcPr>
          <w:p>
            <w:pPr>
              <w:jc w:val="center"/>
              <w:ind w:left="4059"/>
              <w:spacing w:after="0"/>
              <w:rPr>
                <w:sz w:val="20"/>
                <w:szCs w:val="20"/>
                <w:color w:val="auto"/>
              </w:rPr>
            </w:pPr>
            <w:r>
              <w:rPr>
                <w:rFonts w:ascii="Arial" w:cs="Arial" w:eastAsia="Arial" w:hAnsi="Arial"/>
                <w:sz w:val="16"/>
                <w:szCs w:val="16"/>
                <w:color w:val="auto"/>
                <w:w w:val="89"/>
              </w:rPr>
              <w:t>2</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101"/>
        </w:trPr>
        <w:tc>
          <w:tcPr>
            <w:tcW w:w="138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18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7253605</wp:posOffset>
            </wp:positionH>
            <wp:positionV relativeFrom="paragraph">
              <wp:posOffset>-27305</wp:posOffset>
            </wp:positionV>
            <wp:extent cx="33020" cy="406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-27305</wp:posOffset>
            </wp:positionV>
            <wp:extent cx="33020"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460"/>
          </w:cols>
          <w:pgMar w:left="240" w:top="123" w:right="199" w:bottom="1440" w:gutter="0" w:footer="0" w:header="0"/>
        </w:sectPr>
      </w:pPr>
    </w:p>
    <w:bookmarkStart w:id="2" w:name="page3"/>
    <w:bookmarkEnd w:id="2"/>
    <w:p>
      <w:pPr>
        <w:jc w:val="center"/>
        <w:ind w:right="-22"/>
        <w:spacing w:after="0"/>
        <w:rPr>
          <w:sz w:val="20"/>
          <w:szCs w:val="20"/>
          <w:color w:val="auto"/>
        </w:rPr>
      </w:pPr>
      <w:r>
        <w:rPr>
          <w:rFonts w:ascii="Arial" w:cs="Arial" w:eastAsia="Arial" w:hAnsi="Arial"/>
          <w:sz w:val="16"/>
          <w:szCs w:val="16"/>
          <w:b w:val="1"/>
          <w:bCs w:val="1"/>
          <w:color w:val="auto"/>
        </w:rPr>
        <w:t>PART I</w:t>
      </w:r>
    </w:p>
    <w:p>
      <w:pPr>
        <w:spacing w:after="0" w:line="203" w:lineRule="exact"/>
        <w:rPr>
          <w:sz w:val="20"/>
          <w:szCs w:val="20"/>
          <w:color w:val="auto"/>
        </w:rPr>
      </w:pPr>
    </w:p>
    <w:p>
      <w:pPr>
        <w:ind w:left="3"/>
        <w:spacing w:after="0"/>
        <w:tabs>
          <w:tab w:leader="none" w:pos="1003" w:val="left"/>
        </w:tabs>
        <w:rPr>
          <w:sz w:val="20"/>
          <w:szCs w:val="20"/>
          <w:color w:val="auto"/>
        </w:rPr>
      </w:pPr>
      <w:r>
        <w:rPr>
          <w:rFonts w:ascii="Arial" w:cs="Arial" w:eastAsia="Arial" w:hAnsi="Arial"/>
          <w:sz w:val="16"/>
          <w:szCs w:val="16"/>
          <w:b w:val="1"/>
          <w:bCs w:val="1"/>
          <w:color w:val="auto"/>
        </w:rPr>
        <w:t>ITEM 1.</w:t>
      </w:r>
      <w:r>
        <w:rPr>
          <w:sz w:val="20"/>
          <w:szCs w:val="20"/>
          <w:color w:val="auto"/>
        </w:rPr>
        <w:tab/>
      </w:r>
      <w:r>
        <w:rPr>
          <w:rFonts w:ascii="Arial" w:cs="Arial" w:eastAsia="Arial" w:hAnsi="Arial"/>
          <w:sz w:val="15"/>
          <w:szCs w:val="15"/>
          <w:b w:val="1"/>
          <w:bCs w:val="1"/>
          <w:color w:val="auto"/>
        </w:rPr>
        <w:t>BUSINESS</w:t>
      </w:r>
    </w:p>
    <w:p>
      <w:pPr>
        <w:spacing w:after="0" w:line="110" w:lineRule="exact"/>
        <w:rPr>
          <w:sz w:val="20"/>
          <w:szCs w:val="20"/>
          <w:color w:val="auto"/>
        </w:rPr>
      </w:pPr>
    </w:p>
    <w:p>
      <w:pPr>
        <w:jc w:val="both"/>
        <w:ind w:left="3"/>
        <w:spacing w:after="0" w:line="266" w:lineRule="auto"/>
        <w:rPr>
          <w:sz w:val="20"/>
          <w:szCs w:val="20"/>
          <w:color w:val="auto"/>
        </w:rPr>
      </w:pPr>
      <w:r>
        <w:rPr>
          <w:rFonts w:ascii="Arial" w:cs="Arial" w:eastAsia="Arial" w:hAnsi="Arial"/>
          <w:sz w:val="16"/>
          <w:szCs w:val="16"/>
          <w:color w:val="auto"/>
        </w:rPr>
        <w:t>When used in this report, unless otherwise indicated by the context, “we,” “our,” “us,” and “Kodak” refer to the consolidated company on the basis of consolidation described in Note 1 to the consolidated financial statements in Part II, Item 8, “Financial Statements and Supplementary Data” of this Form 10-K Report. Also, unless otherwise indicated by the context, “EKC” means the parent company, Eastman Kodak Company (the “Company”).</w:t>
      </w:r>
    </w:p>
    <w:p>
      <w:pPr>
        <w:spacing w:after="0" w:line="65" w:lineRule="exact"/>
        <w:rPr>
          <w:sz w:val="20"/>
          <w:szCs w:val="20"/>
          <w:color w:val="auto"/>
        </w:rPr>
      </w:pPr>
    </w:p>
    <w:p>
      <w:pPr>
        <w:ind w:left="3" w:right="360"/>
        <w:spacing w:after="0" w:line="321" w:lineRule="auto"/>
        <w:rPr>
          <w:sz w:val="20"/>
          <w:szCs w:val="20"/>
          <w:color w:val="auto"/>
        </w:rPr>
      </w:pPr>
      <w:r>
        <w:rPr>
          <w:rFonts w:ascii="Arial" w:cs="Arial" w:eastAsia="Arial" w:hAnsi="Arial"/>
          <w:sz w:val="14"/>
          <w:szCs w:val="14"/>
          <w:color w:val="auto"/>
        </w:rPr>
        <w:t>Kodak provides directly, and through partnerships with other innovative companies hardware, software, consumables and services to customers in graphic arts, commercial print, publishing, packaging, electronic displays, entertainment and commercial films, and consumer products markets. With its world-class R&amp;D capabilities, innovative solutions portfolio and highly trusted brand, Kodak is helping customers around the globe to sustainably grow their own businesses and enjoy their lives.</w:t>
      </w:r>
    </w:p>
    <w:p>
      <w:pPr>
        <w:spacing w:after="0" w:line="31" w:lineRule="exact"/>
        <w:rPr>
          <w:sz w:val="20"/>
          <w:szCs w:val="20"/>
          <w:color w:val="auto"/>
        </w:rPr>
      </w:pPr>
    </w:p>
    <w:p>
      <w:pPr>
        <w:ind w:left="3" w:right="100"/>
        <w:spacing w:after="0" w:line="259" w:lineRule="auto"/>
        <w:rPr>
          <w:sz w:val="20"/>
          <w:szCs w:val="20"/>
          <w:color w:val="auto"/>
        </w:rPr>
      </w:pPr>
      <w:r>
        <w:rPr>
          <w:rFonts w:ascii="Arial" w:cs="Arial" w:eastAsia="Arial" w:hAnsi="Arial"/>
          <w:sz w:val="16"/>
          <w:szCs w:val="16"/>
          <w:color w:val="auto"/>
        </w:rPr>
        <w:t>Kodak is a global commercial printing and imaging company with proprietary technologies in materials science, digital imaging science and software, and deposition processes (methods whereby one or more layers of various materials in gaseous, liquid or small particle form are deposited on a substrate in precise quantities and positions). Kodak leverages its core technology products and services to develop solutions for the product goods packaging and graphic communications markets, and is developing products for the functional printing market. Kodak also offers brand licensing and intellectual property opportunities, provides products and services for motion pictures and other commercial films, and sells ink to its existing installed consumer inkjet printer base.</w:t>
      </w:r>
    </w:p>
    <w:p>
      <w:pPr>
        <w:spacing w:after="0" w:line="71" w:lineRule="exact"/>
        <w:rPr>
          <w:sz w:val="20"/>
          <w:szCs w:val="20"/>
          <w:color w:val="auto"/>
        </w:rPr>
      </w:pPr>
    </w:p>
    <w:p>
      <w:pPr>
        <w:ind w:left="3"/>
        <w:spacing w:after="0"/>
        <w:rPr>
          <w:sz w:val="20"/>
          <w:szCs w:val="20"/>
          <w:color w:val="auto"/>
        </w:rPr>
      </w:pPr>
      <w:r>
        <w:rPr>
          <w:rFonts w:ascii="Arial" w:cs="Arial" w:eastAsia="Arial" w:hAnsi="Arial"/>
          <w:sz w:val="16"/>
          <w:szCs w:val="16"/>
          <w:color w:val="auto"/>
        </w:rPr>
        <w:t>The Company was founded by George Eastman in 1880 and incorporated in 1901 in the State of New Jersey. Kodak is headquartered in Rochester, New York.</w:t>
      </w:r>
    </w:p>
    <w:p>
      <w:pPr>
        <w:spacing w:after="0" w:line="199"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REPORTABLE SEGMENTS</w:t>
      </w:r>
    </w:p>
    <w:p>
      <w:pPr>
        <w:spacing w:after="0" w:line="110" w:lineRule="exact"/>
        <w:rPr>
          <w:sz w:val="20"/>
          <w:szCs w:val="20"/>
          <w:color w:val="auto"/>
        </w:rPr>
      </w:pPr>
    </w:p>
    <w:p>
      <w:pPr>
        <w:ind w:left="3"/>
        <w:spacing w:after="0" w:line="261" w:lineRule="auto"/>
        <w:rPr>
          <w:sz w:val="20"/>
          <w:szCs w:val="20"/>
          <w:color w:val="auto"/>
        </w:rPr>
      </w:pPr>
      <w:r>
        <w:rPr>
          <w:rFonts w:ascii="Arial" w:cs="Arial" w:eastAsia="Arial" w:hAnsi="Arial"/>
          <w:sz w:val="16"/>
          <w:szCs w:val="16"/>
          <w:color w:val="auto"/>
        </w:rPr>
        <w:t>Kodak has seven reportable segments: Print Systems, Enterprise Inkjet Systems, Flexographic Packaging, Software and Solutions, Consumer and Film, Advanced Materials and 3D Printing Technology and Eastman Business Park. The balance of Kodak’s continuing operations, which do not meet the criteria of a reportable segment, are reported in All Other which primarily represents the RED utilities variable interest entity until deconsolidation in December 2016 (refer to Note 1, “Summary of Significant Accounting Policies”).</w:t>
      </w:r>
    </w:p>
    <w:p>
      <w:pPr>
        <w:spacing w:after="0" w:line="70" w:lineRule="exact"/>
        <w:rPr>
          <w:sz w:val="20"/>
          <w:szCs w:val="20"/>
          <w:color w:val="auto"/>
        </w:rPr>
      </w:pPr>
    </w:p>
    <w:p>
      <w:pPr>
        <w:ind w:left="3" w:right="140"/>
        <w:spacing w:after="0" w:line="280" w:lineRule="auto"/>
        <w:rPr>
          <w:sz w:val="20"/>
          <w:szCs w:val="20"/>
          <w:color w:val="auto"/>
        </w:rPr>
      </w:pPr>
      <w:r>
        <w:rPr>
          <w:rFonts w:ascii="Arial" w:cs="Arial" w:eastAsia="Arial" w:hAnsi="Arial"/>
          <w:sz w:val="16"/>
          <w:szCs w:val="16"/>
          <w:color w:val="auto"/>
        </w:rPr>
        <w:t>Information on Kodak's revenues and long-lived assets by geographic area as well as revenues and earnings by reportable segment for each of the past three years are shown in Note 24, “Segment Information,” in the Notes to Financial Statements.</w:t>
      </w:r>
    </w:p>
    <w:p>
      <w:pPr>
        <w:spacing w:after="0" w:line="147"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Print Systems</w:t>
      </w:r>
    </w:p>
    <w:p>
      <w:pPr>
        <w:spacing w:after="0" w:line="110" w:lineRule="exact"/>
        <w:rPr>
          <w:sz w:val="20"/>
          <w:szCs w:val="20"/>
          <w:color w:val="auto"/>
        </w:rPr>
      </w:pPr>
    </w:p>
    <w:p>
      <w:pPr>
        <w:ind w:left="3" w:right="80"/>
        <w:spacing w:after="0" w:line="259" w:lineRule="auto"/>
        <w:rPr>
          <w:sz w:val="20"/>
          <w:szCs w:val="20"/>
          <w:color w:val="auto"/>
        </w:rPr>
      </w:pPr>
      <w:r>
        <w:rPr>
          <w:rFonts w:ascii="Arial" w:cs="Arial" w:eastAsia="Arial" w:hAnsi="Arial"/>
          <w:sz w:val="16"/>
          <w:szCs w:val="16"/>
          <w:color w:val="auto"/>
        </w:rPr>
        <w:t>The Print Systems segment is comprised of Prepress Solutions, which includes Kodak’s digital offset plate offerings and computer-to-plate imaging solutions, and Electrophotographic Printing Solutions, which offers high-quality digital printing solutions using electrically charged toner based technology. The Print Systems segment provides digital and traditional product and service offerings to a variety of commercial industries, including commercial print, direct mail, book publishing, newspapers and magazines and packaging. While the businesses in this segment are experiencing pricing pressure, innovations in Kodak product lines that can command premium prices offset some of the long-term market price erosion.</w:t>
      </w:r>
    </w:p>
    <w:p>
      <w:pPr>
        <w:spacing w:after="0" w:line="71" w:lineRule="exact"/>
        <w:rPr>
          <w:sz w:val="20"/>
          <w:szCs w:val="20"/>
          <w:color w:val="auto"/>
        </w:rPr>
      </w:pPr>
    </w:p>
    <w:p>
      <w:pPr>
        <w:ind w:left="3" w:right="20"/>
        <w:spacing w:after="0" w:line="278" w:lineRule="auto"/>
        <w:rPr>
          <w:sz w:val="20"/>
          <w:szCs w:val="20"/>
          <w:color w:val="auto"/>
        </w:rPr>
      </w:pPr>
      <w:r>
        <w:rPr>
          <w:rFonts w:ascii="Arial" w:cs="Arial" w:eastAsia="Arial" w:hAnsi="Arial"/>
          <w:sz w:val="15"/>
          <w:szCs w:val="15"/>
          <w:color w:val="auto"/>
        </w:rPr>
        <w:t>Prepress Solutions capitalizes on a contract-based, stable and recurring cash flow-generative business model. The average duration of customer contracts is two years. These contracts offer stability and generate recurring revenue. The core of the business is the manufacturing of aluminum digital printing plates of varying sizes. These plates can be as small as 23cm x 27cm and as large as 126cm x 287cm. Unexposed plates are sold to commercial printing companies for use in the offset printing process. Kodak also manufactures equipment, known as Computer to Plate (“CTP”) equipment, which images the plates with a laser. The plates are used in the offset printing process, which transfers ink from the plate onto a rubber blanket and then onto the substrate to be printed. Due to the nature of the imaging and printing process, a new plate must be used for each printing run. As a result, there is a recurring revenue stream from the sale of these plates.</w:t>
      </w:r>
    </w:p>
    <w:p>
      <w:pPr>
        <w:spacing w:after="0" w:line="58" w:lineRule="exact"/>
        <w:rPr>
          <w:sz w:val="20"/>
          <w:szCs w:val="20"/>
          <w:color w:val="auto"/>
        </w:rPr>
      </w:pPr>
    </w:p>
    <w:p>
      <w:pPr>
        <w:ind w:left="3" w:right="40"/>
        <w:spacing w:after="0" w:line="266" w:lineRule="auto"/>
        <w:rPr>
          <w:sz w:val="20"/>
          <w:szCs w:val="20"/>
          <w:color w:val="auto"/>
        </w:rPr>
      </w:pPr>
      <w:r>
        <w:rPr>
          <w:rFonts w:ascii="Arial" w:cs="Arial" w:eastAsia="Arial" w:hAnsi="Arial"/>
          <w:sz w:val="16"/>
          <w:szCs w:val="16"/>
          <w:color w:val="auto"/>
        </w:rPr>
        <w:t>The Print Systems products and services are sold globally to customers through both a direct sales team as well as indirectly through dealers. Primary competitors are Fuji and Agfa. Kodak expects to benefit from current industry trends, including customers’ increasing focus on sustainability initiatives, which strengthens demand for Kodak’s process-free solutions.</w:t>
      </w:r>
    </w:p>
    <w:p>
      <w:pPr>
        <w:spacing w:after="0" w:line="65" w:lineRule="exact"/>
        <w:rPr>
          <w:sz w:val="20"/>
          <w:szCs w:val="20"/>
          <w:color w:val="auto"/>
        </w:rPr>
      </w:pPr>
    </w:p>
    <w:p>
      <w:pPr>
        <w:ind w:left="383" w:hanging="383"/>
        <w:spacing w:after="0"/>
        <w:tabs>
          <w:tab w:leader="none" w:pos="383"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Prepress Solutions:</w:t>
      </w:r>
    </w:p>
    <w:p>
      <w:pPr>
        <w:spacing w:after="0" w:line="106" w:lineRule="exact"/>
        <w:rPr>
          <w:rFonts w:ascii="Arial" w:cs="Arial" w:eastAsia="Arial" w:hAnsi="Arial"/>
          <w:sz w:val="16"/>
          <w:szCs w:val="16"/>
          <w:color w:val="auto"/>
        </w:rPr>
      </w:pPr>
    </w:p>
    <w:p>
      <w:pPr>
        <w:ind w:left="943" w:right="220" w:hanging="569"/>
        <w:spacing w:after="0" w:line="266" w:lineRule="auto"/>
        <w:tabs>
          <w:tab w:leader="none" w:pos="943" w:val="left"/>
        </w:tabs>
        <w:numPr>
          <w:ilvl w:val="1"/>
          <w:numId w:val="4"/>
        </w:numPr>
        <w:rPr>
          <w:rFonts w:ascii="Arial" w:cs="Arial" w:eastAsia="Arial" w:hAnsi="Arial"/>
          <w:sz w:val="16"/>
          <w:szCs w:val="16"/>
          <w:color w:val="auto"/>
        </w:rPr>
      </w:pPr>
      <w:r>
        <w:rPr>
          <w:rFonts w:ascii="Arial" w:cs="Arial" w:eastAsia="Arial" w:hAnsi="Arial"/>
          <w:sz w:val="16"/>
          <w:szCs w:val="16"/>
          <w:color w:val="auto"/>
        </w:rPr>
        <w:t>Digital offset plates, which includes KODAK SONORA Process Free Plates. KODAK SONORA Process Free Plates are prepared directly with a CTP thermal output device and do not require subsequent processing chemistry, processing equipment or chemical disposal. As a result, the plates deliver cost savings and efficiency for customers and promote environmental sustainability practices.</w:t>
      </w:r>
    </w:p>
    <w:p>
      <w:pPr>
        <w:spacing w:after="0" w:line="65" w:lineRule="exact"/>
        <w:rPr>
          <w:rFonts w:ascii="Arial" w:cs="Arial" w:eastAsia="Arial" w:hAnsi="Arial"/>
          <w:sz w:val="16"/>
          <w:szCs w:val="16"/>
          <w:color w:val="auto"/>
        </w:rPr>
      </w:pPr>
    </w:p>
    <w:p>
      <w:pPr>
        <w:ind w:left="943" w:right="80" w:hanging="569"/>
        <w:spacing w:after="0" w:line="266" w:lineRule="auto"/>
        <w:tabs>
          <w:tab w:leader="none" w:pos="943" w:val="left"/>
        </w:tabs>
        <w:numPr>
          <w:ilvl w:val="1"/>
          <w:numId w:val="4"/>
        </w:numPr>
        <w:rPr>
          <w:rFonts w:ascii="Arial" w:cs="Arial" w:eastAsia="Arial" w:hAnsi="Arial"/>
          <w:sz w:val="16"/>
          <w:szCs w:val="16"/>
          <w:color w:val="auto"/>
        </w:rPr>
      </w:pPr>
      <w:r>
        <w:rPr>
          <w:rFonts w:ascii="Arial" w:cs="Arial" w:eastAsia="Arial" w:hAnsi="Arial"/>
          <w:sz w:val="16"/>
          <w:szCs w:val="16"/>
          <w:color w:val="auto"/>
        </w:rPr>
        <w:t>CTP output devices that are used by customers to transfer images onto aluminum offset printing plates and provide consistent and high-quality imaging for offset press applications. CTP products provide high resolution, consistency and stability in thermal imaging. Kodak also offers a lower cost CTP system using TH5 imaging technology, which provides a highly efficient and cost-effective imaging solution at a lower price point.</w:t>
      </w:r>
    </w:p>
    <w:p>
      <w:pPr>
        <w:spacing w:after="0" w:line="65" w:lineRule="exact"/>
        <w:rPr>
          <w:rFonts w:ascii="Arial" w:cs="Arial" w:eastAsia="Arial" w:hAnsi="Arial"/>
          <w:sz w:val="16"/>
          <w:szCs w:val="16"/>
          <w:color w:val="auto"/>
        </w:rPr>
      </w:pPr>
    </w:p>
    <w:p>
      <w:pPr>
        <w:ind w:left="943" w:right="660" w:hanging="569"/>
        <w:spacing w:after="0" w:line="280" w:lineRule="auto"/>
        <w:tabs>
          <w:tab w:leader="none" w:pos="943" w:val="left"/>
        </w:tabs>
        <w:numPr>
          <w:ilvl w:val="1"/>
          <w:numId w:val="4"/>
        </w:numPr>
        <w:rPr>
          <w:rFonts w:ascii="Arial" w:cs="Arial" w:eastAsia="Arial" w:hAnsi="Arial"/>
          <w:sz w:val="16"/>
          <w:szCs w:val="16"/>
          <w:color w:val="auto"/>
        </w:rPr>
      </w:pPr>
      <w:r>
        <w:rPr>
          <w:rFonts w:ascii="Arial" w:cs="Arial" w:eastAsia="Arial" w:hAnsi="Arial"/>
          <w:sz w:val="16"/>
          <w:szCs w:val="16"/>
          <w:color w:val="auto"/>
        </w:rPr>
        <w:t>Net sales for Prepress Solutions accounted for 53%, 52% and 51% of Kodak’s total net revenue for the years ended December 31, 2017, 2016 and 2015, respectively.</w:t>
      </w:r>
    </w:p>
    <w:p>
      <w:pPr>
        <w:spacing w:after="0" w:line="151" w:lineRule="exact"/>
        <w:rPr>
          <w:sz w:val="20"/>
          <w:szCs w:val="20"/>
          <w:color w:val="auto"/>
        </w:rPr>
      </w:pPr>
    </w:p>
    <w:p>
      <w:pPr>
        <w:jc w:val="center"/>
        <w:ind w:right="-22"/>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62865</wp:posOffset>
            </wp:positionV>
            <wp:extent cx="7301865" cy="40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301865" cy="40640"/>
                    </a:xfrm>
                    <a:prstGeom prst="rect">
                      <a:avLst/>
                    </a:prstGeom>
                    <a:noFill/>
                  </pic:spPr>
                </pic:pic>
              </a:graphicData>
            </a:graphic>
          </wp:anchor>
        </w:drawing>
      </w:r>
    </w:p>
    <w:p>
      <w:pPr>
        <w:sectPr>
          <w:pgSz w:w="11900" w:h="16838" w:orient="portrait"/>
          <w:cols w:equalWidth="0" w:num="1">
            <w:col w:w="11423"/>
          </w:cols>
          <w:pgMar w:left="237" w:top="123" w:right="239" w:bottom="1440" w:gutter="0" w:footer="0" w:header="0"/>
        </w:sectPr>
      </w:pPr>
    </w:p>
    <w:bookmarkStart w:id="3" w:name="page4"/>
    <w:bookmarkEnd w:id="3"/>
    <w:p>
      <w:pPr>
        <w:ind w:left="383" w:hanging="383"/>
        <w:spacing w:after="0"/>
        <w:tabs>
          <w:tab w:leader="none" w:pos="383"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Electrophotographic Printing Solutions:</w:t>
      </w:r>
    </w:p>
    <w:p>
      <w:pPr>
        <w:spacing w:after="0" w:line="106" w:lineRule="exact"/>
        <w:rPr>
          <w:rFonts w:ascii="Arial" w:cs="Arial" w:eastAsia="Arial" w:hAnsi="Arial"/>
          <w:sz w:val="16"/>
          <w:szCs w:val="16"/>
          <w:color w:val="auto"/>
        </w:rPr>
      </w:pPr>
    </w:p>
    <w:p>
      <w:pPr>
        <w:ind w:left="943" w:hanging="569"/>
        <w:spacing w:after="0" w:line="280" w:lineRule="auto"/>
        <w:tabs>
          <w:tab w:leader="none" w:pos="943" w:val="left"/>
        </w:tabs>
        <w:numPr>
          <w:ilvl w:val="1"/>
          <w:numId w:val="5"/>
        </w:numPr>
        <w:rPr>
          <w:rFonts w:ascii="Arial" w:cs="Arial" w:eastAsia="Arial" w:hAnsi="Arial"/>
          <w:sz w:val="16"/>
          <w:szCs w:val="16"/>
          <w:color w:val="auto"/>
        </w:rPr>
      </w:pPr>
      <w:r>
        <w:rPr>
          <w:rFonts w:ascii="Arial" w:cs="Arial" w:eastAsia="Arial" w:hAnsi="Arial"/>
          <w:sz w:val="16"/>
          <w:szCs w:val="16"/>
          <w:color w:val="auto"/>
        </w:rPr>
        <w:t>NEXPRESS printers produce high-quality, differentiated printing of short-run, personalized print applications, such as direct mail, books, marketing collateral and photo products.</w:t>
      </w:r>
    </w:p>
    <w:p>
      <w:pPr>
        <w:spacing w:after="0" w:line="54" w:lineRule="exact"/>
        <w:rPr>
          <w:rFonts w:ascii="Arial" w:cs="Arial" w:eastAsia="Arial" w:hAnsi="Arial"/>
          <w:sz w:val="16"/>
          <w:szCs w:val="16"/>
          <w:color w:val="auto"/>
        </w:rPr>
      </w:pPr>
    </w:p>
    <w:p>
      <w:pPr>
        <w:ind w:left="943" w:right="120" w:hanging="569"/>
        <w:spacing w:after="0" w:line="280" w:lineRule="auto"/>
        <w:tabs>
          <w:tab w:leader="none" w:pos="943" w:val="left"/>
        </w:tabs>
        <w:numPr>
          <w:ilvl w:val="1"/>
          <w:numId w:val="5"/>
        </w:numPr>
        <w:rPr>
          <w:rFonts w:ascii="Arial" w:cs="Arial" w:eastAsia="Arial" w:hAnsi="Arial"/>
          <w:sz w:val="16"/>
          <w:szCs w:val="16"/>
          <w:color w:val="auto"/>
        </w:rPr>
      </w:pPr>
      <w:r>
        <w:rPr>
          <w:rFonts w:ascii="Arial" w:cs="Arial" w:eastAsia="Arial" w:hAnsi="Arial"/>
          <w:sz w:val="16"/>
          <w:szCs w:val="16"/>
          <w:color w:val="auto"/>
        </w:rPr>
        <w:t>DIGIMASTER printers use monochrome electrophotographic printing technology for transactional printing, short-run books, corporate documentation, manuals and direct mail.</w:t>
      </w:r>
    </w:p>
    <w:p>
      <w:pPr>
        <w:spacing w:after="0" w:line="54" w:lineRule="exact"/>
        <w:rPr>
          <w:rFonts w:ascii="Arial" w:cs="Arial" w:eastAsia="Arial" w:hAnsi="Arial"/>
          <w:sz w:val="16"/>
          <w:szCs w:val="16"/>
          <w:color w:val="auto"/>
        </w:rPr>
      </w:pPr>
    </w:p>
    <w:p>
      <w:pPr>
        <w:ind w:left="943" w:right="160" w:hanging="569"/>
        <w:spacing w:after="0" w:line="280" w:lineRule="auto"/>
        <w:tabs>
          <w:tab w:leader="none" w:pos="943" w:val="left"/>
        </w:tabs>
        <w:numPr>
          <w:ilvl w:val="1"/>
          <w:numId w:val="5"/>
        </w:numPr>
        <w:rPr>
          <w:rFonts w:ascii="Arial" w:cs="Arial" w:eastAsia="Arial" w:hAnsi="Arial"/>
          <w:sz w:val="16"/>
          <w:szCs w:val="16"/>
          <w:color w:val="auto"/>
        </w:rPr>
      </w:pPr>
      <w:r>
        <w:rPr>
          <w:rFonts w:ascii="Arial" w:cs="Arial" w:eastAsia="Arial" w:hAnsi="Arial"/>
          <w:sz w:val="16"/>
          <w:szCs w:val="16"/>
          <w:color w:val="auto"/>
        </w:rPr>
        <w:t>Net sales for Electrophotographic Printing Solutions accounted for 9%, 9% and 10% of Kodak’s total net revenue for the years ended December 31, 2017, 2016 and 2015, respectively.</w:t>
      </w:r>
    </w:p>
    <w:p>
      <w:pPr>
        <w:spacing w:after="0" w:line="54" w:lineRule="exact"/>
        <w:rPr>
          <w:sz w:val="20"/>
          <w:szCs w:val="20"/>
          <w:color w:val="auto"/>
        </w:rPr>
      </w:pPr>
    </w:p>
    <w:p>
      <w:pPr>
        <w:ind w:left="3"/>
        <w:spacing w:after="0"/>
        <w:rPr>
          <w:sz w:val="20"/>
          <w:szCs w:val="20"/>
          <w:color w:val="auto"/>
        </w:rPr>
      </w:pPr>
      <w:r>
        <w:rPr>
          <w:rFonts w:ascii="Arial" w:cs="Arial" w:eastAsia="Arial" w:hAnsi="Arial"/>
          <w:sz w:val="16"/>
          <w:szCs w:val="16"/>
          <w:color w:val="auto"/>
        </w:rPr>
        <w:t>The Print Systems segment also provides service and support related to these products.</w:t>
      </w:r>
    </w:p>
    <w:p>
      <w:pPr>
        <w:spacing w:after="0" w:line="199"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Enterprise Inkjet Systems</w:t>
      </w:r>
    </w:p>
    <w:p>
      <w:pPr>
        <w:spacing w:after="0" w:line="110" w:lineRule="exact"/>
        <w:rPr>
          <w:sz w:val="20"/>
          <w:szCs w:val="20"/>
          <w:color w:val="auto"/>
        </w:rPr>
      </w:pPr>
    </w:p>
    <w:p>
      <w:pPr>
        <w:ind w:left="3" w:right="40"/>
        <w:spacing w:after="0" w:line="272" w:lineRule="auto"/>
        <w:rPr>
          <w:sz w:val="20"/>
          <w:szCs w:val="20"/>
          <w:color w:val="auto"/>
        </w:rPr>
      </w:pPr>
      <w:r>
        <w:rPr>
          <w:rFonts w:ascii="Arial" w:cs="Arial" w:eastAsia="Arial" w:hAnsi="Arial"/>
          <w:sz w:val="16"/>
          <w:szCs w:val="16"/>
          <w:color w:val="auto"/>
        </w:rPr>
        <w:t>The Enterprise Inkjet Systems segment contains the Prosper business and the Versamark business. The Enterprise Inkjet Systems products include production press systems, consumables (primarily ink), inkjet components and services. Enterprise Inkjet Systems products are distributed directly by Kodak and indirectly through dealers. The markets that the Enterprise Inkjet Systems segment serves are highly competitive in variable printing applications like direct mail, newspapers, books, and packaging/labels. Key competitors are HP, Canon, Ricoh, and Screen.</w:t>
      </w:r>
    </w:p>
    <w:p>
      <w:pPr>
        <w:spacing w:after="0" w:line="157" w:lineRule="exact"/>
        <w:rPr>
          <w:sz w:val="20"/>
          <w:szCs w:val="20"/>
          <w:color w:val="auto"/>
        </w:rPr>
      </w:pPr>
    </w:p>
    <w:p>
      <w:pPr>
        <w:ind w:left="383" w:hanging="383"/>
        <w:spacing w:after="0"/>
        <w:tabs>
          <w:tab w:leader="none" w:pos="383"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Prosper:</w:t>
      </w:r>
    </w:p>
    <w:p>
      <w:pPr>
        <w:spacing w:after="0" w:line="202" w:lineRule="exact"/>
        <w:rPr>
          <w:rFonts w:ascii="Arial" w:cs="Arial" w:eastAsia="Arial" w:hAnsi="Arial"/>
          <w:sz w:val="16"/>
          <w:szCs w:val="16"/>
          <w:color w:val="auto"/>
        </w:rPr>
      </w:pPr>
    </w:p>
    <w:p>
      <w:pPr>
        <w:ind w:left="943" w:right="80" w:hanging="569"/>
        <w:spacing w:after="0" w:line="276" w:lineRule="auto"/>
        <w:tabs>
          <w:tab w:leader="none" w:pos="943" w:val="left"/>
        </w:tabs>
        <w:numPr>
          <w:ilvl w:val="1"/>
          <w:numId w:val="6"/>
        </w:numPr>
        <w:rPr>
          <w:rFonts w:ascii="Arial" w:cs="Arial" w:eastAsia="Arial" w:hAnsi="Arial"/>
          <w:sz w:val="15"/>
          <w:szCs w:val="15"/>
          <w:color w:val="auto"/>
        </w:rPr>
      </w:pPr>
      <w:r>
        <w:rPr>
          <w:rFonts w:ascii="Arial" w:cs="Arial" w:eastAsia="Arial" w:hAnsi="Arial"/>
          <w:sz w:val="15"/>
          <w:szCs w:val="15"/>
          <w:color w:val="auto"/>
        </w:rPr>
        <w:t>The Prosper business product offerings, including the PROSPER Press systems and PROSPER Components, feature ultrafast inkjet droplet generation. This includes the PROSPER 6000 Press, which delivers a continuous flow of ink that enables constant and consistent operation, with uniform ink droplet size and accurate placement, even at very high print speeds. Applications of the PROSPER Press include publishing, commercial print, direct mail and packaging. PROSPER System Components are integrated into original equipment manufacturer partner products and systems. Sales of equipment that incorporate the PROSPER Writing Systems result in recurring revenue from sales of ink and other consumables and equipment service. The level of recurring revenue depends on the application for which the equipment is used, which drives the total number of pages printed and, therefore, the amount of ink usage. The business model is further supplemented by consumption of other consumables including refurbished jetting modules and service.</w:t>
      </w:r>
    </w:p>
    <w:p>
      <w:pPr>
        <w:spacing w:after="0" w:line="182" w:lineRule="exact"/>
        <w:rPr>
          <w:rFonts w:ascii="Arial" w:cs="Arial" w:eastAsia="Arial" w:hAnsi="Arial"/>
          <w:sz w:val="15"/>
          <w:szCs w:val="15"/>
          <w:color w:val="auto"/>
        </w:rPr>
      </w:pPr>
    </w:p>
    <w:p>
      <w:pPr>
        <w:jc w:val="both"/>
        <w:ind w:left="943" w:right="340" w:hanging="569"/>
        <w:spacing w:after="0" w:line="321" w:lineRule="auto"/>
        <w:tabs>
          <w:tab w:leader="none" w:pos="943" w:val="left"/>
        </w:tabs>
        <w:numPr>
          <w:ilvl w:val="1"/>
          <w:numId w:val="6"/>
        </w:numPr>
        <w:rPr>
          <w:rFonts w:ascii="Arial" w:cs="Arial" w:eastAsia="Arial" w:hAnsi="Arial"/>
          <w:sz w:val="14"/>
          <w:szCs w:val="14"/>
          <w:color w:val="auto"/>
        </w:rPr>
      </w:pPr>
      <w:r>
        <w:rPr>
          <w:rFonts w:ascii="Arial" w:cs="Arial" w:eastAsia="Arial" w:hAnsi="Arial"/>
          <w:sz w:val="14"/>
          <w:szCs w:val="14"/>
          <w:color w:val="auto"/>
        </w:rPr>
        <w:t>The focus of the Prosper business is on developing the next generation platform, Ultrastream, with solutions that place writing systems in original equipment manufacturers as well as direct sale press products that widens its reach into applications for packaging and décor and expands the substrate range to include plastics. Product development is currently in the stage of shipping evaluation kits to potential partners with commercialization expected in 2019.</w:t>
      </w:r>
    </w:p>
    <w:p>
      <w:pPr>
        <w:spacing w:after="0" w:line="369" w:lineRule="exact"/>
        <w:rPr>
          <w:rFonts w:ascii="Arial" w:cs="Arial" w:eastAsia="Arial" w:hAnsi="Arial"/>
          <w:sz w:val="14"/>
          <w:szCs w:val="14"/>
          <w:color w:val="auto"/>
        </w:rPr>
      </w:pPr>
    </w:p>
    <w:p>
      <w:pPr>
        <w:ind w:left="943" w:right="40" w:hanging="569"/>
        <w:spacing w:after="0" w:line="354" w:lineRule="auto"/>
        <w:tabs>
          <w:tab w:leader="none" w:pos="943" w:val="left"/>
        </w:tabs>
        <w:numPr>
          <w:ilvl w:val="1"/>
          <w:numId w:val="6"/>
        </w:numPr>
        <w:rPr>
          <w:rFonts w:ascii="Arial" w:cs="Arial" w:eastAsia="Arial" w:hAnsi="Arial"/>
          <w:sz w:val="14"/>
          <w:szCs w:val="14"/>
          <w:color w:val="auto"/>
        </w:rPr>
      </w:pPr>
      <w:r>
        <w:rPr>
          <w:rFonts w:ascii="Arial" w:cs="Arial" w:eastAsia="Arial" w:hAnsi="Arial"/>
          <w:sz w:val="14"/>
          <w:szCs w:val="14"/>
          <w:color w:val="auto"/>
        </w:rPr>
        <w:t>The Prosper business includes Kodak Print Services. Kodak Print Services prints the Jersey Evening Post as well as the majority of U.K. national newspapers for distribution in both Jersey and Guernsey islands. The business is used to demonstrate the value of the Kodak Prosper presses to customers around the world.</w:t>
      </w:r>
    </w:p>
    <w:p>
      <w:pPr>
        <w:spacing w:after="0" w:line="323" w:lineRule="exact"/>
        <w:rPr>
          <w:sz w:val="20"/>
          <w:szCs w:val="20"/>
          <w:color w:val="auto"/>
        </w:rPr>
      </w:pPr>
    </w:p>
    <w:p>
      <w:pPr>
        <w:jc w:val="center"/>
        <w:ind w:right="-22"/>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62865</wp:posOffset>
            </wp:positionV>
            <wp:extent cx="7301865" cy="40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301865" cy="40640"/>
                    </a:xfrm>
                    <a:prstGeom prst="rect">
                      <a:avLst/>
                    </a:prstGeom>
                    <a:noFill/>
                  </pic:spPr>
                </pic:pic>
              </a:graphicData>
            </a:graphic>
          </wp:anchor>
        </w:drawing>
      </w:r>
    </w:p>
    <w:p>
      <w:pPr>
        <w:sectPr>
          <w:pgSz w:w="11900" w:h="16838" w:orient="portrait"/>
          <w:cols w:equalWidth="0" w:num="1">
            <w:col w:w="11403"/>
          </w:cols>
          <w:pgMar w:left="237" w:top="127" w:right="259" w:bottom="1440" w:gutter="0" w:footer="0" w:header="0"/>
        </w:sectPr>
      </w:pPr>
    </w:p>
    <w:bookmarkStart w:id="4" w:name="page5"/>
    <w:bookmarkEnd w:id="4"/>
    <w:p>
      <w:pPr>
        <w:ind w:left="383" w:hanging="383"/>
        <w:spacing w:after="0"/>
        <w:tabs>
          <w:tab w:leader="none" w:pos="383"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Versamark:</w:t>
      </w:r>
    </w:p>
    <w:p>
      <w:pPr>
        <w:spacing w:after="0" w:line="202" w:lineRule="exact"/>
        <w:rPr>
          <w:rFonts w:ascii="Arial" w:cs="Arial" w:eastAsia="Arial" w:hAnsi="Arial"/>
          <w:sz w:val="16"/>
          <w:szCs w:val="16"/>
          <w:color w:val="auto"/>
        </w:rPr>
      </w:pPr>
    </w:p>
    <w:p>
      <w:pPr>
        <w:ind w:left="943" w:right="580" w:hanging="569"/>
        <w:spacing w:after="0" w:line="266" w:lineRule="auto"/>
        <w:tabs>
          <w:tab w:leader="none" w:pos="943" w:val="left"/>
        </w:tabs>
        <w:numPr>
          <w:ilvl w:val="1"/>
          <w:numId w:val="7"/>
        </w:numPr>
        <w:rPr>
          <w:rFonts w:ascii="Arial" w:cs="Arial" w:eastAsia="Arial" w:hAnsi="Arial"/>
          <w:sz w:val="16"/>
          <w:szCs w:val="16"/>
          <w:color w:val="auto"/>
        </w:rPr>
      </w:pPr>
      <w:r>
        <w:rPr>
          <w:rFonts w:ascii="Arial" w:cs="Arial" w:eastAsia="Arial" w:hAnsi="Arial"/>
          <w:sz w:val="16"/>
          <w:szCs w:val="16"/>
          <w:color w:val="auto"/>
        </w:rPr>
        <w:t>The KODAK VERSAMARK Products are the predecessor products to the PROSPER Press. Kodak has ceased manufacturing VERSAMARK Press systems. Users of KODAK VERSAMARK Products continue to purchase ink and other consumables as well as service from Kodak. Applications of the VERSAMARK products include publishing, transactional, commercial print and direct mail.</w:t>
      </w:r>
    </w:p>
    <w:p>
      <w:pPr>
        <w:spacing w:after="0" w:line="158"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Flexographic Packaging</w:t>
      </w:r>
    </w:p>
    <w:p>
      <w:pPr>
        <w:spacing w:after="0" w:line="110" w:lineRule="exact"/>
        <w:rPr>
          <w:sz w:val="20"/>
          <w:szCs w:val="20"/>
          <w:color w:val="auto"/>
        </w:rPr>
      </w:pPr>
    </w:p>
    <w:p>
      <w:pPr>
        <w:ind w:left="3" w:right="20"/>
        <w:spacing w:after="0" w:line="278" w:lineRule="auto"/>
        <w:rPr>
          <w:sz w:val="20"/>
          <w:szCs w:val="20"/>
          <w:color w:val="auto"/>
        </w:rPr>
      </w:pPr>
      <w:r>
        <w:rPr>
          <w:rFonts w:ascii="Arial" w:cs="Arial" w:eastAsia="Arial" w:hAnsi="Arial"/>
          <w:sz w:val="15"/>
          <w:szCs w:val="15"/>
          <w:color w:val="auto"/>
        </w:rPr>
        <w:t>The Flexographic Packaging segment includes flexographic imaging equipment, printing plates, consumables and related services, which enable graphic customization of a wide variety of packaging materials. Flexographic Packaging seeks to provide innovative printing techniques to customers for both premium marketing applications and manufacturing applications. Flexographic Packaging products are sold directly by Kodak and indirectly through dealers. The industry is highly competitive. The most significant competitors are Esko-Graphics BVBA and Dainippon Screen Mfg. Co., Ltd. for imaging equipment and Asahi Kasei Corporation, E.I. du Pont de Nemours and Company, Flint Group S.A., Fuji, MacDermid Incorporated, Toray Industries, Inc. and Toyobo Co., Ltd. for consumables. Competition is based on quality, technology, performance, price, reliability, brand, reputation, range of products and services, and service and support.</w:t>
      </w:r>
    </w:p>
    <w:p>
      <w:pPr>
        <w:spacing w:after="0" w:line="58" w:lineRule="exact"/>
        <w:rPr>
          <w:sz w:val="20"/>
          <w:szCs w:val="20"/>
          <w:color w:val="auto"/>
        </w:rPr>
      </w:pPr>
    </w:p>
    <w:p>
      <w:pPr>
        <w:ind w:left="383" w:hanging="383"/>
        <w:spacing w:after="0"/>
        <w:tabs>
          <w:tab w:leader="none" w:pos="383"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FLEXCEL NX</w:t>
      </w:r>
      <w:r>
        <w:rPr>
          <w:rFonts w:ascii="Arial" w:cs="Arial" w:eastAsia="Arial" w:hAnsi="Arial"/>
          <w:sz w:val="16"/>
          <w:szCs w:val="16"/>
          <w:color w:val="auto"/>
        </w:rPr>
        <w:t>:</w:t>
      </w:r>
    </w:p>
    <w:p>
      <w:pPr>
        <w:spacing w:after="0" w:line="226" w:lineRule="exact"/>
        <w:rPr>
          <w:rFonts w:ascii="Arial" w:cs="Arial" w:eastAsia="Arial" w:hAnsi="Arial"/>
          <w:sz w:val="16"/>
          <w:szCs w:val="16"/>
          <w:color w:val="auto"/>
        </w:rPr>
      </w:pPr>
    </w:p>
    <w:p>
      <w:pPr>
        <w:ind w:left="943" w:right="80" w:hanging="569"/>
        <w:spacing w:after="0" w:line="280" w:lineRule="auto"/>
        <w:tabs>
          <w:tab w:leader="none" w:pos="943" w:val="left"/>
        </w:tabs>
        <w:numPr>
          <w:ilvl w:val="1"/>
          <w:numId w:val="8"/>
        </w:numPr>
        <w:rPr>
          <w:rFonts w:ascii="Arial" w:cs="Arial" w:eastAsia="Arial" w:hAnsi="Arial"/>
          <w:sz w:val="16"/>
          <w:szCs w:val="16"/>
          <w:color w:val="auto"/>
        </w:rPr>
      </w:pPr>
      <w:r>
        <w:rPr>
          <w:rFonts w:ascii="Arial" w:cs="Arial" w:eastAsia="Arial" w:hAnsi="Arial"/>
          <w:sz w:val="16"/>
          <w:szCs w:val="16"/>
          <w:color w:val="auto"/>
        </w:rPr>
        <w:t>The FLEXCEL NX System, a fully-integrated digital flexographic plate imaging solution, enables prepress service providers and printers to create printing plates that provide high quality flexographic printing and enhance the efficiency of customers’ printing processes.</w:t>
      </w:r>
    </w:p>
    <w:p>
      <w:pPr>
        <w:spacing w:after="0" w:line="175" w:lineRule="exact"/>
        <w:rPr>
          <w:rFonts w:ascii="Arial" w:cs="Arial" w:eastAsia="Arial" w:hAnsi="Arial"/>
          <w:sz w:val="16"/>
          <w:szCs w:val="16"/>
          <w:color w:val="auto"/>
        </w:rPr>
      </w:pPr>
    </w:p>
    <w:p>
      <w:pPr>
        <w:ind w:left="383" w:hanging="383"/>
        <w:spacing w:after="0"/>
        <w:tabs>
          <w:tab w:leader="none" w:pos="383"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Other Packaging</w:t>
      </w:r>
    </w:p>
    <w:p>
      <w:pPr>
        <w:spacing w:after="0" w:line="226" w:lineRule="exact"/>
        <w:rPr>
          <w:rFonts w:ascii="Arial" w:cs="Arial" w:eastAsia="Arial" w:hAnsi="Arial"/>
          <w:sz w:val="16"/>
          <w:szCs w:val="16"/>
          <w:color w:val="auto"/>
        </w:rPr>
      </w:pPr>
    </w:p>
    <w:p>
      <w:pPr>
        <w:ind w:left="943" w:right="240" w:hanging="569"/>
        <w:spacing w:after="0" w:line="292" w:lineRule="auto"/>
        <w:tabs>
          <w:tab w:leader="none" w:pos="943" w:val="left"/>
        </w:tabs>
        <w:numPr>
          <w:ilvl w:val="1"/>
          <w:numId w:val="8"/>
        </w:numPr>
        <w:rPr>
          <w:rFonts w:ascii="Arial" w:cs="Arial" w:eastAsia="Arial" w:hAnsi="Arial"/>
          <w:sz w:val="15"/>
          <w:szCs w:val="15"/>
          <w:color w:val="auto"/>
        </w:rPr>
      </w:pPr>
      <w:r>
        <w:rPr>
          <w:rFonts w:ascii="Arial" w:cs="Arial" w:eastAsia="Arial" w:hAnsi="Arial"/>
          <w:sz w:val="15"/>
          <w:szCs w:val="15"/>
          <w:color w:val="auto"/>
        </w:rPr>
        <w:t>The FLEXCEL SR Plates portfolio comprises a full range of analog flexographic plates designed for trade shops and packaging printers that have not yet transitioned to digital technology. Kodak also manufactures and sells DITR Film, a no-process alternative to conventional graphic arts film and a wide range of analog and digital letterpress plates. Also included under this category are equipment service and the legacy APPROVAL proofing business.</w:t>
      </w:r>
    </w:p>
    <w:p>
      <w:pPr>
        <w:spacing w:after="0" w:line="164"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Software and Solutions</w:t>
      </w:r>
    </w:p>
    <w:p>
      <w:pPr>
        <w:spacing w:after="0" w:line="110" w:lineRule="exact"/>
        <w:rPr>
          <w:sz w:val="20"/>
          <w:szCs w:val="20"/>
          <w:color w:val="auto"/>
        </w:rPr>
      </w:pPr>
    </w:p>
    <w:p>
      <w:pPr>
        <w:jc w:val="both"/>
        <w:ind w:left="3" w:right="140"/>
        <w:spacing w:after="0" w:line="292" w:lineRule="auto"/>
        <w:rPr>
          <w:sz w:val="20"/>
          <w:szCs w:val="20"/>
          <w:color w:val="auto"/>
        </w:rPr>
      </w:pPr>
      <w:r>
        <w:rPr>
          <w:rFonts w:ascii="Arial" w:cs="Arial" w:eastAsia="Arial" w:hAnsi="Arial"/>
          <w:sz w:val="15"/>
          <w:szCs w:val="15"/>
          <w:color w:val="auto"/>
        </w:rPr>
        <w:t>The Software and Solutions segment is comprised of Unified Workflow Solutions and Kodak Technology Solutions, which includes enterprise services and solutions. Unified Workflow Solutions is an established product line. Kodak Technology Solutions includes document management and managed print services businesses and Kodakit. Sales in Kodak Technology Solutions are project-based and can vary from year to year depending on the nature and number of projects in existence that year.</w:t>
      </w:r>
    </w:p>
    <w:p>
      <w:pPr>
        <w:spacing w:after="0" w:line="47" w:lineRule="exact"/>
        <w:rPr>
          <w:sz w:val="20"/>
          <w:szCs w:val="20"/>
          <w:color w:val="auto"/>
        </w:rPr>
      </w:pPr>
    </w:p>
    <w:p>
      <w:pPr>
        <w:ind w:left="383" w:hanging="383"/>
        <w:spacing w:after="0"/>
        <w:tabs>
          <w:tab w:leader="none" w:pos="383"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Unified Workflow Solutions</w:t>
      </w:r>
    </w:p>
    <w:p>
      <w:pPr>
        <w:spacing w:after="0" w:line="226" w:lineRule="exact"/>
        <w:rPr>
          <w:rFonts w:ascii="Arial" w:cs="Arial" w:eastAsia="Arial" w:hAnsi="Arial"/>
          <w:sz w:val="16"/>
          <w:szCs w:val="16"/>
          <w:color w:val="auto"/>
        </w:rPr>
      </w:pPr>
    </w:p>
    <w:p>
      <w:pPr>
        <w:ind w:left="743" w:hanging="369"/>
        <w:spacing w:after="0" w:line="255" w:lineRule="auto"/>
        <w:tabs>
          <w:tab w:leader="none" w:pos="743" w:val="left"/>
        </w:tabs>
        <w:numPr>
          <w:ilvl w:val="1"/>
          <w:numId w:val="9"/>
        </w:numPr>
        <w:rPr>
          <w:rFonts w:ascii="Arial" w:cs="Arial" w:eastAsia="Arial" w:hAnsi="Arial"/>
          <w:sz w:val="16"/>
          <w:szCs w:val="16"/>
          <w:color w:val="auto"/>
        </w:rPr>
      </w:pPr>
      <w:r>
        <w:rPr>
          <w:rFonts w:ascii="Arial" w:cs="Arial" w:eastAsia="Arial" w:hAnsi="Arial"/>
          <w:sz w:val="16"/>
          <w:szCs w:val="16"/>
          <w:color w:val="auto"/>
        </w:rPr>
        <w:t>Unified Workflow Solutions offers a leading suite of solutions for print production workflow, including the PRINERGY workflow production software, by providing customer value through automation, web integration and integration with other Kodak systems and third-party offerings. Production workflow software is used by customers to manage digital and conventional print content from file creation to output. Production workflow software manages content and color, reduces manual errors and helps customers manage the collaborative creative process. Kodak believes it is a leader in production workflow solutions for the commercial print and packaging industries with over 15,000 systems installed in some of the largest printing and packaging establishments around the world. The Unified Workflow Solutions business includes digital front-end controllers which manage the delivery of personalized content to digital presses while controlling color and print consistency. Products and services are sold directly by Kodak and indirectly through dealers. The markets that Unified Workflow Solutions serves are highly competitive. Key customer segments each face competitive market pressure in pricing and new product introduction. Primary competitors include Heidelberg, Agfa, Fuji, and Esko.</w:t>
      </w:r>
    </w:p>
    <w:p>
      <w:pPr>
        <w:spacing w:after="0" w:line="198" w:lineRule="exact"/>
        <w:rPr>
          <w:rFonts w:ascii="Arial" w:cs="Arial" w:eastAsia="Arial" w:hAnsi="Arial"/>
          <w:sz w:val="16"/>
          <w:szCs w:val="16"/>
          <w:color w:val="auto"/>
        </w:rPr>
      </w:pPr>
    </w:p>
    <w:p>
      <w:pPr>
        <w:ind w:left="383" w:hanging="383"/>
        <w:spacing w:after="0"/>
        <w:tabs>
          <w:tab w:leader="none" w:pos="383"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Kodak Technology Solutions</w:t>
      </w:r>
    </w:p>
    <w:p>
      <w:pPr>
        <w:spacing w:after="0" w:line="226" w:lineRule="exact"/>
        <w:rPr>
          <w:rFonts w:ascii="Arial" w:cs="Arial" w:eastAsia="Arial" w:hAnsi="Arial"/>
          <w:sz w:val="16"/>
          <w:szCs w:val="16"/>
          <w:color w:val="auto"/>
        </w:rPr>
      </w:pPr>
    </w:p>
    <w:p>
      <w:pPr>
        <w:jc w:val="both"/>
        <w:ind w:left="743" w:right="100" w:hanging="369"/>
        <w:spacing w:after="0" w:line="294" w:lineRule="auto"/>
        <w:tabs>
          <w:tab w:leader="none" w:pos="743" w:val="left"/>
        </w:tabs>
        <w:numPr>
          <w:ilvl w:val="1"/>
          <w:numId w:val="9"/>
        </w:numPr>
        <w:rPr>
          <w:rFonts w:ascii="Arial" w:cs="Arial" w:eastAsia="Arial" w:hAnsi="Arial"/>
          <w:sz w:val="14"/>
          <w:szCs w:val="14"/>
          <w:color w:val="auto"/>
        </w:rPr>
      </w:pPr>
      <w:r>
        <w:rPr>
          <w:rFonts w:ascii="Arial" w:cs="Arial" w:eastAsia="Arial" w:hAnsi="Arial"/>
          <w:sz w:val="14"/>
          <w:szCs w:val="14"/>
          <w:color w:val="auto"/>
        </w:rPr>
        <w:t>Kodak Technology Solutions assists organizations with challenges and opportunities created by the worldwide digital transformation. It provides print and managed media services that assist customers with solutions for their printing requirements and document management services, including expertise in the capture, archiving, retrieval and delivery of documents. Kodak Technology Solutions serves enterprise customers primarily in the government and financial services</w:t>
      </w:r>
    </w:p>
    <w:p>
      <w:pPr>
        <w:ind w:left="743" w:right="120"/>
        <w:spacing w:after="0" w:line="264" w:lineRule="auto"/>
        <w:rPr>
          <w:rFonts w:ascii="Arial" w:cs="Arial" w:eastAsia="Arial" w:hAnsi="Arial"/>
          <w:sz w:val="14"/>
          <w:szCs w:val="14"/>
          <w:color w:val="auto"/>
        </w:rPr>
      </w:pPr>
      <w:r>
        <w:rPr>
          <w:rFonts w:ascii="Arial" w:cs="Arial" w:eastAsia="Arial" w:hAnsi="Arial"/>
          <w:sz w:val="16"/>
          <w:szCs w:val="16"/>
          <w:color w:val="auto"/>
        </w:rPr>
        <w:t>sectors. Digitization and document management services are provided by a variety of players, both global and local, in a market that varies significantly in terms of quality and pricing of services provided.</w:t>
      </w:r>
    </w:p>
    <w:p>
      <w:pPr>
        <w:spacing w:after="0" w:line="66" w:lineRule="exact"/>
        <w:rPr>
          <w:rFonts w:ascii="Arial" w:cs="Arial" w:eastAsia="Arial" w:hAnsi="Arial"/>
          <w:sz w:val="14"/>
          <w:szCs w:val="14"/>
          <w:color w:val="auto"/>
        </w:rPr>
      </w:pPr>
    </w:p>
    <w:p>
      <w:pPr>
        <w:ind w:left="763" w:right="400"/>
        <w:spacing w:after="0" w:line="280" w:lineRule="auto"/>
        <w:rPr>
          <w:rFonts w:ascii="Arial" w:cs="Arial" w:eastAsia="Arial" w:hAnsi="Arial"/>
          <w:sz w:val="14"/>
          <w:szCs w:val="14"/>
          <w:color w:val="auto"/>
        </w:rPr>
      </w:pPr>
      <w:r>
        <w:rPr>
          <w:rFonts w:ascii="Arial" w:cs="Arial" w:eastAsia="Arial" w:hAnsi="Arial"/>
          <w:sz w:val="16"/>
          <w:szCs w:val="16"/>
          <w:color w:val="auto"/>
        </w:rPr>
        <w:t>Kodakit is a platform that connects businesses with professional photographers to cater to their photography needs. Customers include global hotels and online travel agencies, real estate companies, marketplaces, advertising agencies and global brands.</w:t>
      </w:r>
    </w:p>
    <w:p>
      <w:pPr>
        <w:spacing w:after="0" w:line="151"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62865</wp:posOffset>
            </wp:positionV>
            <wp:extent cx="7301865" cy="40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301865" cy="40640"/>
                    </a:xfrm>
                    <a:prstGeom prst="rect">
                      <a:avLst/>
                    </a:prstGeom>
                    <a:noFill/>
                  </pic:spPr>
                </pic:pic>
              </a:graphicData>
            </a:graphic>
          </wp:anchor>
        </w:drawing>
      </w:r>
    </w:p>
    <w:p>
      <w:pPr>
        <w:sectPr>
          <w:pgSz w:w="11900" w:h="16838" w:orient="portrait"/>
          <w:cols w:equalWidth="0" w:num="1">
            <w:col w:w="11443"/>
          </w:cols>
          <w:pgMar w:left="237" w:top="127" w:right="219" w:bottom="1440" w:gutter="0" w:footer="0" w:header="0"/>
        </w:sectPr>
      </w:pPr>
    </w:p>
    <w:bookmarkStart w:id="5" w:name="page6"/>
    <w:bookmarkEnd w:id="5"/>
    <w:p>
      <w:pPr>
        <w:ind w:left="3"/>
        <w:spacing w:after="0"/>
        <w:rPr>
          <w:sz w:val="20"/>
          <w:szCs w:val="20"/>
          <w:color w:val="auto"/>
        </w:rPr>
      </w:pPr>
      <w:r>
        <w:rPr>
          <w:rFonts w:ascii="Arial" w:cs="Arial" w:eastAsia="Arial" w:hAnsi="Arial"/>
          <w:sz w:val="16"/>
          <w:szCs w:val="16"/>
          <w:b w:val="1"/>
          <w:bCs w:val="1"/>
          <w:color w:val="auto"/>
        </w:rPr>
        <w:t>Consumer and Film</w:t>
      </w:r>
    </w:p>
    <w:p>
      <w:pPr>
        <w:spacing w:after="0" w:line="110" w:lineRule="exact"/>
        <w:rPr>
          <w:sz w:val="20"/>
          <w:szCs w:val="20"/>
          <w:color w:val="auto"/>
        </w:rPr>
      </w:pPr>
    </w:p>
    <w:p>
      <w:pPr>
        <w:jc w:val="both"/>
        <w:ind w:left="3" w:right="60"/>
        <w:spacing w:after="0" w:line="292" w:lineRule="auto"/>
        <w:rPr>
          <w:sz w:val="20"/>
          <w:szCs w:val="20"/>
          <w:color w:val="auto"/>
        </w:rPr>
      </w:pPr>
      <w:r>
        <w:rPr>
          <w:rFonts w:ascii="Arial" w:cs="Arial" w:eastAsia="Arial" w:hAnsi="Arial"/>
          <w:sz w:val="15"/>
          <w:szCs w:val="15"/>
          <w:color w:val="auto"/>
        </w:rPr>
        <w:t>The Consumer and Film segment is comprised of three lines of business, Consumer Products, Industrial Film and Chemicals, and Motion Picture. Kodak’s Consumer and Film products are distributed directly by Kodak and indirectly through dealers. Brand licensees use the Kodak brand on their products and use their own distribution channels. Two Industrial Film and Chemicals customers represent approximately 30 percent of total Consumer and Film segment revenues.</w:t>
      </w:r>
    </w:p>
    <w:p>
      <w:pPr>
        <w:spacing w:after="0" w:line="47" w:lineRule="exact"/>
        <w:rPr>
          <w:sz w:val="20"/>
          <w:szCs w:val="20"/>
          <w:color w:val="auto"/>
        </w:rPr>
      </w:pPr>
    </w:p>
    <w:p>
      <w:pPr>
        <w:ind w:left="383" w:hanging="383"/>
        <w:spacing w:after="0"/>
        <w:tabs>
          <w:tab w:leader="none" w:pos="383"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Consumer Products:</w:t>
      </w:r>
    </w:p>
    <w:p>
      <w:pPr>
        <w:spacing w:after="0" w:line="226" w:lineRule="exact"/>
        <w:rPr>
          <w:rFonts w:ascii="Arial" w:cs="Arial" w:eastAsia="Arial" w:hAnsi="Arial"/>
          <w:sz w:val="16"/>
          <w:szCs w:val="16"/>
          <w:color w:val="auto"/>
        </w:rPr>
      </w:pPr>
    </w:p>
    <w:p>
      <w:pPr>
        <w:ind w:left="743" w:hanging="369"/>
        <w:spacing w:after="0" w:line="257" w:lineRule="auto"/>
        <w:tabs>
          <w:tab w:leader="none" w:pos="743" w:val="left"/>
        </w:tabs>
        <w:numPr>
          <w:ilvl w:val="1"/>
          <w:numId w:val="10"/>
        </w:numPr>
        <w:rPr>
          <w:rFonts w:ascii="Arial" w:cs="Arial" w:eastAsia="Arial" w:hAnsi="Arial"/>
          <w:sz w:val="16"/>
          <w:szCs w:val="16"/>
          <w:color w:val="auto"/>
        </w:rPr>
      </w:pPr>
      <w:r>
        <w:rPr>
          <w:rFonts w:ascii="Arial" w:cs="Arial" w:eastAsia="Arial" w:hAnsi="Arial"/>
          <w:sz w:val="16"/>
          <w:szCs w:val="16"/>
          <w:color w:val="auto"/>
        </w:rPr>
        <w:t>Includes licensing of the Kodak brand to third parties. Kodak currently licenses its brand for use with a range of products including batteries, digital and instant print cameras and camera accessories, printers, and LED lighting. Kodak intends to continue efforts to grow its portfolio of brand licenses to generate both ongoing royalty streams and upfront payments.</w:t>
      </w:r>
    </w:p>
    <w:p>
      <w:pPr>
        <w:spacing w:after="0" w:line="1" w:lineRule="exact"/>
        <w:rPr>
          <w:rFonts w:ascii="Arial" w:cs="Arial" w:eastAsia="Arial" w:hAnsi="Arial"/>
          <w:sz w:val="16"/>
          <w:szCs w:val="16"/>
          <w:color w:val="auto"/>
        </w:rPr>
      </w:pPr>
    </w:p>
    <w:p>
      <w:pPr>
        <w:ind w:left="743" w:hanging="369"/>
        <w:spacing w:after="0"/>
        <w:tabs>
          <w:tab w:leader="none" w:pos="743" w:val="left"/>
        </w:tabs>
        <w:numPr>
          <w:ilvl w:val="1"/>
          <w:numId w:val="10"/>
        </w:numPr>
        <w:rPr>
          <w:rFonts w:ascii="Arial" w:cs="Arial" w:eastAsia="Arial" w:hAnsi="Arial"/>
          <w:sz w:val="16"/>
          <w:szCs w:val="16"/>
          <w:color w:val="auto"/>
        </w:rPr>
      </w:pPr>
      <w:r>
        <w:rPr>
          <w:rFonts w:ascii="Arial" w:cs="Arial" w:eastAsia="Arial" w:hAnsi="Arial"/>
          <w:sz w:val="16"/>
          <w:szCs w:val="16"/>
          <w:color w:val="auto"/>
        </w:rPr>
        <w:t>Consumer Inkjet Solutions, which involves the sale of ink to an existing installed base of consumer inkjet printers.</w:t>
      </w:r>
    </w:p>
    <w:p>
      <w:pPr>
        <w:spacing w:after="0" w:line="9" w:lineRule="exact"/>
        <w:rPr>
          <w:rFonts w:ascii="Arial" w:cs="Arial" w:eastAsia="Arial" w:hAnsi="Arial"/>
          <w:sz w:val="16"/>
          <w:szCs w:val="16"/>
          <w:color w:val="auto"/>
        </w:rPr>
      </w:pPr>
    </w:p>
    <w:p>
      <w:pPr>
        <w:ind w:left="743" w:hanging="369"/>
        <w:spacing w:after="0"/>
        <w:tabs>
          <w:tab w:leader="none" w:pos="743" w:val="left"/>
        </w:tabs>
        <w:numPr>
          <w:ilvl w:val="1"/>
          <w:numId w:val="10"/>
        </w:numPr>
        <w:rPr>
          <w:rFonts w:ascii="Arial" w:cs="Arial" w:eastAsia="Arial" w:hAnsi="Arial"/>
          <w:sz w:val="16"/>
          <w:szCs w:val="16"/>
          <w:color w:val="auto"/>
        </w:rPr>
      </w:pPr>
      <w:r>
        <w:rPr>
          <w:rFonts w:ascii="Arial" w:cs="Arial" w:eastAsia="Arial" w:hAnsi="Arial"/>
          <w:sz w:val="16"/>
          <w:szCs w:val="16"/>
          <w:color w:val="auto"/>
        </w:rPr>
        <w:t>Kodak developed consumer products, including the Super 8 camera.</w:t>
      </w:r>
    </w:p>
    <w:p>
      <w:pPr>
        <w:spacing w:after="0" w:line="214" w:lineRule="exact"/>
        <w:rPr>
          <w:rFonts w:ascii="Arial" w:cs="Arial" w:eastAsia="Arial" w:hAnsi="Arial"/>
          <w:sz w:val="16"/>
          <w:szCs w:val="16"/>
          <w:color w:val="auto"/>
        </w:rPr>
      </w:pPr>
    </w:p>
    <w:p>
      <w:pPr>
        <w:ind w:left="383" w:hanging="383"/>
        <w:spacing w:after="0"/>
        <w:tabs>
          <w:tab w:leader="none" w:pos="383"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Industrial Film and Chemicals:</w:t>
      </w:r>
    </w:p>
    <w:p>
      <w:pPr>
        <w:spacing w:after="0" w:line="226" w:lineRule="exact"/>
        <w:rPr>
          <w:rFonts w:ascii="Arial" w:cs="Arial" w:eastAsia="Arial" w:hAnsi="Arial"/>
          <w:sz w:val="16"/>
          <w:szCs w:val="16"/>
          <w:color w:val="auto"/>
        </w:rPr>
      </w:pPr>
    </w:p>
    <w:p>
      <w:pPr>
        <w:ind w:left="743" w:hanging="369"/>
        <w:spacing w:after="0"/>
        <w:tabs>
          <w:tab w:leader="none" w:pos="743" w:val="left"/>
        </w:tabs>
        <w:numPr>
          <w:ilvl w:val="1"/>
          <w:numId w:val="10"/>
        </w:numPr>
        <w:rPr>
          <w:rFonts w:ascii="Arial" w:cs="Arial" w:eastAsia="Arial" w:hAnsi="Arial"/>
          <w:sz w:val="14"/>
          <w:szCs w:val="14"/>
          <w:color w:val="auto"/>
        </w:rPr>
      </w:pPr>
      <w:r>
        <w:rPr>
          <w:rFonts w:ascii="Arial" w:cs="Arial" w:eastAsia="Arial" w:hAnsi="Arial"/>
          <w:sz w:val="14"/>
          <w:szCs w:val="14"/>
          <w:color w:val="auto"/>
        </w:rPr>
        <w:t>Offers industrial film, including films used by the electronics industry to produce printed circuit boards, as well as professional and consumer still photographic film.</w:t>
      </w:r>
    </w:p>
    <w:p>
      <w:pPr>
        <w:spacing w:after="0" w:line="44" w:lineRule="exact"/>
        <w:rPr>
          <w:rFonts w:ascii="Arial" w:cs="Arial" w:eastAsia="Arial" w:hAnsi="Arial"/>
          <w:sz w:val="14"/>
          <w:szCs w:val="14"/>
          <w:color w:val="auto"/>
        </w:rPr>
      </w:pPr>
    </w:p>
    <w:p>
      <w:pPr>
        <w:ind w:left="743" w:hanging="369"/>
        <w:spacing w:after="0"/>
        <w:tabs>
          <w:tab w:leader="none" w:pos="743" w:val="left"/>
        </w:tabs>
        <w:numPr>
          <w:ilvl w:val="1"/>
          <w:numId w:val="10"/>
        </w:numPr>
        <w:rPr>
          <w:rFonts w:ascii="Arial" w:cs="Arial" w:eastAsia="Arial" w:hAnsi="Arial"/>
          <w:sz w:val="16"/>
          <w:szCs w:val="16"/>
          <w:color w:val="auto"/>
        </w:rPr>
      </w:pPr>
      <w:r>
        <w:rPr>
          <w:rFonts w:ascii="Arial" w:cs="Arial" w:eastAsia="Arial" w:hAnsi="Arial"/>
          <w:sz w:val="16"/>
          <w:szCs w:val="16"/>
          <w:color w:val="auto"/>
        </w:rPr>
        <w:t>Includes related component businesses: Polyester Film; Solvent Recovery; and Specialty Chemicals, Inks and Dispersions.</w:t>
      </w:r>
    </w:p>
    <w:p>
      <w:pPr>
        <w:spacing w:after="0" w:line="214" w:lineRule="exact"/>
        <w:rPr>
          <w:rFonts w:ascii="Arial" w:cs="Arial" w:eastAsia="Arial" w:hAnsi="Arial"/>
          <w:sz w:val="16"/>
          <w:szCs w:val="16"/>
          <w:color w:val="auto"/>
        </w:rPr>
      </w:pPr>
    </w:p>
    <w:p>
      <w:pPr>
        <w:ind w:left="383" w:hanging="383"/>
        <w:spacing w:after="0"/>
        <w:tabs>
          <w:tab w:leader="none" w:pos="383"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Motion Picture:</w:t>
      </w:r>
    </w:p>
    <w:p>
      <w:pPr>
        <w:spacing w:after="0" w:line="226" w:lineRule="exact"/>
        <w:rPr>
          <w:rFonts w:ascii="Arial" w:cs="Arial" w:eastAsia="Arial" w:hAnsi="Arial"/>
          <w:sz w:val="16"/>
          <w:szCs w:val="16"/>
          <w:color w:val="auto"/>
        </w:rPr>
      </w:pPr>
    </w:p>
    <w:p>
      <w:pPr>
        <w:ind w:left="743" w:right="700" w:hanging="369"/>
        <w:spacing w:after="0" w:line="260" w:lineRule="auto"/>
        <w:tabs>
          <w:tab w:leader="none" w:pos="743" w:val="left"/>
        </w:tabs>
        <w:numPr>
          <w:ilvl w:val="1"/>
          <w:numId w:val="10"/>
        </w:numPr>
        <w:rPr>
          <w:rFonts w:ascii="Arial" w:cs="Arial" w:eastAsia="Arial" w:hAnsi="Arial"/>
          <w:sz w:val="16"/>
          <w:szCs w:val="16"/>
          <w:color w:val="auto"/>
        </w:rPr>
      </w:pPr>
      <w:r>
        <w:rPr>
          <w:rFonts w:ascii="Arial" w:cs="Arial" w:eastAsia="Arial" w:hAnsi="Arial"/>
          <w:sz w:val="16"/>
          <w:szCs w:val="16"/>
          <w:color w:val="auto"/>
        </w:rPr>
        <w:t>Includes the motion picture film business serving the entertainment industry. Motion picture products are sold directly to studios, external laboratories and independent filmmakers.</w:t>
      </w:r>
    </w:p>
    <w:p>
      <w:pPr>
        <w:ind w:left="743" w:hanging="369"/>
        <w:spacing w:after="0"/>
        <w:tabs>
          <w:tab w:leader="none" w:pos="743" w:val="left"/>
        </w:tabs>
        <w:numPr>
          <w:ilvl w:val="1"/>
          <w:numId w:val="10"/>
        </w:numPr>
        <w:rPr>
          <w:rFonts w:ascii="Arial" w:cs="Arial" w:eastAsia="Arial" w:hAnsi="Arial"/>
          <w:sz w:val="16"/>
          <w:szCs w:val="16"/>
          <w:color w:val="auto"/>
        </w:rPr>
      </w:pPr>
      <w:r>
        <w:rPr>
          <w:rFonts w:ascii="Arial" w:cs="Arial" w:eastAsia="Arial" w:hAnsi="Arial"/>
          <w:sz w:val="16"/>
          <w:szCs w:val="16"/>
          <w:color w:val="auto"/>
        </w:rPr>
        <w:t>Kodak motion picture film processing laboratories offering onsite processing services at strategic locations in the U.S. and Europe.</w:t>
      </w:r>
    </w:p>
    <w:p>
      <w:pPr>
        <w:spacing w:after="0" w:line="191" w:lineRule="exact"/>
        <w:rPr>
          <w:sz w:val="20"/>
          <w:szCs w:val="20"/>
          <w:color w:val="auto"/>
        </w:rPr>
      </w:pPr>
    </w:p>
    <w:p>
      <w:pPr>
        <w:ind w:left="3"/>
        <w:spacing w:after="0"/>
        <w:rPr>
          <w:sz w:val="20"/>
          <w:szCs w:val="20"/>
          <w:color w:val="auto"/>
        </w:rPr>
      </w:pPr>
      <w:r>
        <w:rPr>
          <w:rFonts w:ascii="Arial" w:cs="Arial" w:eastAsia="Arial" w:hAnsi="Arial"/>
          <w:sz w:val="15"/>
          <w:szCs w:val="15"/>
          <w:color w:val="auto"/>
        </w:rPr>
        <w:t>Net sales for Motion Picture and Industrial Film and Chemicals accounted for 10% of Kodak’s total net revenues for the years ended December 31, 2017, 2016 and 2015.</w:t>
      </w:r>
    </w:p>
    <w:p>
      <w:pPr>
        <w:spacing w:after="0" w:line="210"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Advanced Materials and 3D Printing Technology</w:t>
      </w:r>
    </w:p>
    <w:p>
      <w:pPr>
        <w:spacing w:after="0" w:line="110" w:lineRule="exact"/>
        <w:rPr>
          <w:sz w:val="20"/>
          <w:szCs w:val="20"/>
          <w:color w:val="auto"/>
        </w:rPr>
      </w:pPr>
    </w:p>
    <w:p>
      <w:pPr>
        <w:ind w:left="3" w:right="20"/>
        <w:spacing w:after="0" w:line="256" w:lineRule="auto"/>
        <w:rPr>
          <w:sz w:val="20"/>
          <w:szCs w:val="20"/>
          <w:color w:val="auto"/>
        </w:rPr>
      </w:pPr>
      <w:r>
        <w:rPr>
          <w:rFonts w:ascii="Arial" w:cs="Arial" w:eastAsia="Arial" w:hAnsi="Arial"/>
          <w:sz w:val="16"/>
          <w:szCs w:val="16"/>
          <w:color w:val="auto"/>
        </w:rPr>
        <w:t>The Advanced Materials and 3D Printing Technology segment contains the Kodak Research Laboratories and associated new business opportunities and intellectual property licensing not directly related to other business divisions. Kodak conducts research and files patent applications with fundamental inventions from the Kodak Research Laboratories. Additionally, Kodak continues to file new patent applications in areas aligned with its core businesses. Via these core business patent applications along with the research inventions, Kodak maintains a large worldwide portfolio of pending applications and issued patents. Because product solutions in Advanced Materials and 3D Printing are in the process of being commercialized or are new business opportunities, a higher-level of investment has been required. Advanced Materials and 3D Printing Technology significantly reduced the level of this investment in the fourth quarter of 2017, concentrating on opportunities that are commercialized or nearly commercialized with identified markets and customers.</w:t>
      </w:r>
    </w:p>
    <w:p>
      <w:pPr>
        <w:spacing w:after="0" w:line="198" w:lineRule="exact"/>
        <w:rPr>
          <w:sz w:val="20"/>
          <w:szCs w:val="20"/>
          <w:color w:val="auto"/>
        </w:rPr>
      </w:pPr>
    </w:p>
    <w:p>
      <w:pPr>
        <w:ind w:left="3" w:right="280"/>
        <w:spacing w:after="0" w:line="321" w:lineRule="auto"/>
        <w:rPr>
          <w:sz w:val="20"/>
          <w:szCs w:val="20"/>
          <w:color w:val="auto"/>
        </w:rPr>
      </w:pPr>
      <w:r>
        <w:rPr>
          <w:rFonts w:ascii="Arial" w:cs="Arial" w:eastAsia="Arial" w:hAnsi="Arial"/>
          <w:sz w:val="14"/>
          <w:szCs w:val="14"/>
          <w:color w:val="auto"/>
        </w:rPr>
        <w:t>Advanced Materials and 3D Printing Technology segment will also pursue partnership opportunities to commercialize materials and printed electronics technologies. These partnerships may include non-recurring engineering payments for Kodak efforts to further develop such technologies into products. Further, Advanced Materials and 3D Printing Technology segment provides a wide range of analytical services and non-recurring engineering services to external clients at market rates for such services.</w:t>
      </w:r>
    </w:p>
    <w:p>
      <w:pPr>
        <w:spacing w:after="0" w:line="224" w:lineRule="exact"/>
        <w:rPr>
          <w:sz w:val="20"/>
          <w:szCs w:val="20"/>
          <w:color w:val="auto"/>
        </w:rPr>
      </w:pPr>
    </w:p>
    <w:p>
      <w:pPr>
        <w:ind w:left="383" w:hanging="383"/>
        <w:spacing w:after="0"/>
        <w:tabs>
          <w:tab w:leader="none" w:pos="383"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Advanced Materials:</w:t>
      </w:r>
    </w:p>
    <w:p>
      <w:pPr>
        <w:spacing w:after="0" w:line="226" w:lineRule="exact"/>
        <w:rPr>
          <w:rFonts w:ascii="Arial" w:cs="Arial" w:eastAsia="Arial" w:hAnsi="Arial"/>
          <w:sz w:val="16"/>
          <w:szCs w:val="16"/>
          <w:color w:val="auto"/>
        </w:rPr>
      </w:pPr>
    </w:p>
    <w:p>
      <w:pPr>
        <w:ind w:left="1143" w:right="60" w:hanging="575"/>
        <w:spacing w:after="0" w:line="266" w:lineRule="auto"/>
        <w:tabs>
          <w:tab w:leader="none" w:pos="1143" w:val="left"/>
        </w:tabs>
        <w:numPr>
          <w:ilvl w:val="1"/>
          <w:numId w:val="11"/>
        </w:numPr>
        <w:rPr>
          <w:rFonts w:ascii="Arial" w:cs="Arial" w:eastAsia="Arial" w:hAnsi="Arial"/>
          <w:sz w:val="16"/>
          <w:szCs w:val="16"/>
          <w:color w:val="auto"/>
        </w:rPr>
      </w:pPr>
      <w:r>
        <w:rPr>
          <w:rFonts w:ascii="Arial" w:cs="Arial" w:eastAsia="Arial" w:hAnsi="Arial"/>
          <w:sz w:val="16"/>
          <w:szCs w:val="16"/>
          <w:color w:val="auto"/>
        </w:rPr>
        <w:t>Advanced Materials is developing solutions for component smart materials based on the materials science inventions and innovations from the research laboratories. There are multiple applications that Kodak contemplates addressing in this category, but the singular focus now is light blocking particles for the textile market.</w:t>
      </w:r>
    </w:p>
    <w:p>
      <w:pPr>
        <w:spacing w:after="0" w:line="186" w:lineRule="exact"/>
        <w:rPr>
          <w:rFonts w:ascii="Arial" w:cs="Arial" w:eastAsia="Arial" w:hAnsi="Arial"/>
          <w:sz w:val="16"/>
          <w:szCs w:val="16"/>
          <w:color w:val="auto"/>
        </w:rPr>
      </w:pPr>
    </w:p>
    <w:p>
      <w:pPr>
        <w:ind w:left="383" w:hanging="383"/>
        <w:spacing w:after="0"/>
        <w:tabs>
          <w:tab w:leader="none" w:pos="383"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3D Printing:</w:t>
      </w:r>
    </w:p>
    <w:p>
      <w:pPr>
        <w:spacing w:after="0" w:line="226" w:lineRule="exact"/>
        <w:rPr>
          <w:rFonts w:ascii="Arial" w:cs="Arial" w:eastAsia="Arial" w:hAnsi="Arial"/>
          <w:sz w:val="16"/>
          <w:szCs w:val="16"/>
          <w:color w:val="auto"/>
        </w:rPr>
      </w:pPr>
    </w:p>
    <w:p>
      <w:pPr>
        <w:ind w:left="1143" w:right="480" w:hanging="575"/>
        <w:spacing w:after="0" w:line="280" w:lineRule="auto"/>
        <w:tabs>
          <w:tab w:leader="none" w:pos="1143" w:val="left"/>
        </w:tabs>
        <w:numPr>
          <w:ilvl w:val="1"/>
          <w:numId w:val="11"/>
        </w:numPr>
        <w:rPr>
          <w:rFonts w:ascii="Arial" w:cs="Arial" w:eastAsia="Arial" w:hAnsi="Arial"/>
          <w:sz w:val="16"/>
          <w:szCs w:val="16"/>
          <w:color w:val="auto"/>
        </w:rPr>
      </w:pPr>
      <w:r>
        <w:rPr>
          <w:rFonts w:ascii="Arial" w:cs="Arial" w:eastAsia="Arial" w:hAnsi="Arial"/>
          <w:sz w:val="16"/>
          <w:szCs w:val="16"/>
          <w:color w:val="auto"/>
        </w:rPr>
        <w:t>3D Printing concentrates on partnership and/or licensing opportunities in printed electronics (micro 3D printing) and materials production for macro 3D printing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22"/>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62865</wp:posOffset>
            </wp:positionV>
            <wp:extent cx="7301865" cy="406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01865" cy="40640"/>
                    </a:xfrm>
                    <a:prstGeom prst="rect">
                      <a:avLst/>
                    </a:prstGeom>
                    <a:noFill/>
                  </pic:spPr>
                </pic:pic>
              </a:graphicData>
            </a:graphic>
          </wp:anchor>
        </w:drawing>
      </w:r>
    </w:p>
    <w:p>
      <w:pPr>
        <w:sectPr>
          <w:pgSz w:w="11900" w:h="16838" w:orient="portrait"/>
          <w:cols w:equalWidth="0" w:num="1">
            <w:col w:w="11403"/>
          </w:cols>
          <w:pgMar w:left="237" w:top="316" w:right="259" w:bottom="1440" w:gutter="0" w:footer="0" w:header="0"/>
        </w:sectPr>
      </w:pPr>
    </w:p>
    <w:bookmarkStart w:id="6" w:name="page7"/>
    <w:bookmarkEnd w:id="6"/>
    <w:p>
      <w:pPr>
        <w:ind w:left="383" w:hanging="383"/>
        <w:spacing w:after="0"/>
        <w:tabs>
          <w:tab w:leader="none" w:pos="383"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IP Licensing:</w:t>
      </w:r>
    </w:p>
    <w:p>
      <w:pPr>
        <w:spacing w:after="0" w:line="226" w:lineRule="exact"/>
        <w:rPr>
          <w:rFonts w:ascii="Arial" w:cs="Arial" w:eastAsia="Arial" w:hAnsi="Arial"/>
          <w:sz w:val="16"/>
          <w:szCs w:val="16"/>
          <w:color w:val="auto"/>
        </w:rPr>
      </w:pPr>
    </w:p>
    <w:p>
      <w:pPr>
        <w:ind w:left="1143" w:right="20" w:hanging="575"/>
        <w:spacing w:after="0" w:line="266" w:lineRule="auto"/>
        <w:tabs>
          <w:tab w:leader="none" w:pos="1143" w:val="left"/>
        </w:tabs>
        <w:numPr>
          <w:ilvl w:val="1"/>
          <w:numId w:val="12"/>
        </w:numPr>
        <w:rPr>
          <w:rFonts w:ascii="Arial" w:cs="Arial" w:eastAsia="Arial" w:hAnsi="Arial"/>
          <w:sz w:val="16"/>
          <w:szCs w:val="16"/>
          <w:color w:val="auto"/>
        </w:rPr>
      </w:pPr>
      <w:r>
        <w:rPr>
          <w:rFonts w:ascii="Arial" w:cs="Arial" w:eastAsia="Arial" w:hAnsi="Arial"/>
          <w:sz w:val="16"/>
          <w:szCs w:val="16"/>
          <w:color w:val="auto"/>
        </w:rPr>
        <w:t>Kodak actively seeks opportunities to leverage its patents and associated technology in licensing and/or cross-licensing deals to support both revenue growth and its ongoing businesses. While revenues from these licensing activities tend to be unpredictable in nature, this segment still carries the potential for revenue generation from intellectual property licensing and new materials businesses.</w:t>
      </w:r>
    </w:p>
    <w:p>
      <w:pPr>
        <w:spacing w:after="0" w:line="158"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Eastman Business Park</w:t>
      </w:r>
    </w:p>
    <w:p>
      <w:pPr>
        <w:spacing w:after="0" w:line="110" w:lineRule="exact"/>
        <w:rPr>
          <w:sz w:val="20"/>
          <w:szCs w:val="20"/>
          <w:color w:val="auto"/>
        </w:rPr>
      </w:pPr>
    </w:p>
    <w:p>
      <w:pPr>
        <w:ind w:left="3" w:right="80"/>
        <w:spacing w:after="0" w:line="280" w:lineRule="auto"/>
        <w:rPr>
          <w:sz w:val="20"/>
          <w:szCs w:val="20"/>
          <w:color w:val="auto"/>
        </w:rPr>
      </w:pPr>
      <w:r>
        <w:rPr>
          <w:rFonts w:ascii="Arial" w:cs="Arial" w:eastAsia="Arial" w:hAnsi="Arial"/>
          <w:sz w:val="15"/>
          <w:szCs w:val="15"/>
          <w:color w:val="auto"/>
        </w:rPr>
        <w:t>The Eastman Business Park segment includes the operations of the Eastman Business Park, a more than 1,200-acre technology center and industrial complex in Rochester, New York and the leasing activities related to that space. A large portion of this facility is used in Kodak’s own manufacturing and other operations, while the remaining portion is occupied by external tenants or available for rent to external tenants. Three tenants represent approximately 50% of total Eastman Business Park segment revenues. A tenant that represented approximately 30% of segment revenues for the years ending December 31, 2017 and 2016, and 35% of segment revenues for the year ending December 31, 2015 notified Kodak that it does not plan to renew its lease upon expiration in the third quarter of 2018.</w:t>
      </w:r>
    </w:p>
    <w:p>
      <w:pPr>
        <w:spacing w:after="0" w:line="150"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DISCONTINUED OPERATIONS</w:t>
      </w:r>
    </w:p>
    <w:p>
      <w:pPr>
        <w:spacing w:after="0" w:line="110" w:lineRule="exact"/>
        <w:rPr>
          <w:sz w:val="20"/>
          <w:szCs w:val="20"/>
          <w:color w:val="auto"/>
        </w:rPr>
      </w:pPr>
    </w:p>
    <w:p>
      <w:pPr>
        <w:ind w:left="3" w:right="40"/>
        <w:spacing w:after="0" w:line="280" w:lineRule="auto"/>
        <w:rPr>
          <w:sz w:val="20"/>
          <w:szCs w:val="20"/>
          <w:color w:val="auto"/>
        </w:rPr>
      </w:pPr>
      <w:r>
        <w:rPr>
          <w:rFonts w:ascii="Arial" w:cs="Arial" w:eastAsia="Arial" w:hAnsi="Arial"/>
          <w:sz w:val="16"/>
          <w:szCs w:val="16"/>
          <w:color w:val="auto"/>
        </w:rPr>
        <w:t>Discontinued operations of Kodak include the Personalized Imaging and Document Imaging businesses (“PI/DI Business”). Refer to Note 25, “Discontinued Operations” in the Notes to Financial Statements for additional information.</w:t>
      </w:r>
    </w:p>
    <w:p>
      <w:pPr>
        <w:spacing w:after="0" w:line="147"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FINANCIAL INFORMATION BY GEOGRAPHIC AREA</w:t>
      </w:r>
    </w:p>
    <w:p>
      <w:pPr>
        <w:spacing w:after="0" w:line="110" w:lineRule="exact"/>
        <w:rPr>
          <w:sz w:val="20"/>
          <w:szCs w:val="20"/>
          <w:color w:val="auto"/>
        </w:rPr>
      </w:pPr>
    </w:p>
    <w:p>
      <w:pPr>
        <w:ind w:left="3"/>
        <w:spacing w:after="0"/>
        <w:rPr>
          <w:sz w:val="20"/>
          <w:szCs w:val="20"/>
          <w:color w:val="auto"/>
        </w:rPr>
      </w:pPr>
      <w:r>
        <w:rPr>
          <w:rFonts w:ascii="Arial" w:cs="Arial" w:eastAsia="Arial" w:hAnsi="Arial"/>
          <w:sz w:val="16"/>
          <w:szCs w:val="16"/>
          <w:color w:val="auto"/>
        </w:rPr>
        <w:t>Financial information by geographic area for the past three years is shown in Note 24, “Segment Information,” in the Notes to Financial Statements.</w:t>
      </w:r>
    </w:p>
    <w:p>
      <w:pPr>
        <w:spacing w:after="0" w:line="199"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RAW MATERIALS</w:t>
      </w:r>
    </w:p>
    <w:p>
      <w:pPr>
        <w:spacing w:after="0" w:line="110" w:lineRule="exact"/>
        <w:rPr>
          <w:sz w:val="20"/>
          <w:szCs w:val="20"/>
          <w:color w:val="auto"/>
        </w:rPr>
      </w:pPr>
    </w:p>
    <w:p>
      <w:pPr>
        <w:ind w:left="3" w:right="200"/>
        <w:spacing w:after="0" w:line="276" w:lineRule="auto"/>
        <w:rPr>
          <w:sz w:val="20"/>
          <w:szCs w:val="20"/>
          <w:color w:val="auto"/>
        </w:rPr>
      </w:pPr>
      <w:r>
        <w:rPr>
          <w:rFonts w:ascii="Arial" w:cs="Arial" w:eastAsia="Arial" w:hAnsi="Arial"/>
          <w:sz w:val="15"/>
          <w:szCs w:val="15"/>
          <w:color w:val="auto"/>
        </w:rPr>
        <w:t>The raw materials used by Kodak are many and varied, and are generally readily available. Lithographic aluminum is the primary material used in the manufacture of offset printing plates. Kodak procures lithographic aluminum coils from several suppliers with pricing based, in part, on either prevailing market prices for aluminum or on fixed prices for aluminum agreed to up to one year prior. Electronic components are used in the manufacturing of commercial printers and other electronic devices. The film and chemicals business uses many raw materials from a broad range of suppliers. Polymer and resin raw materials are used in the manufacture of flexographic printing plates and films. Most electronic components, raw materials and other components are generally available from multiple sources. However, certain key electronic components, raw materials and other components included in the finished goods manufactured by Kodak and manufactured by and purchased from Kodak’s third-party suppliers are obtained from single or limited sources, which subjects Kodak to supply risks.</w:t>
      </w:r>
    </w:p>
    <w:p>
      <w:pPr>
        <w:spacing w:after="0" w:line="155"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SEASONALITY OF BUSINESS</w:t>
      </w:r>
    </w:p>
    <w:p>
      <w:pPr>
        <w:spacing w:after="0" w:line="110" w:lineRule="exact"/>
        <w:rPr>
          <w:sz w:val="20"/>
          <w:szCs w:val="20"/>
          <w:color w:val="auto"/>
        </w:rPr>
      </w:pPr>
    </w:p>
    <w:p>
      <w:pPr>
        <w:ind w:left="3"/>
        <w:spacing w:after="0"/>
        <w:rPr>
          <w:sz w:val="20"/>
          <w:szCs w:val="20"/>
          <w:color w:val="auto"/>
        </w:rPr>
      </w:pPr>
      <w:r>
        <w:rPr>
          <w:rFonts w:ascii="Arial" w:cs="Arial" w:eastAsia="Arial" w:hAnsi="Arial"/>
          <w:sz w:val="16"/>
          <w:szCs w:val="16"/>
          <w:color w:val="auto"/>
        </w:rPr>
        <w:t>Equipment and plate unit sales generally are higher in the fourth quarter, resulting from customer or industry budgeting practices and buying patterns.</w:t>
      </w:r>
    </w:p>
    <w:p>
      <w:pPr>
        <w:spacing w:after="0" w:line="199"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RESEARCH AND DEVELOPMENT</w:t>
      </w:r>
    </w:p>
    <w:p>
      <w:pPr>
        <w:spacing w:after="0" w:line="110" w:lineRule="exact"/>
        <w:rPr>
          <w:sz w:val="20"/>
          <w:szCs w:val="20"/>
          <w:color w:val="auto"/>
        </w:rPr>
      </w:pPr>
    </w:p>
    <w:p>
      <w:pPr>
        <w:ind w:left="3"/>
        <w:spacing w:after="0" w:line="256" w:lineRule="auto"/>
        <w:rPr>
          <w:sz w:val="20"/>
          <w:szCs w:val="20"/>
          <w:color w:val="auto"/>
        </w:rPr>
      </w:pPr>
      <w:r>
        <w:rPr>
          <w:rFonts w:ascii="Arial" w:cs="Arial" w:eastAsia="Arial" w:hAnsi="Arial"/>
          <w:sz w:val="16"/>
          <w:szCs w:val="16"/>
          <w:color w:val="auto"/>
        </w:rPr>
        <w:t>Kodak's general practice is to protect its investment in research and development and its freedom to use its inventions by obtaining patents. The ownership of these patents contributes to Kodak's ability to provide industry-leading products. Kodak holds portfolios of patents in several areas important to its business, including the specific technologies previously discussed, such as flexographic and lithographic printing plates and related equipment systems; digital printing workflow and color management proofing systems; color and black-and-white electrophotographic printing systems including key press components and toners; commercial inkjet writing systems and components, presses and inks; consumer inkjet inks and media; functional printing materials, formulations, and deposition modalities; security materials; embedded information; and color negative films, processing and print films. Each of these areas is important to existing and emerging business opportunities that bear directly on Kodak's overall business performance.</w:t>
      </w:r>
    </w:p>
    <w:p>
      <w:pPr>
        <w:spacing w:after="0" w:line="77" w:lineRule="exact"/>
        <w:rPr>
          <w:sz w:val="20"/>
          <w:szCs w:val="20"/>
          <w:color w:val="auto"/>
        </w:rPr>
      </w:pPr>
    </w:p>
    <w:p>
      <w:pPr>
        <w:ind w:left="3" w:right="140"/>
        <w:spacing w:after="0" w:line="266" w:lineRule="auto"/>
        <w:rPr>
          <w:sz w:val="20"/>
          <w:szCs w:val="20"/>
          <w:color w:val="auto"/>
        </w:rPr>
      </w:pPr>
      <w:r>
        <w:rPr>
          <w:rFonts w:ascii="Arial" w:cs="Arial" w:eastAsia="Arial" w:hAnsi="Arial"/>
          <w:sz w:val="16"/>
          <w:szCs w:val="16"/>
          <w:color w:val="auto"/>
        </w:rPr>
        <w:t>Kodak's major products are not dependent upon one single, material patent. Rather, the technologies that underlie Kodak's products are supported by an aggregation of patents having various remaining lives and expiration dates. There is no individual patent, or group of patents, whose expiration is expected to have a material impact on Kodak's results of operations.</w:t>
      </w:r>
    </w:p>
    <w:p>
      <w:pPr>
        <w:spacing w:after="0" w:line="65" w:lineRule="exact"/>
        <w:rPr>
          <w:sz w:val="20"/>
          <w:szCs w:val="20"/>
          <w:color w:val="auto"/>
        </w:rPr>
      </w:pPr>
    </w:p>
    <w:p>
      <w:pPr>
        <w:ind w:left="3"/>
        <w:spacing w:after="0"/>
        <w:rPr>
          <w:sz w:val="20"/>
          <w:szCs w:val="20"/>
          <w:color w:val="auto"/>
        </w:rPr>
      </w:pPr>
      <w:r>
        <w:rPr>
          <w:rFonts w:ascii="Arial" w:cs="Arial" w:eastAsia="Arial" w:hAnsi="Arial"/>
          <w:sz w:val="16"/>
          <w:szCs w:val="16"/>
          <w:color w:val="auto"/>
        </w:rPr>
        <w:t>Total research and development expenses were $53 million in 2017, $60 million in 2016 and $61 million in 2015.</w:t>
      </w:r>
    </w:p>
    <w:p>
      <w:pPr>
        <w:spacing w:after="0" w:line="203" w:lineRule="exact"/>
        <w:rPr>
          <w:sz w:val="20"/>
          <w:szCs w:val="20"/>
          <w:color w:val="auto"/>
        </w:rPr>
      </w:pPr>
    </w:p>
    <w:p>
      <w:pPr>
        <w:jc w:val="center"/>
        <w:ind w:right="-22"/>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62865</wp:posOffset>
            </wp:positionV>
            <wp:extent cx="7301865" cy="406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01865" cy="40640"/>
                    </a:xfrm>
                    <a:prstGeom prst="rect">
                      <a:avLst/>
                    </a:prstGeom>
                    <a:noFill/>
                  </pic:spPr>
                </pic:pic>
              </a:graphicData>
            </a:graphic>
          </wp:anchor>
        </w:drawing>
      </w:r>
    </w:p>
    <w:p>
      <w:pPr>
        <w:sectPr>
          <w:pgSz w:w="11900" w:h="16838" w:orient="portrait"/>
          <w:cols w:equalWidth="0" w:num="1">
            <w:col w:w="11423"/>
          </w:cols>
          <w:pgMar w:left="237" w:top="127" w:right="239" w:bottom="1440" w:gutter="0" w:footer="0" w:header="0"/>
        </w:sectPr>
      </w:pPr>
    </w:p>
    <w:bookmarkStart w:id="7" w:name="page8"/>
    <w:bookmarkEnd w:id="7"/>
    <w:p>
      <w:pPr>
        <w:spacing w:after="0"/>
        <w:rPr>
          <w:sz w:val="20"/>
          <w:szCs w:val="20"/>
          <w:color w:val="auto"/>
        </w:rPr>
      </w:pPr>
      <w:r>
        <w:rPr>
          <w:rFonts w:ascii="Arial" w:cs="Arial" w:eastAsia="Arial" w:hAnsi="Arial"/>
          <w:sz w:val="16"/>
          <w:szCs w:val="16"/>
          <w:b w:val="1"/>
          <w:bCs w:val="1"/>
          <w:color w:val="auto"/>
        </w:rPr>
        <w:t>ENVIRONMENTAL PROTECTION</w:t>
      </w:r>
    </w:p>
    <w:p>
      <w:pPr>
        <w:spacing w:after="0" w:line="110" w:lineRule="exact"/>
        <w:rPr>
          <w:sz w:val="20"/>
          <w:szCs w:val="20"/>
          <w:color w:val="auto"/>
        </w:rPr>
      </w:pPr>
    </w:p>
    <w:p>
      <w:pPr>
        <w:jc w:val="both"/>
        <w:ind w:right="320"/>
        <w:spacing w:after="0" w:line="321" w:lineRule="auto"/>
        <w:rPr>
          <w:sz w:val="20"/>
          <w:szCs w:val="20"/>
          <w:color w:val="auto"/>
        </w:rPr>
      </w:pPr>
      <w:r>
        <w:rPr>
          <w:rFonts w:ascii="Arial" w:cs="Arial" w:eastAsia="Arial" w:hAnsi="Arial"/>
          <w:sz w:val="14"/>
          <w:szCs w:val="14"/>
          <w:color w:val="auto"/>
        </w:rPr>
        <w:t>Kodak is subject to various laws and governmental regulations concerning environmental matters. The U.S. federal environmental legislation and state regulatory programs having an impact on Kodak include the Toxic Substances Control Act, the Resource Conservation and Recovery Act, the Clean Air Act, the Clean Water Act, the NY State Chemical Bulk Storage Regulations and the Comprehensive Environmental Response, Compensation and Liability Act of 1980, as amended (the “Superfund Law”).</w:t>
      </w:r>
    </w:p>
    <w:p>
      <w:pPr>
        <w:spacing w:after="0" w:line="31" w:lineRule="exact"/>
        <w:rPr>
          <w:sz w:val="20"/>
          <w:szCs w:val="20"/>
          <w:color w:val="auto"/>
        </w:rPr>
      </w:pPr>
    </w:p>
    <w:p>
      <w:pPr>
        <w:ind w:right="80"/>
        <w:spacing w:after="0" w:line="315" w:lineRule="auto"/>
        <w:rPr>
          <w:sz w:val="20"/>
          <w:szCs w:val="20"/>
          <w:color w:val="auto"/>
        </w:rPr>
      </w:pPr>
      <w:r>
        <w:rPr>
          <w:rFonts w:ascii="Arial" w:cs="Arial" w:eastAsia="Arial" w:hAnsi="Arial"/>
          <w:sz w:val="15"/>
          <w:szCs w:val="15"/>
          <w:color w:val="auto"/>
        </w:rPr>
        <w:t>It is Kodak’s policy to carry out its business activities in a manner consistent with sound health, safety and environmental management practices, and to comply with applicable health, safety and environmental laws and regulations. Kodak continues to engage in programs for environmental, health and safety protection and control.</w:t>
      </w:r>
    </w:p>
    <w:p>
      <w:pPr>
        <w:spacing w:after="0" w:line="31" w:lineRule="exact"/>
        <w:rPr>
          <w:sz w:val="20"/>
          <w:szCs w:val="20"/>
          <w:color w:val="auto"/>
        </w:rPr>
      </w:pPr>
    </w:p>
    <w:p>
      <w:pPr>
        <w:ind w:right="40"/>
        <w:spacing w:after="0" w:line="280" w:lineRule="auto"/>
        <w:rPr>
          <w:sz w:val="20"/>
          <w:szCs w:val="20"/>
          <w:color w:val="auto"/>
        </w:rPr>
      </w:pPr>
      <w:r>
        <w:rPr>
          <w:rFonts w:ascii="Arial" w:cs="Arial" w:eastAsia="Arial" w:hAnsi="Arial"/>
          <w:sz w:val="16"/>
          <w:szCs w:val="16"/>
          <w:color w:val="auto"/>
        </w:rPr>
        <w:t>Based upon information presently available, future costs associated with environmental compliance are not expected to have a material effect on Kodak's capital expenditures or competitive position, although costs could be material to a particular quarter or year.</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EMPLOYMENT</w:t>
      </w:r>
    </w:p>
    <w:p>
      <w:pPr>
        <w:spacing w:after="0" w:line="110" w:lineRule="exact"/>
        <w:rPr>
          <w:sz w:val="20"/>
          <w:szCs w:val="20"/>
          <w:color w:val="auto"/>
        </w:rPr>
      </w:pPr>
    </w:p>
    <w:p>
      <w:pPr>
        <w:ind w:right="380"/>
        <w:spacing w:after="0" w:line="280" w:lineRule="auto"/>
        <w:rPr>
          <w:sz w:val="20"/>
          <w:szCs w:val="20"/>
          <w:color w:val="auto"/>
        </w:rPr>
      </w:pPr>
      <w:r>
        <w:rPr>
          <w:rFonts w:ascii="Arial" w:cs="Arial" w:eastAsia="Arial" w:hAnsi="Arial"/>
          <w:sz w:val="16"/>
          <w:szCs w:val="16"/>
          <w:color w:val="auto"/>
        </w:rPr>
        <w:t>At the end of 2017, Kodak employed the full time equivalent of approximately 5,800 people globally, of whom approximately 2,600 were employed in the U.S. The actual number of employees may be greater because some individuals work part time.</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AVAILABLE INFORMATION</w:t>
      </w:r>
    </w:p>
    <w:p>
      <w:pPr>
        <w:spacing w:after="0" w:line="110"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auto"/>
        </w:rPr>
        <w:t>Kodak files many reports with the Securities and Exchange Commission (“SEC”) (www.sec.gov), including annual reports on Form 10-K, quarterly reports on Form 10-Q and current reports on Form 8-K. These reports, and amendments to these reports, are made available free of charge as soon as reasonably practicable after being electronically filed with or furnished to the SEC. They are available through Kodak's website at www.Kodak.com. To reach the SEC filings, follow the links to About Kodak, Investor Center, Financial Information and then SEC Filings.</w:t>
      </w:r>
    </w:p>
    <w:p>
      <w:pPr>
        <w:spacing w:after="0" w:line="163" w:lineRule="exact"/>
        <w:rPr>
          <w:sz w:val="20"/>
          <w:szCs w:val="20"/>
          <w:color w:val="auto"/>
        </w:rPr>
      </w:pPr>
    </w:p>
    <w:p>
      <w:pPr>
        <w:spacing w:after="0"/>
        <w:tabs>
          <w:tab w:leader="none" w:pos="1000" w:val="left"/>
        </w:tabs>
        <w:rPr>
          <w:sz w:val="20"/>
          <w:szCs w:val="20"/>
          <w:color w:val="auto"/>
        </w:rPr>
      </w:pPr>
      <w:r>
        <w:rPr>
          <w:rFonts w:ascii="Arial" w:cs="Arial" w:eastAsia="Arial" w:hAnsi="Arial"/>
          <w:sz w:val="16"/>
          <w:szCs w:val="16"/>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110"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Kodak operates in rapidly changing economic and technological environments which present numerous risks, many of which are driven by factors it cannot control or predict. Certain factors may have a material adverse effect on its business, financial condition, and results of operations. You should consider carefully the risks and uncertainties described below in addition to other information contained in this Annual Report on Form 10-K, including the Management’s Discussion and Analysis of Financial Condition and Results of Operations (MD&amp;A) section and the consolidated financial statements and related notes. The following discussion of “risk factors” identifies Kodak’s assessment of the most significant factors which may adversely affect its business, operations, financial position or future financial performance. Additional risks and uncertainties Kodak is unaware of, or currently believes are not material, may also become important factors which could adversely affect its business, operations, financial position or future financial performance.</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Kodak’s Business</w:t>
      </w:r>
    </w:p>
    <w:p>
      <w:pPr>
        <w:spacing w:after="0" w:line="207" w:lineRule="exact"/>
        <w:rPr>
          <w:sz w:val="20"/>
          <w:szCs w:val="20"/>
          <w:color w:val="auto"/>
        </w:rPr>
      </w:pPr>
    </w:p>
    <w:p>
      <w:pPr>
        <w:ind w:right="680"/>
        <w:spacing w:after="0" w:line="280" w:lineRule="auto"/>
        <w:rPr>
          <w:sz w:val="20"/>
          <w:szCs w:val="20"/>
          <w:color w:val="auto"/>
        </w:rPr>
      </w:pPr>
      <w:r>
        <w:rPr>
          <w:rFonts w:ascii="Arial" w:cs="Arial" w:eastAsia="Arial" w:hAnsi="Arial"/>
          <w:sz w:val="16"/>
          <w:szCs w:val="16"/>
          <w:b w:val="1"/>
          <w:bCs w:val="1"/>
          <w:i w:val="1"/>
          <w:iCs w:val="1"/>
          <w:color w:val="auto"/>
        </w:rPr>
        <w:t>If Kodak is not able to successfully implement its business plans, or experiences implementation delays in cost structure reduction, Kodak’s consolidated results of operations, financial position and liquidity could be negatively affected.</w:t>
      </w:r>
    </w:p>
    <w:p>
      <w:pPr>
        <w:spacing w:after="0" w:line="151" w:lineRule="exact"/>
        <w:rPr>
          <w:sz w:val="20"/>
          <w:szCs w:val="20"/>
          <w:color w:val="auto"/>
        </w:rPr>
      </w:pPr>
    </w:p>
    <w:p>
      <w:pPr>
        <w:spacing w:after="0" w:line="299" w:lineRule="auto"/>
        <w:rPr>
          <w:sz w:val="20"/>
          <w:szCs w:val="20"/>
          <w:color w:val="auto"/>
        </w:rPr>
      </w:pPr>
      <w:r>
        <w:rPr>
          <w:rFonts w:ascii="Arial" w:cs="Arial" w:eastAsia="Arial" w:hAnsi="Arial"/>
          <w:sz w:val="14"/>
          <w:szCs w:val="14"/>
          <w:color w:val="auto"/>
        </w:rPr>
        <w:t>Kodak’s business plans are subject to a number of assumptions, projections, and analysis. If these assumptions prove to be incorrect, Kodak may be unsuccessful in executing its business plans or achieving the projected results, which could adversely impact its financial results and liquidity. In addition, Kodak continues to rationalize its workforce and streamline operations to a leaner and more focused organization aligned with its business initiatives. There are no assurances such measures will prove to be successful or the cost savings or other results it achieves through these plans will be consistent with its expectations. As a result, its results of operations, financial position and liquidity could be negatively impacted. If restructuring plans are not effectively managed, it may experience lost customer sales, product delays, additional costs and other unanticipated effects, causing harm to its business and customer relationships. Finally, the timing and implementation of these plans require compliance with numerous laws and regulations, including local labor laws, and the failure to comply with such requirements may result in damages, fines and penalties which could adversely affect Kodak’s business.</w:t>
      </w:r>
    </w:p>
    <w:p>
      <w:pPr>
        <w:spacing w:after="0" w:line="361" w:lineRule="exact"/>
        <w:rPr>
          <w:sz w:val="20"/>
          <w:szCs w:val="20"/>
          <w:color w:val="auto"/>
        </w:rPr>
      </w:pPr>
    </w:p>
    <w:p>
      <w:pPr>
        <w:ind w:right="260"/>
        <w:spacing w:after="0" w:line="280" w:lineRule="auto"/>
        <w:rPr>
          <w:sz w:val="20"/>
          <w:szCs w:val="20"/>
          <w:color w:val="auto"/>
        </w:rPr>
      </w:pPr>
      <w:r>
        <w:rPr>
          <w:rFonts w:ascii="Arial" w:cs="Arial" w:eastAsia="Arial" w:hAnsi="Arial"/>
          <w:sz w:val="16"/>
          <w:szCs w:val="16"/>
          <w:b w:val="1"/>
          <w:bCs w:val="1"/>
          <w:i w:val="1"/>
          <w:iCs w:val="1"/>
          <w:color w:val="auto"/>
        </w:rPr>
        <w:t>If Kodak is unable to successfully develop, fund and commercialize products in certain businesses upon which it is focused, its financial performance could be adversely affected.</w:t>
      </w:r>
    </w:p>
    <w:p>
      <w:pPr>
        <w:spacing w:after="0" w:line="54" w:lineRule="exact"/>
        <w:rPr>
          <w:sz w:val="20"/>
          <w:szCs w:val="20"/>
          <w:color w:val="auto"/>
        </w:rPr>
      </w:pPr>
    </w:p>
    <w:p>
      <w:pPr>
        <w:ind w:right="60"/>
        <w:spacing w:after="0" w:line="278" w:lineRule="auto"/>
        <w:rPr>
          <w:sz w:val="20"/>
          <w:szCs w:val="20"/>
          <w:color w:val="auto"/>
        </w:rPr>
      </w:pPr>
      <w:r>
        <w:rPr>
          <w:rFonts w:ascii="Arial" w:cs="Arial" w:eastAsia="Arial" w:hAnsi="Arial"/>
          <w:sz w:val="15"/>
          <w:szCs w:val="15"/>
          <w:color w:val="auto"/>
        </w:rPr>
        <w:t>Kodak has focused its investments on imaging and printing for business, specifically, commercial inkjet, packaging, advanced materials and 3D printing, and software and services. Each of these businesses requires additional investment and may not be successful. The introduction of successful innovative products at market competitive prices and the achievement of scale are necessary for it to grow these businesses, improve margins and achieve its financial objectives. Additionally, its strategy is based on a number of factors and assumptions, some of which are not within its control, such as the actions of third parties. There can be no assurance that it will be able to successfully execute all or any elements of its strategy, or that its ability to successfully execute its strategy will be unaffected by external factors. If it is unsuccessful in growing Kodak’s investment businesses as planned, or perceiving the needs of its target customers, its financial performance could be adversely affected.</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62865</wp:posOffset>
            </wp:positionV>
            <wp:extent cx="7301865" cy="406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01865" cy="40640"/>
                    </a:xfrm>
                    <a:prstGeom prst="rect">
                      <a:avLst/>
                    </a:prstGeom>
                    <a:noFill/>
                  </pic:spPr>
                </pic:pic>
              </a:graphicData>
            </a:graphic>
          </wp:anchor>
        </w:drawing>
      </w:r>
    </w:p>
    <w:p>
      <w:pPr>
        <w:sectPr>
          <w:pgSz w:w="11900" w:h="16838" w:orient="portrait"/>
          <w:cols w:equalWidth="0" w:num="1">
            <w:col w:w="11420"/>
          </w:cols>
          <w:pgMar w:left="240" w:top="316" w:right="239" w:bottom="1440" w:gutter="0" w:footer="0" w:header="0"/>
        </w:sectPr>
      </w:pPr>
    </w:p>
    <w:bookmarkStart w:id="8" w:name="page9"/>
    <w:bookmarkEnd w:id="8"/>
    <w:p>
      <w:pPr>
        <w:spacing w:after="0"/>
        <w:rPr>
          <w:sz w:val="20"/>
          <w:szCs w:val="20"/>
          <w:color w:val="auto"/>
        </w:rPr>
      </w:pPr>
      <w:r>
        <w:rPr>
          <w:rFonts w:ascii="Arial" w:cs="Arial" w:eastAsia="Arial" w:hAnsi="Arial"/>
          <w:sz w:val="15"/>
          <w:szCs w:val="15"/>
          <w:b w:val="1"/>
          <w:bCs w:val="1"/>
          <w:i w:val="1"/>
          <w:iCs w:val="1"/>
          <w:color w:val="auto"/>
        </w:rPr>
        <w:t>Kodak’s inability to effectively complete and manage strategic transactions could adversely impact its business performance, including its financial results.</w:t>
      </w:r>
    </w:p>
    <w:p>
      <w:pPr>
        <w:spacing w:after="0" w:line="118" w:lineRule="exact"/>
        <w:rPr>
          <w:sz w:val="20"/>
          <w:szCs w:val="20"/>
          <w:color w:val="auto"/>
        </w:rPr>
      </w:pPr>
    </w:p>
    <w:p>
      <w:pPr>
        <w:spacing w:after="0" w:line="275" w:lineRule="auto"/>
        <w:rPr>
          <w:sz w:val="20"/>
          <w:szCs w:val="20"/>
          <w:color w:val="auto"/>
        </w:rPr>
      </w:pPr>
      <w:r>
        <w:rPr>
          <w:rFonts w:ascii="Arial" w:cs="Arial" w:eastAsia="Arial" w:hAnsi="Arial"/>
          <w:sz w:val="15"/>
          <w:szCs w:val="15"/>
          <w:color w:val="auto"/>
        </w:rPr>
        <w:t>As part of Kodak’s strategy, it may be engaged in discussions with third parties regarding possible divestitures, asset sales, spin-offs, investments, acquisitions, strategic alliances, joint ventures, and outsourcing transactions and may enter into agreements relating to such transactions in order to further its business objectives. In order to successfully pursue its strategic transaction strategy, it must identify suitable buyers, sellers and partners and successfully complete transactions, some of which may be large and complex, and manage post-closing issues such as the elimination of any remaining post-sale costs related to divested businesses. Transaction risk can be more pronounced for larger and more complicated transactions or when multiple transactions are pursued simultaneously. If Kodak fails to identify and successfully complete transactions that further its strategic objectives, it may be required to expend resources to develop products and technology internally, it may be at a competitive disadvantage or it may be adversely affected by negative market perceptions. Any of these factors could have an adverse effect on its revenue, gross margins and profitability. In addition, unpredictability surrounding the timing of such transactions could adversely affect its financial results.</w:t>
      </w:r>
    </w:p>
    <w:p>
      <w:pPr>
        <w:spacing w:after="0" w:line="159" w:lineRule="exact"/>
        <w:rPr>
          <w:sz w:val="20"/>
          <w:szCs w:val="20"/>
          <w:color w:val="auto"/>
        </w:rPr>
      </w:pPr>
    </w:p>
    <w:p>
      <w:pPr>
        <w:ind w:right="20"/>
        <w:spacing w:after="0" w:line="280" w:lineRule="auto"/>
        <w:rPr>
          <w:sz w:val="20"/>
          <w:szCs w:val="20"/>
          <w:color w:val="auto"/>
        </w:rPr>
      </w:pPr>
      <w:r>
        <w:rPr>
          <w:rFonts w:ascii="Arial" w:cs="Arial" w:eastAsia="Arial" w:hAnsi="Arial"/>
          <w:sz w:val="16"/>
          <w:szCs w:val="16"/>
          <w:b w:val="1"/>
          <w:bCs w:val="1"/>
          <w:i w:val="1"/>
          <w:iCs w:val="1"/>
          <w:color w:val="auto"/>
        </w:rPr>
        <w:t>Kodak may pursue acquisitions or combinations which could fail or present unanticipated problems for its business in the future, which would adversely affect its ability to realize the anticipated benefits of those transactions or increase the price it would be required to pay.</w:t>
      </w:r>
    </w:p>
    <w:p>
      <w:pPr>
        <w:spacing w:after="0" w:line="54" w:lineRule="exact"/>
        <w:rPr>
          <w:sz w:val="20"/>
          <w:szCs w:val="20"/>
          <w:color w:val="auto"/>
        </w:rPr>
      </w:pPr>
    </w:p>
    <w:p>
      <w:pPr>
        <w:ind w:right="160"/>
        <w:spacing w:after="0" w:line="266" w:lineRule="auto"/>
        <w:rPr>
          <w:sz w:val="20"/>
          <w:szCs w:val="20"/>
          <w:color w:val="auto"/>
        </w:rPr>
      </w:pPr>
      <w:r>
        <w:rPr>
          <w:rFonts w:ascii="Arial" w:cs="Arial" w:eastAsia="Arial" w:hAnsi="Arial"/>
          <w:sz w:val="16"/>
          <w:szCs w:val="16"/>
          <w:color w:val="auto"/>
        </w:rPr>
        <w:t>Kodak may seek to enter into transactions which may include acquiring or combining with other businesses. It may not be able to identify suitable acquisition or combination opportunities or finance and complete any particular acquisition or combination successfully. Furthermore, acquisitions and combinations involve a number of risks and challenges, including:</w:t>
      </w:r>
    </w:p>
    <w:p>
      <w:pPr>
        <w:spacing w:after="0" w:line="283" w:lineRule="exact"/>
        <w:rPr>
          <w:sz w:val="20"/>
          <w:szCs w:val="20"/>
          <w:color w:val="auto"/>
        </w:rPr>
      </w:pPr>
    </w:p>
    <w:p>
      <w:pPr>
        <w:ind w:left="860" w:hanging="428"/>
        <w:spacing w:after="0"/>
        <w:tabs>
          <w:tab w:leader="none" w:pos="8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ability to obtain required regulatory and other approvals;</w:t>
      </w:r>
    </w:p>
    <w:p>
      <w:pPr>
        <w:spacing w:after="0" w:line="21" w:lineRule="exact"/>
        <w:rPr>
          <w:rFonts w:ascii="Arial" w:cs="Arial" w:eastAsia="Arial" w:hAnsi="Arial"/>
          <w:sz w:val="16"/>
          <w:szCs w:val="16"/>
          <w:color w:val="auto"/>
        </w:rPr>
      </w:pPr>
    </w:p>
    <w:p>
      <w:pPr>
        <w:ind w:left="860" w:hanging="428"/>
        <w:spacing w:after="0"/>
        <w:tabs>
          <w:tab w:leader="none" w:pos="8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need to integrate acquired or combined operations with its business;</w:t>
      </w:r>
    </w:p>
    <w:p>
      <w:pPr>
        <w:spacing w:after="0" w:line="9" w:lineRule="exact"/>
        <w:rPr>
          <w:rFonts w:ascii="Arial" w:cs="Arial" w:eastAsia="Arial" w:hAnsi="Arial"/>
          <w:sz w:val="16"/>
          <w:szCs w:val="16"/>
          <w:color w:val="auto"/>
        </w:rPr>
      </w:pPr>
    </w:p>
    <w:p>
      <w:pPr>
        <w:ind w:left="860" w:hanging="428"/>
        <w:spacing w:after="0"/>
        <w:tabs>
          <w:tab w:leader="none" w:pos="8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potential loss of key employees;</w:t>
      </w:r>
    </w:p>
    <w:p>
      <w:pPr>
        <w:spacing w:after="0" w:line="9" w:lineRule="exact"/>
        <w:rPr>
          <w:rFonts w:ascii="Arial" w:cs="Arial" w:eastAsia="Arial" w:hAnsi="Arial"/>
          <w:sz w:val="16"/>
          <w:szCs w:val="16"/>
          <w:color w:val="auto"/>
        </w:rPr>
      </w:pPr>
    </w:p>
    <w:p>
      <w:pPr>
        <w:ind w:left="860" w:right="2240" w:hanging="428"/>
        <w:spacing w:after="0" w:line="252" w:lineRule="auto"/>
        <w:tabs>
          <w:tab w:leader="none" w:pos="8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difficulty in evaluating operating costs, infrastructure requirements, environmental and other liabilities and other factors beyond its control;</w:t>
      </w:r>
    </w:p>
    <w:p>
      <w:pPr>
        <w:ind w:left="860" w:hanging="428"/>
        <w:spacing w:after="0"/>
        <w:tabs>
          <w:tab w:leader="none" w:pos="8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potential lack of operating experience in new business or geographic areas;</w:t>
      </w:r>
    </w:p>
    <w:p>
      <w:pPr>
        <w:spacing w:after="0" w:line="9" w:lineRule="exact"/>
        <w:rPr>
          <w:rFonts w:ascii="Arial" w:cs="Arial" w:eastAsia="Arial" w:hAnsi="Arial"/>
          <w:sz w:val="16"/>
          <w:szCs w:val="16"/>
          <w:color w:val="auto"/>
        </w:rPr>
      </w:pPr>
    </w:p>
    <w:p>
      <w:pPr>
        <w:ind w:left="860" w:hanging="428"/>
        <w:spacing w:after="0"/>
        <w:tabs>
          <w:tab w:leader="none" w:pos="8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an increase in its expenses and working capital requirements;</w:t>
      </w:r>
    </w:p>
    <w:p>
      <w:pPr>
        <w:spacing w:after="0" w:line="9" w:lineRule="exact"/>
        <w:rPr>
          <w:rFonts w:ascii="Arial" w:cs="Arial" w:eastAsia="Arial" w:hAnsi="Arial"/>
          <w:sz w:val="16"/>
          <w:szCs w:val="16"/>
          <w:color w:val="auto"/>
        </w:rPr>
      </w:pPr>
    </w:p>
    <w:p>
      <w:pPr>
        <w:ind w:left="860" w:hanging="428"/>
        <w:spacing w:after="0"/>
        <w:tabs>
          <w:tab w:leader="none" w:pos="8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management’s attention may be temporarily diverted; and</w:t>
      </w:r>
    </w:p>
    <w:p>
      <w:pPr>
        <w:spacing w:after="0" w:line="9" w:lineRule="exact"/>
        <w:rPr>
          <w:rFonts w:ascii="Arial" w:cs="Arial" w:eastAsia="Arial" w:hAnsi="Arial"/>
          <w:sz w:val="16"/>
          <w:szCs w:val="16"/>
          <w:color w:val="auto"/>
        </w:rPr>
      </w:pPr>
    </w:p>
    <w:p>
      <w:pPr>
        <w:ind w:left="860" w:right="2180" w:hanging="428"/>
        <w:spacing w:after="0" w:line="264" w:lineRule="auto"/>
        <w:tabs>
          <w:tab w:leader="none" w:pos="8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possibility it may be required to issue a substantial amount of additional equity or debt securities or assume additional debt in connection with any such transactions.</w:t>
      </w:r>
    </w:p>
    <w:p>
      <w:pPr>
        <w:spacing w:after="0" w:line="67"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Any of these factors could adversely affect its ability to achieve anticipated levels of cash flows or realize synergies or other anticipated benefits from a strategic transaction. Furthermore, the market for transactions is highly competitive, which may adversely affect its ability to find transactions which fit its strategic objectives or increase the price it would be required to pay (which could decrease the benefit of the transaction or hinder its desire or ability to consummate the transaction). Strategic transactions may occur at any time and may be significant in size relative to its assets and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ability to generate positive operating cash flows will be necessary for Kodak to continue to operate its business.</w:t>
      </w:r>
    </w:p>
    <w:p>
      <w:pPr>
        <w:spacing w:after="0" w:line="203" w:lineRule="exact"/>
        <w:rPr>
          <w:sz w:val="20"/>
          <w:szCs w:val="20"/>
          <w:color w:val="auto"/>
        </w:rPr>
      </w:pPr>
    </w:p>
    <w:p>
      <w:pPr>
        <w:ind w:right="120"/>
        <w:spacing w:after="0" w:line="261" w:lineRule="auto"/>
        <w:rPr>
          <w:sz w:val="20"/>
          <w:szCs w:val="20"/>
          <w:color w:val="auto"/>
        </w:rPr>
      </w:pPr>
      <w:r>
        <w:rPr>
          <w:rFonts w:ascii="Arial" w:cs="Arial" w:eastAsia="Arial" w:hAnsi="Arial"/>
          <w:sz w:val="16"/>
          <w:szCs w:val="16"/>
          <w:color w:val="auto"/>
        </w:rPr>
        <w:t>Kodak has not generated positive operating cash flows over the past four years. The Print Systems segment is its largest segment and has had declining revenues and segment earnings which are expected to continue to decline. Kodak’s stable and growth businesses may not grow or continue to generate the same or enough cash flow to offset businesses with declining cash flows. Kodak may be unable to generate positive cash flow from operations in the future, which would have a material adverse effect on its liquidity and financial position.</w:t>
      </w:r>
    </w:p>
    <w:p>
      <w:pPr>
        <w:spacing w:after="0" w:line="167" w:lineRule="exact"/>
        <w:rPr>
          <w:sz w:val="20"/>
          <w:szCs w:val="20"/>
          <w:color w:val="auto"/>
        </w:rPr>
      </w:pPr>
    </w:p>
    <w:p>
      <w:pPr>
        <w:ind w:right="220"/>
        <w:spacing w:after="0" w:line="315" w:lineRule="auto"/>
        <w:rPr>
          <w:sz w:val="20"/>
          <w:szCs w:val="20"/>
          <w:color w:val="auto"/>
        </w:rPr>
      </w:pPr>
      <w:r>
        <w:rPr>
          <w:rFonts w:ascii="Arial" w:cs="Arial" w:eastAsia="Arial" w:hAnsi="Arial"/>
          <w:sz w:val="15"/>
          <w:szCs w:val="15"/>
          <w:b w:val="1"/>
          <w:bCs w:val="1"/>
          <w:i w:val="1"/>
          <w:iCs w:val="1"/>
          <w:color w:val="auto"/>
        </w:rPr>
        <w:t>Continued investment, capital needs, restructuring payments, dividends and servicing the Company’s debt require a significant amount of cash and it may not be able to generate sufficient cash to fund these activities, which could adversely affect its business, operating results and financial condition.</w:t>
      </w:r>
    </w:p>
    <w:p>
      <w:pPr>
        <w:spacing w:after="0" w:line="31" w:lineRule="exact"/>
        <w:rPr>
          <w:sz w:val="20"/>
          <w:szCs w:val="20"/>
          <w:color w:val="auto"/>
        </w:rPr>
      </w:pPr>
    </w:p>
    <w:p>
      <w:pPr>
        <w:ind w:right="320"/>
        <w:spacing w:after="0" w:line="266" w:lineRule="auto"/>
        <w:rPr>
          <w:sz w:val="20"/>
          <w:szCs w:val="20"/>
          <w:color w:val="auto"/>
        </w:rPr>
      </w:pPr>
      <w:r>
        <w:rPr>
          <w:rFonts w:ascii="Arial" w:cs="Arial" w:eastAsia="Arial" w:hAnsi="Arial"/>
          <w:sz w:val="16"/>
          <w:szCs w:val="16"/>
          <w:color w:val="auto"/>
        </w:rPr>
        <w:t>Kodak’s business may not generate cash flow in an amount sufficient to enable it to pay the principal or mandatory redemption price of, or interest and dividends on its indebtedness and Series A Preferred Stock, or to fund Kodak’s other liquidity needs, including working capital, capital expenditures, product development efforts, strategic acquisitions, investments and alliances, restructuring actions and other general corporate requirements.</w:t>
      </w:r>
    </w:p>
    <w:p>
      <w:pPr>
        <w:spacing w:after="0" w:line="65" w:lineRule="exact"/>
        <w:rPr>
          <w:sz w:val="20"/>
          <w:szCs w:val="20"/>
          <w:color w:val="auto"/>
        </w:rPr>
      </w:pPr>
    </w:p>
    <w:p>
      <w:pPr>
        <w:spacing w:after="0"/>
        <w:rPr>
          <w:sz w:val="20"/>
          <w:szCs w:val="20"/>
          <w:color w:val="auto"/>
        </w:rPr>
      </w:pPr>
      <w:r>
        <w:rPr>
          <w:rFonts w:ascii="Arial" w:cs="Arial" w:eastAsia="Arial" w:hAnsi="Arial"/>
          <w:sz w:val="15"/>
          <w:szCs w:val="15"/>
          <w:color w:val="auto"/>
        </w:rPr>
        <w:t>Kodak’s ability to generate cash is subject to general economic, financial, competitive, litigation, regulatory and other factors beyond its control. There are no assurances:</w:t>
      </w:r>
    </w:p>
    <w:p>
      <w:pPr>
        <w:spacing w:after="0" w:line="238" w:lineRule="exact"/>
        <w:rPr>
          <w:sz w:val="20"/>
          <w:szCs w:val="20"/>
          <w:color w:val="auto"/>
        </w:rPr>
      </w:pPr>
    </w:p>
    <w:p>
      <w:pPr>
        <w:ind w:left="840" w:hanging="420"/>
        <w:spacing w:after="0"/>
        <w:tabs>
          <w:tab w:leader="none" w:pos="8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Kodak’s businesses will generate sufficient cash flow from operations;</w:t>
      </w:r>
    </w:p>
    <w:p>
      <w:pPr>
        <w:spacing w:after="0" w:line="21" w:lineRule="exact"/>
        <w:rPr>
          <w:rFonts w:ascii="Arial" w:cs="Arial" w:eastAsia="Arial" w:hAnsi="Arial"/>
          <w:sz w:val="16"/>
          <w:szCs w:val="16"/>
          <w:color w:val="auto"/>
        </w:rPr>
      </w:pPr>
    </w:p>
    <w:p>
      <w:pPr>
        <w:ind w:left="840" w:hanging="420"/>
        <w:spacing w:after="0"/>
        <w:tabs>
          <w:tab w:leader="none" w:pos="8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Kodak will be able to generate expected levels of operational EBITDA;</w:t>
      </w:r>
    </w:p>
    <w:p>
      <w:pPr>
        <w:spacing w:after="0" w:line="9" w:lineRule="exact"/>
        <w:rPr>
          <w:rFonts w:ascii="Arial" w:cs="Arial" w:eastAsia="Arial" w:hAnsi="Arial"/>
          <w:sz w:val="16"/>
          <w:szCs w:val="16"/>
          <w:color w:val="auto"/>
        </w:rPr>
      </w:pPr>
    </w:p>
    <w:p>
      <w:pPr>
        <w:ind w:left="840" w:hanging="420"/>
        <w:spacing w:after="0"/>
        <w:tabs>
          <w:tab w:leader="none" w:pos="8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Kodak will be able to repatriate or move cash to locations where and when it is needed;</w:t>
      </w:r>
    </w:p>
    <w:p>
      <w:pPr>
        <w:spacing w:after="0" w:line="9" w:lineRule="exact"/>
        <w:rPr>
          <w:rFonts w:ascii="Arial" w:cs="Arial" w:eastAsia="Arial" w:hAnsi="Arial"/>
          <w:sz w:val="16"/>
          <w:szCs w:val="16"/>
          <w:color w:val="auto"/>
        </w:rPr>
      </w:pPr>
    </w:p>
    <w:p>
      <w:pPr>
        <w:ind w:left="840" w:right="2400" w:hanging="420"/>
        <w:spacing w:after="0" w:line="252" w:lineRule="auto"/>
        <w:tabs>
          <w:tab w:leader="none" w:pos="8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Company will meet all the conditions associated with making borrowings or issuing letters of credit under the ABL Credit Agreement;</w:t>
      </w:r>
    </w:p>
    <w:p>
      <w:pPr>
        <w:ind w:left="840" w:right="2420" w:hanging="420"/>
        <w:spacing w:after="0" w:line="252" w:lineRule="auto"/>
        <w:tabs>
          <w:tab w:leader="none" w:pos="8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Kodak will realize cost savings, earnings growth and operating improvements resulting from the execution of its business and restructuring plan;</w:t>
      </w:r>
    </w:p>
    <w:p>
      <w:pPr>
        <w:ind w:left="840" w:hanging="420"/>
        <w:spacing w:after="0"/>
        <w:tabs>
          <w:tab w:leader="none" w:pos="8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Kodak will not have to expend cash defending lawsuits regardless of the merits of any claims raised; or</w:t>
      </w:r>
    </w:p>
    <w:p>
      <w:pPr>
        <w:spacing w:after="0" w:line="191"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62865</wp:posOffset>
            </wp:positionV>
            <wp:extent cx="7301865" cy="406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01865" cy="40640"/>
                    </a:xfrm>
                    <a:prstGeom prst="rect">
                      <a:avLst/>
                    </a:prstGeom>
                    <a:noFill/>
                  </pic:spPr>
                </pic:pic>
              </a:graphicData>
            </a:graphic>
          </wp:anchor>
        </w:drawing>
      </w:r>
    </w:p>
    <w:p>
      <w:pPr>
        <w:sectPr>
          <w:pgSz w:w="11900" w:h="16838" w:orient="portrait"/>
          <w:cols w:equalWidth="0" w:num="1">
            <w:col w:w="11360"/>
          </w:cols>
          <w:pgMar w:left="240" w:top="320" w:right="299" w:bottom="1440" w:gutter="0" w:footer="0" w:header="0"/>
        </w:sectPr>
      </w:pPr>
    </w:p>
    <w:bookmarkStart w:id="9" w:name="page10"/>
    <w:bookmarkEnd w:id="9"/>
    <w:p>
      <w:pPr>
        <w:ind w:left="840" w:hanging="420"/>
        <w:spacing w:after="0"/>
        <w:tabs>
          <w:tab w:leader="none" w:pos="8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Future sources of funding will be available in amounts sufficient to enable funding of its liquidity needs.</w:t>
      </w:r>
    </w:p>
    <w:p>
      <w:pPr>
        <w:spacing w:after="0" w:line="154" w:lineRule="exact"/>
        <w:rPr>
          <w:sz w:val="20"/>
          <w:szCs w:val="20"/>
          <w:color w:val="auto"/>
        </w:rPr>
      </w:pPr>
    </w:p>
    <w:p>
      <w:pPr>
        <w:ind w:right="100"/>
        <w:spacing w:after="0" w:line="278" w:lineRule="auto"/>
        <w:rPr>
          <w:sz w:val="20"/>
          <w:szCs w:val="20"/>
          <w:color w:val="auto"/>
        </w:rPr>
      </w:pPr>
      <w:r>
        <w:rPr>
          <w:rFonts w:ascii="Arial" w:cs="Arial" w:eastAsia="Arial" w:hAnsi="Arial"/>
          <w:sz w:val="15"/>
          <w:szCs w:val="15"/>
          <w:color w:val="auto"/>
        </w:rPr>
        <w:t>If Kodak cannot fund its liquidity needs, it will have to take actions, such as reducing or delaying capital expenditures, product development efforts, strategic acquisitions, and investments and alliances; selling additional assets; restructuring or refinancing the Company’s debt; or seeking additional equity capital. Such actions could increase the Company’s debt, negatively impact customer confidence in its ability to provide products and services, reduce its ability to raise additional capital and delay sustained profitability. There are no assurances any of these actions could, if necessary, be taken on commercially reasonable terms, or at all, or they would satisfy Kodak’s liquidity needs. In addition, if it were to incur additional debt, the risks associated with the Company’s substantial leverage, including the risk it will be unable to service its debt, generate cash flow sufficient to fund its liquidity needs, or maintain compliance with the covenants in the Credit Agreements, could significantly increase.</w:t>
      </w:r>
    </w:p>
    <w:p>
      <w:pPr>
        <w:spacing w:after="0" w:line="155" w:lineRule="exact"/>
        <w:rPr>
          <w:sz w:val="20"/>
          <w:szCs w:val="20"/>
          <w:color w:val="auto"/>
        </w:rPr>
      </w:pPr>
    </w:p>
    <w:p>
      <w:pPr>
        <w:ind w:right="80"/>
        <w:spacing w:after="0" w:line="280" w:lineRule="auto"/>
        <w:rPr>
          <w:sz w:val="20"/>
          <w:szCs w:val="20"/>
          <w:color w:val="auto"/>
        </w:rPr>
      </w:pPr>
      <w:r>
        <w:rPr>
          <w:rFonts w:ascii="Arial" w:cs="Arial" w:eastAsia="Arial" w:hAnsi="Arial"/>
          <w:sz w:val="16"/>
          <w:szCs w:val="16"/>
          <w:b w:val="1"/>
          <w:bCs w:val="1"/>
          <w:i w:val="1"/>
          <w:iCs w:val="1"/>
          <w:color w:val="auto"/>
        </w:rPr>
        <w:t>Due to the nature of the products it sells and Kodak’s worldwide distribution, it is subject to changes in currency exchange rates, interest rates and commodity costs which may adversely impact its results of operations and financial position.</w:t>
      </w:r>
    </w:p>
    <w:p>
      <w:pPr>
        <w:spacing w:after="0" w:line="54"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As a result of Kodak’s global operating and financing activities, it is exposed to changes in currency exchange rates and interest rates, which may adversely affect its results of operations and financial position. Exchange rates and interest rates in markets in which it does business tend to be volatile and, at times, its sales and profitability can be negatively impacted across all its segments depending upon the value of the U.S. dollar and other major currencies such as the euro, the Japanese yen, the British pound and the Chinese yuan. In addition, Kodak’s products contain aluminum, silver, petroleum based or other commodity based raw materials, the prices of which have been, and may continue to be, volatile. If the global economic situation remains uncertain or worsens, there could be further volatility in changes in currency exchange rates, interest rates and commodity prices, which could have negative effects on its revenue and earnings.</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Weakness or worsening of global economic conditions could adversely affect Kodak’s financial performance and liquidity.</w:t>
      </w:r>
    </w:p>
    <w:p>
      <w:pPr>
        <w:spacing w:after="0" w:line="106" w:lineRule="exact"/>
        <w:rPr>
          <w:sz w:val="20"/>
          <w:szCs w:val="20"/>
          <w:color w:val="auto"/>
        </w:rPr>
      </w:pPr>
    </w:p>
    <w:p>
      <w:pPr>
        <w:spacing w:after="0" w:line="276" w:lineRule="auto"/>
        <w:rPr>
          <w:sz w:val="20"/>
          <w:szCs w:val="20"/>
          <w:color w:val="auto"/>
        </w:rPr>
      </w:pPr>
      <w:r>
        <w:rPr>
          <w:rFonts w:ascii="Arial" w:cs="Arial" w:eastAsia="Arial" w:hAnsi="Arial"/>
          <w:sz w:val="15"/>
          <w:szCs w:val="15"/>
          <w:color w:val="auto"/>
        </w:rPr>
        <w:t>The global economic environment may adversely affect sales of Kodak’s products, profitability and liquidity. Global financial markets have been experiencing volatility. Economic conditions could accelerate any decline in demand for products, which could also place pressure on its results of operations and liquidity. There is no guarantee that anticipated economic growth levels in markets which have experienced some economic strength will continue in the future, or Kodak will succeed in expanding sales in these markets. In addition, accounts receivable and past due accounts could increase due to a decline in its customers’ ability to pay as a result of an economic downturn, and its liquidity, including its ability to use credit lines, could be negatively impacted by failures of financial instrument counterparties, including banks and other financial institutions. If global economic weakness and tightness in the credit markets exist, worsen or are attenuated, Kodak’s profitability and related cash generation capability could be adversely affected and, therefore, affect its ability to meet its anticipated cash needs, impair its liquidity or increase its costs of borrowing.</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Kodak is unable to successfully develop or commercialize new products, its business, financial position and operating results may suffer.</w:t>
      </w:r>
    </w:p>
    <w:p>
      <w:pPr>
        <w:spacing w:after="0" w:line="106" w:lineRule="exact"/>
        <w:rPr>
          <w:sz w:val="20"/>
          <w:szCs w:val="20"/>
          <w:color w:val="auto"/>
        </w:rPr>
      </w:pPr>
    </w:p>
    <w:p>
      <w:pPr>
        <w:spacing w:after="0" w:line="284" w:lineRule="auto"/>
        <w:rPr>
          <w:sz w:val="20"/>
          <w:szCs w:val="20"/>
          <w:color w:val="auto"/>
        </w:rPr>
      </w:pPr>
      <w:r>
        <w:rPr>
          <w:rFonts w:ascii="Arial" w:cs="Arial" w:eastAsia="Arial" w:hAnsi="Arial"/>
          <w:sz w:val="15"/>
          <w:szCs w:val="15"/>
          <w:color w:val="auto"/>
        </w:rPr>
        <w:t>Kodak generally sells its products in industries which are characterized by rapid technological changes, frequent new product and service introductions and changing industry standards. Without the timely introduction of new products, services and enhancements, its products and services will become technologically obsolete over time, in which case its revenue and operating results would suffer. Therefore, its future results of operations will depend to a significant extent upon its ability to successfully commercialize new products in a timely manner. The success of its new products and services will depend on several factors, including its ability to:</w:t>
      </w:r>
    </w:p>
    <w:p>
      <w:pPr>
        <w:spacing w:after="0" w:line="271" w:lineRule="exact"/>
        <w:rPr>
          <w:sz w:val="20"/>
          <w:szCs w:val="20"/>
          <w:color w:val="auto"/>
        </w:rPr>
      </w:pPr>
    </w:p>
    <w:p>
      <w:pPr>
        <w:ind w:left="860" w:hanging="428"/>
        <w:spacing w:after="0"/>
        <w:tabs>
          <w:tab w:leader="none" w:pos="8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identify customer needs;</w:t>
      </w:r>
    </w:p>
    <w:p>
      <w:pPr>
        <w:spacing w:after="0" w:line="21" w:lineRule="exact"/>
        <w:rPr>
          <w:rFonts w:ascii="Arial" w:cs="Arial" w:eastAsia="Arial" w:hAnsi="Arial"/>
          <w:sz w:val="16"/>
          <w:szCs w:val="16"/>
          <w:color w:val="auto"/>
        </w:rPr>
      </w:pPr>
    </w:p>
    <w:p>
      <w:pPr>
        <w:ind w:left="860" w:hanging="428"/>
        <w:spacing w:after="0"/>
        <w:tabs>
          <w:tab w:leader="none" w:pos="8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innovate and develop new technologies, services, and applications;</w:t>
      </w:r>
    </w:p>
    <w:p>
      <w:pPr>
        <w:spacing w:after="0" w:line="9" w:lineRule="exact"/>
        <w:rPr>
          <w:rFonts w:ascii="Arial" w:cs="Arial" w:eastAsia="Arial" w:hAnsi="Arial"/>
          <w:sz w:val="16"/>
          <w:szCs w:val="16"/>
          <w:color w:val="auto"/>
        </w:rPr>
      </w:pPr>
    </w:p>
    <w:p>
      <w:pPr>
        <w:ind w:left="860" w:hanging="428"/>
        <w:spacing w:after="0"/>
        <w:tabs>
          <w:tab w:leader="none" w:pos="8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commercialize new technologies in a timely manner;</w:t>
      </w:r>
    </w:p>
    <w:p>
      <w:pPr>
        <w:spacing w:after="0" w:line="9" w:lineRule="exact"/>
        <w:rPr>
          <w:rFonts w:ascii="Arial" w:cs="Arial" w:eastAsia="Arial" w:hAnsi="Arial"/>
          <w:sz w:val="16"/>
          <w:szCs w:val="16"/>
          <w:color w:val="auto"/>
        </w:rPr>
      </w:pPr>
    </w:p>
    <w:p>
      <w:pPr>
        <w:ind w:left="860" w:hanging="428"/>
        <w:spacing w:after="0"/>
        <w:tabs>
          <w:tab w:leader="none" w:pos="8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manufacture and deliver its products in sufficient volumes and on time;</w:t>
      </w:r>
    </w:p>
    <w:p>
      <w:pPr>
        <w:spacing w:after="0" w:line="9" w:lineRule="exact"/>
        <w:rPr>
          <w:rFonts w:ascii="Arial" w:cs="Arial" w:eastAsia="Arial" w:hAnsi="Arial"/>
          <w:sz w:val="16"/>
          <w:szCs w:val="16"/>
          <w:color w:val="auto"/>
        </w:rPr>
      </w:pPr>
    </w:p>
    <w:p>
      <w:pPr>
        <w:ind w:left="860" w:hanging="428"/>
        <w:spacing w:after="0"/>
        <w:tabs>
          <w:tab w:leader="none" w:pos="8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differentiate its offerings from its competitors’ offerings;</w:t>
      </w:r>
    </w:p>
    <w:p>
      <w:pPr>
        <w:spacing w:after="0" w:line="9" w:lineRule="exact"/>
        <w:rPr>
          <w:rFonts w:ascii="Arial" w:cs="Arial" w:eastAsia="Arial" w:hAnsi="Arial"/>
          <w:sz w:val="16"/>
          <w:szCs w:val="16"/>
          <w:color w:val="auto"/>
        </w:rPr>
      </w:pPr>
    </w:p>
    <w:p>
      <w:pPr>
        <w:ind w:left="860" w:hanging="428"/>
        <w:spacing w:after="0"/>
        <w:tabs>
          <w:tab w:leader="none" w:pos="8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price its products and services competitively;</w:t>
      </w:r>
    </w:p>
    <w:p>
      <w:pPr>
        <w:spacing w:after="0" w:line="9" w:lineRule="exact"/>
        <w:rPr>
          <w:rFonts w:ascii="Arial" w:cs="Arial" w:eastAsia="Arial" w:hAnsi="Arial"/>
          <w:sz w:val="16"/>
          <w:szCs w:val="16"/>
          <w:color w:val="auto"/>
        </w:rPr>
      </w:pPr>
    </w:p>
    <w:p>
      <w:pPr>
        <w:ind w:left="860" w:hanging="428"/>
        <w:spacing w:after="0"/>
        <w:tabs>
          <w:tab w:leader="none" w:pos="8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anticipate its competitors’ development of new products, services or technological innovations;</w:t>
      </w:r>
    </w:p>
    <w:p>
      <w:pPr>
        <w:spacing w:after="0" w:line="9" w:lineRule="exact"/>
        <w:rPr>
          <w:rFonts w:ascii="Arial" w:cs="Arial" w:eastAsia="Arial" w:hAnsi="Arial"/>
          <w:sz w:val="16"/>
          <w:szCs w:val="16"/>
          <w:color w:val="auto"/>
        </w:rPr>
      </w:pPr>
    </w:p>
    <w:p>
      <w:pPr>
        <w:ind w:left="860" w:hanging="428"/>
        <w:spacing w:after="0"/>
        <w:tabs>
          <w:tab w:leader="none" w:pos="8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work successfully alongside its partners; and</w:t>
      </w:r>
    </w:p>
    <w:p>
      <w:pPr>
        <w:spacing w:after="0" w:line="9" w:lineRule="exact"/>
        <w:rPr>
          <w:rFonts w:ascii="Arial" w:cs="Arial" w:eastAsia="Arial" w:hAnsi="Arial"/>
          <w:sz w:val="16"/>
          <w:szCs w:val="16"/>
          <w:color w:val="auto"/>
        </w:rPr>
      </w:pPr>
    </w:p>
    <w:p>
      <w:pPr>
        <w:ind w:left="860" w:hanging="428"/>
        <w:spacing w:after="0"/>
        <w:tabs>
          <w:tab w:leader="none" w:pos="8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control product quality in its manufacturing processes.</w:t>
      </w:r>
    </w:p>
    <w:p>
      <w:pPr>
        <w:spacing w:after="0" w:line="191"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62865</wp:posOffset>
            </wp:positionV>
            <wp:extent cx="7301865" cy="406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01865" cy="40640"/>
                    </a:xfrm>
                    <a:prstGeom prst="rect">
                      <a:avLst/>
                    </a:prstGeom>
                    <a:noFill/>
                  </pic:spPr>
                </pic:pic>
              </a:graphicData>
            </a:graphic>
          </wp:anchor>
        </w:drawing>
      </w:r>
    </w:p>
    <w:p>
      <w:pPr>
        <w:sectPr>
          <w:pgSz w:w="11900" w:h="16838" w:orient="portrait"/>
          <w:cols w:equalWidth="0" w:num="1">
            <w:col w:w="11340"/>
          </w:cols>
          <w:pgMar w:left="240" w:top="127" w:right="319" w:bottom="1440" w:gutter="0" w:footer="0" w:header="0"/>
        </w:sectPr>
      </w:pPr>
    </w:p>
    <w:bookmarkStart w:id="10" w:name="page11"/>
    <w:bookmarkEnd w:id="10"/>
    <w:p>
      <w:pPr>
        <w:ind w:right="100"/>
        <w:spacing w:after="0" w:line="261" w:lineRule="auto"/>
        <w:rPr>
          <w:sz w:val="20"/>
          <w:szCs w:val="20"/>
          <w:color w:val="auto"/>
        </w:rPr>
      </w:pPr>
      <w:r>
        <w:rPr>
          <w:rFonts w:ascii="Arial" w:cs="Arial" w:eastAsia="Arial" w:hAnsi="Arial"/>
          <w:sz w:val="16"/>
          <w:szCs w:val="16"/>
          <w:color w:val="auto"/>
        </w:rPr>
        <w:t>As a result of these and other factors, products currently in development by Kodak (for example, UltraStream technology, small particle technology and Ultra NX) may or may not be successfully commercialized in a timely manner, or at all. If any of its key products cannot be successfully or timely commercialized, its operating results could be adversely affected. Moreover, it cannot guarantee any investment made in developing products will be recouped, even if it is successful in commercializing those products, which could have a material adverse effect on its business, financial position and operating results.</w:t>
      </w:r>
    </w:p>
    <w:p>
      <w:pPr>
        <w:spacing w:after="0" w:line="167" w:lineRule="exact"/>
        <w:rPr>
          <w:sz w:val="20"/>
          <w:szCs w:val="20"/>
          <w:color w:val="auto"/>
        </w:rPr>
      </w:pPr>
    </w:p>
    <w:p>
      <w:pPr>
        <w:ind w:right="360"/>
        <w:spacing w:after="0" w:line="280" w:lineRule="auto"/>
        <w:rPr>
          <w:sz w:val="20"/>
          <w:szCs w:val="20"/>
          <w:color w:val="auto"/>
        </w:rPr>
      </w:pPr>
      <w:r>
        <w:rPr>
          <w:rFonts w:ascii="Arial" w:cs="Arial" w:eastAsia="Arial" w:hAnsi="Arial"/>
          <w:sz w:val="16"/>
          <w:szCs w:val="16"/>
          <w:b w:val="1"/>
          <w:bCs w:val="1"/>
          <w:i w:val="1"/>
          <w:iCs w:val="1"/>
          <w:color w:val="auto"/>
        </w:rPr>
        <w:t>If Kodak’s commercialization and manufacturing processes fail to prevent issues with product reliability, yield and quality, its product launch plans may be delayed, its financial results may be adversely impacted, and its reputation may be harmed.</w:t>
      </w:r>
    </w:p>
    <w:p>
      <w:pPr>
        <w:spacing w:after="0" w:line="54" w:lineRule="exact"/>
        <w:rPr>
          <w:sz w:val="20"/>
          <w:szCs w:val="20"/>
          <w:color w:val="auto"/>
        </w:rPr>
      </w:pPr>
    </w:p>
    <w:p>
      <w:pPr>
        <w:spacing w:after="0" w:line="275" w:lineRule="auto"/>
        <w:rPr>
          <w:sz w:val="20"/>
          <w:szCs w:val="20"/>
          <w:color w:val="auto"/>
        </w:rPr>
      </w:pPr>
      <w:r>
        <w:rPr>
          <w:rFonts w:ascii="Arial" w:cs="Arial" w:eastAsia="Arial" w:hAnsi="Arial"/>
          <w:sz w:val="15"/>
          <w:szCs w:val="15"/>
          <w:color w:val="auto"/>
        </w:rPr>
        <w:t>In developing, commercializing and manufacturing Kodak’s products and services it must adequately address reliability and prevent yield and other quality issues, including defects in its engineering, design and manufacturing processes, as well as defects in third-party components included in its products. Because Kodak’s products are sophisticated and complicated to develop and commercialize with rapid advances in technologies, the occurrence of defects may increase, particularly with the introduction of new product lines. Unanticipated issues with product performance may delay product launch plans which could result in additional expenses, lost revenue and earnings. Although it has established internal procedures to minimize risks which may arise from product quality issues, there can be no assurance it will be able to eliminate or mitigate occurrences of these issues and associated liabilities. Product reliability, yield and quality issues can impair its relationships with new or existing customers and adversely affect its brand image; product quality issues can result in recalls, warranty, or other service obligations and litigation, and its reputation as a producer of high quality products could suffer, which could adversely affect its business as well as its financial results.</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the reputation of Kodak or its brand erodes significantly, it could have a material impact on its financial results.</w:t>
      </w:r>
    </w:p>
    <w:p>
      <w:pPr>
        <w:spacing w:after="0" w:line="203" w:lineRule="exact"/>
        <w:rPr>
          <w:sz w:val="20"/>
          <w:szCs w:val="20"/>
          <w:color w:val="auto"/>
        </w:rPr>
      </w:pPr>
    </w:p>
    <w:p>
      <w:pPr>
        <w:spacing w:after="0" w:line="274" w:lineRule="auto"/>
        <w:rPr>
          <w:sz w:val="20"/>
          <w:szCs w:val="20"/>
          <w:color w:val="auto"/>
        </w:rPr>
      </w:pPr>
      <w:r>
        <w:rPr>
          <w:rFonts w:ascii="Arial" w:cs="Arial" w:eastAsia="Arial" w:hAnsi="Arial"/>
          <w:sz w:val="15"/>
          <w:szCs w:val="15"/>
          <w:color w:val="auto"/>
        </w:rPr>
        <w:t>Kodak’s reputation, and the reputation of its brand, form the foundation of its relationships with key stakeholders and other constituencies, including customers, suppliers and consumers. The quality and safety of Kodak’s products are critical to its business. Kodak’s products have worldwide recognition, and its financial success is directly dependent on the success of its product offering. One aspect of Kodak’s business is licensing others to use Kodak’s brand in connection with the sale of such licensees’ products and services, and activities by such licensees may be perceived by the market as being activities of Kodak. The success of Kodak’s brand can suffer if its or its licensees’ marketing plans, product initiatives or activities do not have the desired impact on the brand’s image or ability to attract customers. Kodak’s results could also be negatively impacted if its brand suffers substantial harm to its reputation due to significant product reliability and quality issues, and product-related litigation. Additionally, negative or inaccurate postings or comments on social media or networking websites about Kodak, its licensees or its brand could generate adverse publicity which could damage the reputation of the brand. Kodak also devotes significant time and resources to programs consistent with its corporate values and commitments that are designed to protect and preserve its reputation, such as social responsibility and environmental sustainability. If these programs are not executed as planned or suffer negative publicity, Kodak’s reputation and financial results could be adversely impacted.</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competitive pressures it faces could harm Kodak’s revenue, gross margins, cash flow and market share.</w:t>
      </w:r>
    </w:p>
    <w:p>
      <w:pPr>
        <w:spacing w:after="0" w:line="106" w:lineRule="exact"/>
        <w:rPr>
          <w:sz w:val="20"/>
          <w:szCs w:val="20"/>
          <w:color w:val="auto"/>
        </w:rPr>
      </w:pPr>
    </w:p>
    <w:p>
      <w:pPr>
        <w:ind w:right="360"/>
        <w:spacing w:after="0" w:line="315" w:lineRule="auto"/>
        <w:rPr>
          <w:sz w:val="20"/>
          <w:szCs w:val="20"/>
          <w:color w:val="auto"/>
        </w:rPr>
      </w:pPr>
      <w:r>
        <w:rPr>
          <w:rFonts w:ascii="Arial" w:cs="Arial" w:eastAsia="Arial" w:hAnsi="Arial"/>
          <w:sz w:val="15"/>
          <w:szCs w:val="15"/>
          <w:color w:val="auto"/>
        </w:rPr>
        <w:t>The markets in which Kodak does business are highly competitive with large, entrenched, and well financed industry participants, many of which are larger than Kodak. In addition, it encounters aggressive price competition for many of its products and services from numerous companies globally. Any of its competitors may:</w:t>
      </w:r>
    </w:p>
    <w:p>
      <w:pPr>
        <w:spacing w:after="0" w:line="248" w:lineRule="exact"/>
        <w:rPr>
          <w:sz w:val="20"/>
          <w:szCs w:val="20"/>
          <w:color w:val="auto"/>
        </w:rPr>
      </w:pPr>
    </w:p>
    <w:p>
      <w:pPr>
        <w:ind w:left="840" w:hanging="420"/>
        <w:spacing w:after="0"/>
        <w:tabs>
          <w:tab w:leader="none" w:pos="8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foresee the course of market developments more accurately than it does;</w:t>
      </w:r>
    </w:p>
    <w:p>
      <w:pPr>
        <w:spacing w:after="0" w:line="33" w:lineRule="exact"/>
        <w:rPr>
          <w:rFonts w:ascii="Arial" w:cs="Arial" w:eastAsia="Arial" w:hAnsi="Arial"/>
          <w:sz w:val="16"/>
          <w:szCs w:val="16"/>
          <w:color w:val="auto"/>
        </w:rPr>
      </w:pPr>
    </w:p>
    <w:p>
      <w:pPr>
        <w:ind w:left="840" w:hanging="420"/>
        <w:spacing w:after="0"/>
        <w:tabs>
          <w:tab w:leader="none" w:pos="8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sell superior products and provide superior services or offer a broader variety of products and services;</w:t>
      </w:r>
    </w:p>
    <w:p>
      <w:pPr>
        <w:spacing w:after="0" w:line="45" w:lineRule="exact"/>
        <w:rPr>
          <w:rFonts w:ascii="Arial" w:cs="Arial" w:eastAsia="Arial" w:hAnsi="Arial"/>
          <w:sz w:val="16"/>
          <w:szCs w:val="16"/>
          <w:color w:val="auto"/>
        </w:rPr>
      </w:pPr>
    </w:p>
    <w:p>
      <w:pPr>
        <w:ind w:left="840" w:hanging="420"/>
        <w:spacing w:after="0"/>
        <w:tabs>
          <w:tab w:leader="none" w:pos="8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have the ability to produce or supply similar products and services at a lower cost;</w:t>
      </w:r>
    </w:p>
    <w:p>
      <w:pPr>
        <w:spacing w:after="0" w:line="33" w:lineRule="exact"/>
        <w:rPr>
          <w:rFonts w:ascii="Arial" w:cs="Arial" w:eastAsia="Arial" w:hAnsi="Arial"/>
          <w:sz w:val="16"/>
          <w:szCs w:val="16"/>
          <w:color w:val="auto"/>
        </w:rPr>
      </w:pPr>
    </w:p>
    <w:p>
      <w:pPr>
        <w:ind w:left="840" w:hanging="420"/>
        <w:spacing w:after="0"/>
        <w:tabs>
          <w:tab w:leader="none" w:pos="8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have better access to supplies and the ability to acquire supplies at a lower cost;</w:t>
      </w:r>
    </w:p>
    <w:p>
      <w:pPr>
        <w:spacing w:after="0" w:line="33" w:lineRule="exact"/>
        <w:rPr>
          <w:rFonts w:ascii="Arial" w:cs="Arial" w:eastAsia="Arial" w:hAnsi="Arial"/>
          <w:sz w:val="16"/>
          <w:szCs w:val="16"/>
          <w:color w:val="auto"/>
        </w:rPr>
      </w:pPr>
    </w:p>
    <w:p>
      <w:pPr>
        <w:ind w:left="840" w:hanging="420"/>
        <w:spacing w:after="0"/>
        <w:tabs>
          <w:tab w:leader="none" w:pos="8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develop stronger relationships with its suppliers or customers;</w:t>
      </w:r>
    </w:p>
    <w:p>
      <w:pPr>
        <w:spacing w:after="0" w:line="33" w:lineRule="exact"/>
        <w:rPr>
          <w:rFonts w:ascii="Arial" w:cs="Arial" w:eastAsia="Arial" w:hAnsi="Arial"/>
          <w:sz w:val="16"/>
          <w:szCs w:val="16"/>
          <w:color w:val="auto"/>
        </w:rPr>
      </w:pPr>
    </w:p>
    <w:p>
      <w:pPr>
        <w:ind w:left="840" w:hanging="420"/>
        <w:spacing w:after="0"/>
        <w:tabs>
          <w:tab w:leader="none" w:pos="8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adapt more quickly to new technologies or evolving customer requirements than it does; or</w:t>
      </w:r>
    </w:p>
    <w:p>
      <w:pPr>
        <w:spacing w:after="0" w:line="45" w:lineRule="exact"/>
        <w:rPr>
          <w:rFonts w:ascii="Arial" w:cs="Arial" w:eastAsia="Arial" w:hAnsi="Arial"/>
          <w:sz w:val="16"/>
          <w:szCs w:val="16"/>
          <w:color w:val="auto"/>
        </w:rPr>
      </w:pPr>
    </w:p>
    <w:p>
      <w:pPr>
        <w:ind w:left="840" w:hanging="420"/>
        <w:spacing w:after="0"/>
        <w:tabs>
          <w:tab w:leader="none" w:pos="8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have access to capital markets or other financing sources on more favorable terms than it can obtain.</w:t>
      </w:r>
    </w:p>
    <w:p>
      <w:pPr>
        <w:spacing w:after="0" w:line="130"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color w:val="auto"/>
        </w:rPr>
        <w:t>As a result, Kodak may not be able to compete successfully with its competitors. Finally, it may not be able to maintain its operating costs or prices at levels which would allow it to compete effectively. Kodak’s results of operations and financial condition may be adversely affected by these and other industry-wide pricing pressures. If its products, services and pricing are not sufficiently competitive with current and future competitors, it could also lose market share, adversely affecting its revenue, gross margins and cash flow.</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62865</wp:posOffset>
            </wp:positionV>
            <wp:extent cx="7301865" cy="406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01865" cy="40640"/>
                    </a:xfrm>
                    <a:prstGeom prst="rect">
                      <a:avLst/>
                    </a:prstGeom>
                    <a:noFill/>
                  </pic:spPr>
                </pic:pic>
              </a:graphicData>
            </a:graphic>
          </wp:anchor>
        </w:drawing>
      </w:r>
    </w:p>
    <w:p>
      <w:pPr>
        <w:sectPr>
          <w:pgSz w:w="11900" w:h="16838" w:orient="portrait"/>
          <w:cols w:equalWidth="0" w:num="1">
            <w:col w:w="11400"/>
          </w:cols>
          <w:pgMar w:left="240" w:top="224" w:right="259" w:bottom="1440" w:gutter="0" w:footer="0" w:header="0"/>
        </w:sectPr>
      </w:pPr>
    </w:p>
    <w:bookmarkStart w:id="11" w:name="page12"/>
    <w:bookmarkEnd w:id="11"/>
    <w:p>
      <w:pPr>
        <w:ind w:right="260"/>
        <w:spacing w:after="0" w:line="280" w:lineRule="auto"/>
        <w:rPr>
          <w:sz w:val="20"/>
          <w:szCs w:val="20"/>
          <w:color w:val="auto"/>
        </w:rPr>
      </w:pPr>
      <w:r>
        <w:rPr>
          <w:rFonts w:ascii="Arial" w:cs="Arial" w:eastAsia="Arial" w:hAnsi="Arial"/>
          <w:sz w:val="16"/>
          <w:szCs w:val="16"/>
          <w:b w:val="1"/>
          <w:bCs w:val="1"/>
          <w:i w:val="1"/>
          <w:iCs w:val="1"/>
          <w:color w:val="auto"/>
        </w:rPr>
        <w:t>An inability to provide competitive financing arrangements to Kodak’s customers or extension of credit to customers whose creditworthiness deteriorates could adversely impact its revenue, profitability and financial position.</w:t>
      </w:r>
    </w:p>
    <w:p>
      <w:pPr>
        <w:spacing w:after="0" w:line="54" w:lineRule="exact"/>
        <w:rPr>
          <w:sz w:val="20"/>
          <w:szCs w:val="20"/>
          <w:color w:val="auto"/>
        </w:rPr>
      </w:pPr>
    </w:p>
    <w:p>
      <w:pPr>
        <w:ind w:right="180"/>
        <w:spacing w:after="0" w:line="257" w:lineRule="auto"/>
        <w:rPr>
          <w:sz w:val="20"/>
          <w:szCs w:val="20"/>
          <w:color w:val="auto"/>
        </w:rPr>
      </w:pPr>
      <w:r>
        <w:rPr>
          <w:rFonts w:ascii="Arial" w:cs="Arial" w:eastAsia="Arial" w:hAnsi="Arial"/>
          <w:sz w:val="16"/>
          <w:szCs w:val="16"/>
          <w:color w:val="auto"/>
        </w:rPr>
        <w:t>The competitive environment in which Kodak operates may require it to facilitate or provide financing to its customers. Customer financing arrangements may cover all or a portion of the purchase price for its products and services. It may also assist customers in obtaining financing from banks and other sources. Its success may be dependent, in part, upon its ability to provide customer financing on competitive terms and on its customers’ creditworthiness. Tightening of credit in the global financial markets can adversely affect the ability of Kodak’s customers to obtain financing for significant purchases, which may result in a decrease in, or cancellation of, orders for its products and services. If Kodak is unable to provide competitive financing solutions to its customers or if it extends credit to customers whose creditworthiness deteriorates, its revenues, profitability and financial position could be adversely impacted.</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Kodak cannot attract, retain and motivate key management and other key employees, its revenue and earnings could be harmed.</w:t>
      </w:r>
    </w:p>
    <w:p>
      <w:pPr>
        <w:spacing w:after="0" w:line="106" w:lineRule="exact"/>
        <w:rPr>
          <w:sz w:val="20"/>
          <w:szCs w:val="20"/>
          <w:color w:val="auto"/>
        </w:rPr>
      </w:pPr>
    </w:p>
    <w:p>
      <w:pPr>
        <w:ind w:right="60"/>
        <w:spacing w:after="0" w:line="280" w:lineRule="auto"/>
        <w:rPr>
          <w:sz w:val="20"/>
          <w:szCs w:val="20"/>
          <w:color w:val="auto"/>
        </w:rPr>
      </w:pPr>
      <w:r>
        <w:rPr>
          <w:rFonts w:ascii="Arial" w:cs="Arial" w:eastAsia="Arial" w:hAnsi="Arial"/>
          <w:sz w:val="15"/>
          <w:szCs w:val="15"/>
          <w:color w:val="auto"/>
        </w:rPr>
        <w:t>In order for it to be successful, Kodak must continue to attract, retain and motivate executives and other key employees, including technical, managerial, marketing, sales, research and support positions. Hiring and retaining qualified executives, research and engineering professionals, and qualified sales representatives, particularly in Kodak’s targeted growth markets, are critical to its future. It may be unable to attract and retain highly qualified management and employees, particularly if it does not offer employment terms competitive with the rest of the market. Failure to attract and retain qualified individuals, key leaders, executives and employees, or failure to develop and implement a viable succession plan, could result in inadequate depth of institutional knowledge or skill sets, which could adversely affect its business.</w:t>
      </w:r>
    </w:p>
    <w:p>
      <w:pPr>
        <w:spacing w:after="0" w:line="154" w:lineRule="exact"/>
        <w:rPr>
          <w:sz w:val="20"/>
          <w:szCs w:val="20"/>
          <w:color w:val="auto"/>
        </w:rPr>
      </w:pPr>
    </w:p>
    <w:p>
      <w:pPr>
        <w:ind w:right="40"/>
        <w:spacing w:after="0" w:line="280" w:lineRule="auto"/>
        <w:rPr>
          <w:sz w:val="20"/>
          <w:szCs w:val="20"/>
          <w:color w:val="auto"/>
        </w:rPr>
      </w:pPr>
      <w:r>
        <w:rPr>
          <w:rFonts w:ascii="Arial" w:cs="Arial" w:eastAsia="Arial" w:hAnsi="Arial"/>
          <w:sz w:val="16"/>
          <w:szCs w:val="16"/>
          <w:b w:val="1"/>
          <w:bCs w:val="1"/>
          <w:i w:val="1"/>
          <w:iCs w:val="1"/>
          <w:color w:val="auto"/>
        </w:rPr>
        <w:t>If Kodak cannot effectively anticipate technology trends and develop and market new products to respond to changing customer preferences, its revenue, earnings and cash flow could be adversely affected.</w:t>
      </w:r>
    </w:p>
    <w:p>
      <w:pPr>
        <w:spacing w:after="0" w:line="54" w:lineRule="exact"/>
        <w:rPr>
          <w:sz w:val="20"/>
          <w:szCs w:val="20"/>
          <w:color w:val="auto"/>
        </w:rPr>
      </w:pPr>
    </w:p>
    <w:p>
      <w:pPr>
        <w:ind w:right="120"/>
        <w:spacing w:after="0" w:line="299" w:lineRule="auto"/>
        <w:rPr>
          <w:sz w:val="20"/>
          <w:szCs w:val="20"/>
          <w:color w:val="auto"/>
        </w:rPr>
      </w:pPr>
      <w:r>
        <w:rPr>
          <w:rFonts w:ascii="Arial" w:cs="Arial" w:eastAsia="Arial" w:hAnsi="Arial"/>
          <w:sz w:val="14"/>
          <w:szCs w:val="14"/>
          <w:color w:val="auto"/>
        </w:rPr>
        <w:t>Kodak serves imaging needs for business markets, including packaging, graphic communications, enterprise services, and printed electronics. Its success in these markets depends on its ability to offer differentiated solutions and technologies to capture market share and grow scale. To enable this, it must continually develop and introduce new products and services in a timely manner to keep pace with technological developments and achieve customer acceptance. In addition, the services and products it provides to customers may not or may no longer meet the needs of its customers as the business models of its customers evolve. Its customers may decide to outsource their imaging needs or may purchase imaging services and needs from other suppliers. In addition, it is difficult to predict successfully the products and services its customers will demand. The success of Kodak’s business depends in part on its ability to identify and respond promptly to changes in customer preferences, expectations and needs. If it does not timely assess and respond to changing customer expectations, preferences and needs, its financial condition, results of operations or cash flows could be adversely affected.</w:t>
      </w:r>
    </w:p>
    <w:p>
      <w:pPr>
        <w:spacing w:after="0" w:line="46"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If Kodak is unable to timely anticipate new technology trends, develop improvements to its current technology to address changing customer preferences, and effectively communicate its businesses, products, and the markets it serves, its revenue, earnings and cash flow could be adversely affected. The success of Kodak’s technology development efforts may be affected by the development efforts of its competitors, which may have more financial and other resources to better ascertain technology trends, changing customer preferences, and changing business expectations or models. Kodak’s assessment and response may as a result be incomplete or inferior when compared to its competitors, which could adversely affect its product roadmaps and associated revenue streams.</w:t>
      </w:r>
    </w:p>
    <w:p>
      <w:pPr>
        <w:spacing w:after="0" w:line="71" w:lineRule="exact"/>
        <w:rPr>
          <w:sz w:val="20"/>
          <w:szCs w:val="20"/>
          <w:color w:val="auto"/>
        </w:rPr>
      </w:pPr>
    </w:p>
    <w:p>
      <w:pPr>
        <w:ind w:right="160"/>
        <w:spacing w:after="0" w:line="315" w:lineRule="auto"/>
        <w:rPr>
          <w:sz w:val="20"/>
          <w:szCs w:val="20"/>
          <w:color w:val="auto"/>
        </w:rPr>
      </w:pPr>
      <w:r>
        <w:rPr>
          <w:rFonts w:ascii="Arial" w:cs="Arial" w:eastAsia="Arial" w:hAnsi="Arial"/>
          <w:sz w:val="15"/>
          <w:szCs w:val="15"/>
          <w:color w:val="auto"/>
        </w:rPr>
        <w:t>Kodak has reduced the scope of its corporate-focused research and development activities. If its investment in research and product development is inadequate, its response to changing customer needs and changing market dynamics may be too slow and this may adversely affect revenue streams from new products and services.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Kodak makes sizeable investments in new products and services that may not achieve expected returns.</w:t>
      </w:r>
    </w:p>
    <w:p>
      <w:pPr>
        <w:spacing w:after="0" w:line="203"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Commercial success depends on many factors, including innovativeness, developer support, and effective distribution and marketing. If customers do not perceive Kodak’s latest offerings as providing significant new functionality or other value, they may reduce their purchases of new products or upgrades, unfavorably affecting revenue. Kodak may not achieve significant revenue from new product, service, and distribution channel investments for several years, if at all. New products and services may not be profitable, and even if they are profitable, operating margins for some new products and businesses may not be as high as the margins Kodak has experienced historically. Developing new technologies is complex. It can require long development and testing periods. Significant delays in new releases or significant problems in creating new products or services could adversely affect Kodak’s revenue.</w:t>
      </w:r>
    </w:p>
    <w:p>
      <w:pPr>
        <w:spacing w:after="0" w:line="172" w:lineRule="exact"/>
        <w:rPr>
          <w:sz w:val="20"/>
          <w:szCs w:val="20"/>
          <w:color w:val="auto"/>
        </w:rPr>
      </w:pPr>
    </w:p>
    <w:p>
      <w:pPr>
        <w:ind w:right="200"/>
        <w:spacing w:after="0" w:line="280" w:lineRule="auto"/>
        <w:rPr>
          <w:sz w:val="20"/>
          <w:szCs w:val="20"/>
          <w:color w:val="auto"/>
        </w:rPr>
      </w:pPr>
      <w:r>
        <w:rPr>
          <w:rFonts w:ascii="Arial" w:cs="Arial" w:eastAsia="Arial" w:hAnsi="Arial"/>
          <w:sz w:val="16"/>
          <w:szCs w:val="16"/>
          <w:b w:val="1"/>
          <w:bCs w:val="1"/>
          <w:i w:val="1"/>
          <w:iCs w:val="1"/>
          <w:color w:val="auto"/>
        </w:rPr>
        <w:t>Kodak relies on third-party suppliers and service providers to support its manufacturing, logistics, and business operations and faces the risks associated with reliance on external business partners.</w:t>
      </w:r>
    </w:p>
    <w:p>
      <w:pPr>
        <w:spacing w:after="0" w:line="175" w:lineRule="exact"/>
        <w:rPr>
          <w:sz w:val="20"/>
          <w:szCs w:val="20"/>
          <w:color w:val="auto"/>
        </w:rPr>
      </w:pPr>
    </w:p>
    <w:p>
      <w:pPr>
        <w:ind w:right="200"/>
        <w:spacing w:after="0" w:line="280" w:lineRule="auto"/>
        <w:rPr>
          <w:sz w:val="20"/>
          <w:szCs w:val="20"/>
          <w:color w:val="auto"/>
        </w:rPr>
      </w:pPr>
      <w:r>
        <w:rPr>
          <w:rFonts w:ascii="Arial" w:cs="Arial" w:eastAsia="Arial" w:hAnsi="Arial"/>
          <w:sz w:val="16"/>
          <w:szCs w:val="16"/>
          <w:color w:val="auto"/>
        </w:rPr>
        <w:t>Kodak relies on third-party suppliers for goods and services to support its manufacturing, logistics, and business operations. To the extent it relies on third-parties, it faces the risks that those third parties may not be able to:</w:t>
      </w:r>
    </w:p>
    <w:p>
      <w:pPr>
        <w:spacing w:after="0" w:line="175" w:lineRule="exact"/>
        <w:rPr>
          <w:sz w:val="20"/>
          <w:szCs w:val="20"/>
          <w:color w:val="auto"/>
        </w:rPr>
      </w:pPr>
    </w:p>
    <w:p>
      <w:pPr>
        <w:ind w:left="620" w:hanging="309"/>
        <w:spacing w:after="0"/>
        <w:tabs>
          <w:tab w:leader="none" w:pos="6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develop manufacturing methods appropriate to Kodak’s products;</w:t>
      </w:r>
    </w:p>
    <w:p>
      <w:pPr>
        <w:spacing w:after="0" w:line="21" w:lineRule="exact"/>
        <w:rPr>
          <w:rFonts w:ascii="Arial" w:cs="Arial" w:eastAsia="Arial" w:hAnsi="Arial"/>
          <w:sz w:val="16"/>
          <w:szCs w:val="16"/>
          <w:color w:val="auto"/>
        </w:rPr>
      </w:pPr>
    </w:p>
    <w:p>
      <w:pPr>
        <w:ind w:left="620" w:hanging="309"/>
        <w:spacing w:after="0"/>
        <w:tabs>
          <w:tab w:leader="none" w:pos="6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maintain an adequate control environment;</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62865</wp:posOffset>
            </wp:positionV>
            <wp:extent cx="7301865" cy="406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01865" cy="40640"/>
                    </a:xfrm>
                    <a:prstGeom prst="rect">
                      <a:avLst/>
                    </a:prstGeom>
                    <a:noFill/>
                  </pic:spPr>
                </pic:pic>
              </a:graphicData>
            </a:graphic>
          </wp:anchor>
        </w:drawing>
      </w:r>
    </w:p>
    <w:p>
      <w:pPr>
        <w:sectPr>
          <w:pgSz w:w="11900" w:h="16838" w:orient="portrait"/>
          <w:cols w:equalWidth="0" w:num="1">
            <w:col w:w="11420"/>
          </w:cols>
          <w:pgMar w:left="240" w:top="320" w:right="239" w:bottom="1440" w:gutter="0" w:footer="0" w:header="0"/>
        </w:sectPr>
      </w:pPr>
    </w:p>
    <w:bookmarkStart w:id="12" w:name="page13"/>
    <w:bookmarkEnd w:id="12"/>
    <w:p>
      <w:pPr>
        <w:ind w:left="620" w:hanging="309"/>
        <w:spacing w:after="0"/>
        <w:tabs>
          <w:tab w:leader="none" w:pos="6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quickly respond to changes in customer demand for Kodak’s products;</w:t>
      </w:r>
    </w:p>
    <w:p>
      <w:pPr>
        <w:spacing w:after="0" w:line="21" w:lineRule="exact"/>
        <w:rPr>
          <w:rFonts w:ascii="Arial" w:cs="Arial" w:eastAsia="Arial" w:hAnsi="Arial"/>
          <w:sz w:val="16"/>
          <w:szCs w:val="16"/>
          <w:color w:val="auto"/>
        </w:rPr>
      </w:pPr>
    </w:p>
    <w:p>
      <w:pPr>
        <w:ind w:left="620" w:hanging="309"/>
        <w:spacing w:after="0"/>
        <w:tabs>
          <w:tab w:leader="none" w:pos="6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obtain supplies and materials necessary for the manufacturing process; or</w:t>
      </w:r>
    </w:p>
    <w:p>
      <w:pPr>
        <w:spacing w:after="0" w:line="9" w:lineRule="exact"/>
        <w:rPr>
          <w:rFonts w:ascii="Arial" w:cs="Arial" w:eastAsia="Arial" w:hAnsi="Arial"/>
          <w:sz w:val="16"/>
          <w:szCs w:val="16"/>
          <w:color w:val="auto"/>
        </w:rPr>
      </w:pPr>
    </w:p>
    <w:p>
      <w:pPr>
        <w:ind w:left="620" w:hanging="309"/>
        <w:spacing w:after="0"/>
        <w:tabs>
          <w:tab w:leader="none" w:pos="6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mitigate the impact of labor shortages and/or other disruptions.</w:t>
      </w:r>
    </w:p>
    <w:p>
      <w:pPr>
        <w:spacing w:after="0" w:line="94" w:lineRule="exact"/>
        <w:rPr>
          <w:sz w:val="20"/>
          <w:szCs w:val="20"/>
          <w:color w:val="auto"/>
        </w:rPr>
      </w:pPr>
    </w:p>
    <w:p>
      <w:pPr>
        <w:ind w:right="40"/>
        <w:spacing w:after="0" w:line="273" w:lineRule="auto"/>
        <w:rPr>
          <w:sz w:val="20"/>
          <w:szCs w:val="20"/>
          <w:color w:val="auto"/>
        </w:rPr>
      </w:pPr>
      <w:r>
        <w:rPr>
          <w:rFonts w:ascii="Arial" w:cs="Arial" w:eastAsia="Arial" w:hAnsi="Arial"/>
          <w:sz w:val="15"/>
          <w:szCs w:val="15"/>
          <w:color w:val="auto"/>
        </w:rPr>
        <w:t>Further, even if Kodak honors its payment and other obligations to its key suppliers of products, components and services, such suppliers may choose to unilaterally withhold products, components or services, or demand changes in payment terms. In addition, it may experience shortages in supply and disruptions in service as a result of unexpected demand, transportation and logistical limitations, and/or disruptions or production difficulties at its suppliers, such as disruptions due to fires, other natural disasters or events outside of a supplier’s control. In addition, disruptions could result from a reduction in the number of its suppliers due to their own financial difficulties or a reduction in the products offered by such suppliers. As a result of the loss of any supplier, or a substantial decrease in the availability of products from its suppliers, Kodak may be unable to meet its customer commitments, its costs could be higher than planned, and its cash flows and the reliability of its products could be negatively impacted. Kodak will vigorously enforce its contractual rights under such circumstances, but there is no guarantee it will be successful in preventing or mitigating the effects of unilateral actions by its suppliers. Other supplier problems that Kodak could encounter include electronic component shortages, excess supply, risks related to the duration and termination of its contracts with suppliers for components and materials and risks related to the ability to obtain products, components or services from single source suppliers on favorable terms or at all. The realization of any of these risks, should alternative third-party relationships not be established, could cause interruptions in supply or increases in costs which might result in Kodak’s inability to meet customer demand for its products, damage to its relationships with its customers, and reduced market share, all of which could adversely affect its results of operations and financial condition.</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Business disruptions could seriously harm Kodak’s future revenue and financial condition and increase its costs and expenses.</w:t>
      </w:r>
    </w:p>
    <w:p>
      <w:pPr>
        <w:spacing w:after="0" w:line="106"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Worldwide operations could be subject to earthquakes, power shortages, telecommunications failures, cyber-attacks, terrorism and other physical security threats, water shortages, tsunamis, floods, hurricanes, typhoons, fires, extreme weather conditions, medical epidemics, political or economic instability, and other natural or manmade disasters or business interruptions, for which Kodak is predominantly self-insured. The occurrence of any of these business disruptions could seriously harm its revenue and financial condition and increase its costs and expenses. In addition, some areas, including parts of the east and west coasts of the United States, have previously experienced, and may experience in the future, major power shortages and blackouts. These blackouts could cause disruptions to its operations or the operations of its suppliers, distributors and resellers, or customers. It has operations including research and development facilities in geographically disparate locations, such as Israel, Japan, China, Canada and Germany. The impact of these risks is greater in areas where products are manufactured at a sole or limited number of location(s), and where the sourcing of materials is limited to a sole or limited base of suppliers, since any material interruption in operations in such locations or suppliers could impact Kodak’s ability to provide a particular product or service for a period of time.</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Cyber-attacks or disruptions to our information technology (IT) environment could impact revenue, operations, cost, and competitiveness.</w:t>
      </w:r>
    </w:p>
    <w:p>
      <w:pPr>
        <w:spacing w:after="0" w:line="106" w:lineRule="exact"/>
        <w:rPr>
          <w:sz w:val="20"/>
          <w:szCs w:val="20"/>
          <w:color w:val="auto"/>
        </w:rPr>
      </w:pPr>
    </w:p>
    <w:p>
      <w:pPr>
        <w:spacing w:after="0" w:line="321" w:lineRule="auto"/>
        <w:rPr>
          <w:sz w:val="20"/>
          <w:szCs w:val="20"/>
          <w:color w:val="auto"/>
        </w:rPr>
      </w:pPr>
      <w:r>
        <w:rPr>
          <w:rFonts w:ascii="Arial" w:cs="Arial" w:eastAsia="Arial" w:hAnsi="Arial"/>
          <w:sz w:val="14"/>
          <w:szCs w:val="14"/>
          <w:color w:val="auto"/>
        </w:rPr>
        <w:t>To effectively manage our global business, we depend on secure and reliable information technology systems with accurate data. These systems and their underlying infrastructure are provided by a combination of Kodak and third-parties, and if unavailable or unreliable, could disrupt our operations, causing delays or cancellation of customer orders, impeding the manufacturing or delivery of products, delaying the reporting of financial results, or impacting other business processes critical to running our business.</w:t>
      </w:r>
    </w:p>
    <w:p>
      <w:pPr>
        <w:spacing w:after="0" w:line="31" w:lineRule="exact"/>
        <w:rPr>
          <w:sz w:val="20"/>
          <w:szCs w:val="20"/>
          <w:color w:val="auto"/>
        </w:rPr>
      </w:pPr>
    </w:p>
    <w:p>
      <w:pPr>
        <w:ind w:right="60"/>
        <w:spacing w:after="0" w:line="278" w:lineRule="auto"/>
        <w:rPr>
          <w:sz w:val="20"/>
          <w:szCs w:val="20"/>
          <w:color w:val="auto"/>
        </w:rPr>
      </w:pPr>
      <w:r>
        <w:rPr>
          <w:rFonts w:ascii="Arial" w:cs="Arial" w:eastAsia="Arial" w:hAnsi="Arial"/>
          <w:sz w:val="15"/>
          <w:szCs w:val="15"/>
          <w:color w:val="auto"/>
        </w:rPr>
        <w:t>Our IT systems contain critical information about our business, including intellectual property and confidential information of our customers, business partners, and employees. Cyber-attacks or defects in our systems could result in this proprietary information being disclosed or modified, which could cause significant damage to our business or our reputation. We have system controls and security measures in place that are designed to protect our IT systems against intentional or unintentional disruptions of our operations or disclosure of confidential information, but we may not be able to implement solutions that result in stopping or detecting all of these threats to our internal information systems or those of our third-party providers. A breach of our security measures could result in unauthorized access to and misuse of our information, corruption of data, or disruption of operations, any of which could have a material adverse impact on our business.</w:t>
      </w:r>
    </w:p>
    <w:p>
      <w:pPr>
        <w:spacing w:after="0" w:line="58" w:lineRule="exact"/>
        <w:rPr>
          <w:sz w:val="20"/>
          <w:szCs w:val="20"/>
          <w:color w:val="auto"/>
        </w:rPr>
      </w:pPr>
    </w:p>
    <w:p>
      <w:pPr>
        <w:ind w:right="40"/>
        <w:spacing w:after="0" w:line="280" w:lineRule="auto"/>
        <w:rPr>
          <w:sz w:val="20"/>
          <w:szCs w:val="20"/>
          <w:color w:val="auto"/>
        </w:rPr>
      </w:pPr>
      <w:r>
        <w:rPr>
          <w:rFonts w:ascii="Arial" w:cs="Arial" w:eastAsia="Arial" w:hAnsi="Arial"/>
          <w:sz w:val="16"/>
          <w:szCs w:val="16"/>
          <w:color w:val="auto"/>
        </w:rPr>
        <w:t>We also provide IT-based products and services to our customers, both businesses and consumers, and a breach of our security or reliability measures, or those of our third-party service providers, could negatively impact our customers’ operations or data privacy.</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Improper disclosure of personal data could result in liability and harm Kodak’s reputation.</w:t>
      </w:r>
    </w:p>
    <w:p>
      <w:pPr>
        <w:spacing w:after="0" w:line="106" w:lineRule="exact"/>
        <w:rPr>
          <w:sz w:val="20"/>
          <w:szCs w:val="20"/>
          <w:color w:val="auto"/>
        </w:rPr>
      </w:pPr>
    </w:p>
    <w:p>
      <w:pPr>
        <w:ind w:right="260"/>
        <w:spacing w:after="0" w:line="294" w:lineRule="auto"/>
        <w:rPr>
          <w:sz w:val="20"/>
          <w:szCs w:val="20"/>
          <w:color w:val="auto"/>
        </w:rPr>
      </w:pPr>
      <w:r>
        <w:rPr>
          <w:rFonts w:ascii="Arial" w:cs="Arial" w:eastAsia="Arial" w:hAnsi="Arial"/>
          <w:sz w:val="14"/>
          <w:szCs w:val="14"/>
          <w:color w:val="auto"/>
        </w:rPr>
        <w:t>Kodak receives, processes, transmits and stores information relating to identifiable individuals (personal information), both in its role as a technology provider and as an employer. As a result, Kodak is subject to numerous U.S. federal and state and foreign laws and regulations relating to personal information. These laws have been subject to frequent changes, and new legislation in this area may be enacted at any time. In Europe, the General Data Protection Regulation (GDPR) will become effective on May</w:t>
      </w:r>
    </w:p>
    <w:p>
      <w:pPr>
        <w:spacing w:after="0" w:line="1"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auto"/>
        </w:rPr>
        <w:t>25, 2018 for all European Union (EU) member states. The GDPR will include operational requirements for companies receiving or processing personal data of EU residents that are partially different from those currently in place, and will include significant penalties for non-compliance. This change, as well as any other change to existing laws, the introduction of new laws in this area, or the failure to comply with existing laws that are applicable, may subject Kodak to, among other things, additional costs or changes to its business practices, liability for monetary damages, fines and/or criminal prosecution, unfavorable publicity, restrictions on its ability to obtain and process information and allegations by its customers and clients that it has not performed its contractual obligations. At the same time, the risk of cyber-attacks is relevant to the requirements regarding storage, transfer, sharing and handling of personal information. This environment demands Kodak continuously improve its design and coordination of security controls and contractual arrangements across its businesses and</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62865</wp:posOffset>
            </wp:positionV>
            <wp:extent cx="7301865" cy="406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01865" cy="4064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3" w:name="page14"/>
    <w:bookmarkEnd w:id="13"/>
    <w:p>
      <w:pPr>
        <w:ind w:right="160"/>
        <w:spacing w:after="0" w:line="266" w:lineRule="auto"/>
        <w:rPr>
          <w:sz w:val="20"/>
          <w:szCs w:val="20"/>
          <w:color w:val="auto"/>
        </w:rPr>
      </w:pPr>
      <w:r>
        <w:rPr>
          <w:rFonts w:ascii="Arial" w:cs="Arial" w:eastAsia="Arial" w:hAnsi="Arial"/>
          <w:sz w:val="16"/>
          <w:szCs w:val="16"/>
          <w:color w:val="auto"/>
        </w:rPr>
        <w:t>geographies. Despite these efforts, it is possible its security controls over personal data, its training of employees and vendors on data privacy and data security, and other practices it follows may not prevent the improper disclosure of personal information. Improper disclosure of this information could harm its reputation or subject it to liability under laws which protect personal data, resulting in increased costs or loss of revenue.</w:t>
      </w:r>
    </w:p>
    <w:p>
      <w:pPr>
        <w:spacing w:after="0" w:line="162" w:lineRule="exact"/>
        <w:rPr>
          <w:sz w:val="20"/>
          <w:szCs w:val="20"/>
          <w:color w:val="auto"/>
        </w:rPr>
      </w:pPr>
    </w:p>
    <w:p>
      <w:pPr>
        <w:ind w:right="460"/>
        <w:spacing w:after="0" w:line="280" w:lineRule="auto"/>
        <w:rPr>
          <w:sz w:val="20"/>
          <w:szCs w:val="20"/>
          <w:color w:val="auto"/>
        </w:rPr>
      </w:pPr>
      <w:r>
        <w:rPr>
          <w:rFonts w:ascii="Arial" w:cs="Arial" w:eastAsia="Arial" w:hAnsi="Arial"/>
          <w:sz w:val="16"/>
          <w:szCs w:val="16"/>
          <w:b w:val="1"/>
          <w:bCs w:val="1"/>
          <w:i w:val="1"/>
          <w:iCs w:val="1"/>
          <w:color w:val="auto"/>
        </w:rPr>
        <w:t>If Kodak cannot protect the intellectual property rights on which its business depends, or if third parties assert it violates their intellectual property rights, its revenue, earnings, expenses and liquidity may be adversely impacted.</w:t>
      </w:r>
    </w:p>
    <w:p>
      <w:pPr>
        <w:spacing w:after="0" w:line="54" w:lineRule="exact"/>
        <w:rPr>
          <w:sz w:val="20"/>
          <w:szCs w:val="20"/>
          <w:color w:val="auto"/>
        </w:rPr>
      </w:pPr>
    </w:p>
    <w:p>
      <w:pPr>
        <w:spacing w:after="0" w:line="274" w:lineRule="auto"/>
        <w:rPr>
          <w:sz w:val="20"/>
          <w:szCs w:val="20"/>
          <w:color w:val="auto"/>
        </w:rPr>
      </w:pPr>
      <w:r>
        <w:rPr>
          <w:rFonts w:ascii="Arial" w:cs="Arial" w:eastAsia="Arial" w:hAnsi="Arial"/>
          <w:sz w:val="15"/>
          <w:szCs w:val="15"/>
          <w:color w:val="auto"/>
        </w:rPr>
        <w:t>A key differentiator for Kodak in many of its businesses is its technological advantage over competitors’ products and solutions. Its technological advantage is supported by Kodak’s intellectual property rights. Patent, copyright, trademark and trade secret laws in the United States and similar laws in other countries, and non-disclosure, confidentiality and other types of agreements with Kodak’s employees, customers, suppliers and other parties, may not be effective in establishing, maintaining, protecting and enforcing Kodak’s intellectual property rights. Any of Kodak’s direct or indirect intellectual property rights could be challenged, invalidated, circumvented, infringed, diluted, disclosed or misappropriated, or such intellectual property rights may not be sufficient to permit it to take advantage of current market trends or otherwise to provide competitive advantages, which could result in costly product redesign efforts, discontinuance of certain product offerings or other competitive harm. Further, the laws of certain countries do not protect proprietary rights to the same degree as the laws of the United States. Therefore, in certain jurisdictions, Kodak may be unable to protect its proprietary technology adequately against unauthorized third party copying, infringement or use, which could adversely affect its competitive position. Also, much of Kodak’s business and many of its products rely on key technologies developed or licensed by third parties and, because of the rapid pace of technological change in the information technology industry, it may not be able to obtain or continue to obtain licenses and technologies from relevant third parties on reasonable terms, or at all.</w:t>
      </w:r>
    </w:p>
    <w:p>
      <w:pPr>
        <w:spacing w:after="0" w:line="61" w:lineRule="exact"/>
        <w:rPr>
          <w:sz w:val="20"/>
          <w:szCs w:val="20"/>
          <w:color w:val="auto"/>
        </w:rPr>
      </w:pPr>
    </w:p>
    <w:p>
      <w:pPr>
        <w:ind w:right="80"/>
        <w:spacing w:after="0" w:line="276" w:lineRule="auto"/>
        <w:rPr>
          <w:sz w:val="20"/>
          <w:szCs w:val="20"/>
          <w:color w:val="auto"/>
        </w:rPr>
      </w:pPr>
      <w:r>
        <w:rPr>
          <w:rFonts w:ascii="Arial" w:cs="Arial" w:eastAsia="Arial" w:hAnsi="Arial"/>
          <w:sz w:val="15"/>
          <w:szCs w:val="15"/>
          <w:color w:val="auto"/>
        </w:rPr>
        <w:t>Kodak also licenses third parties to use its trademarks. In an effort to preserve its trademark rights, Kodak enters into license agreements with these third parties which govern the use of its trademarks and require its licensees to abide by quality control standards with respect to the goods and services they provide under the trademarks. Although Kodak makes efforts to police the use of its trademarks by its licensees, there can be no assurance these efforts will be sufficient to ensure the licensees abide by the terms of their licenses. In the event Kodak’s licensees fail to do so, its trademark rights could be diluted and its reputation harmed by its licensees’ activities. Also, failure by Kodak and its licensees to sufficiently exploit any of Kodak’s trademarks in any markets could erode Kodak’s trademark rights with respect to the relevant trademarks. Because the laws and enforcement regimes of certain countries do not protect proprietary rights to the same degree as those in the United States, in certain jurisdictions Kodak may be unable to adequately prevent such unauthorized uses, which could result in impairment of its trademark rights.</w:t>
      </w:r>
    </w:p>
    <w:p>
      <w:pPr>
        <w:spacing w:after="0" w:line="62" w:lineRule="exact"/>
        <w:rPr>
          <w:sz w:val="20"/>
          <w:szCs w:val="20"/>
          <w:color w:val="auto"/>
        </w:rPr>
      </w:pPr>
    </w:p>
    <w:p>
      <w:pPr>
        <w:ind w:right="80"/>
        <w:spacing w:after="0" w:line="280" w:lineRule="auto"/>
        <w:rPr>
          <w:sz w:val="20"/>
          <w:szCs w:val="20"/>
          <w:color w:val="auto"/>
        </w:rPr>
      </w:pPr>
      <w:r>
        <w:rPr>
          <w:rFonts w:ascii="Arial" w:cs="Arial" w:eastAsia="Arial" w:hAnsi="Arial"/>
          <w:sz w:val="15"/>
          <w:szCs w:val="15"/>
          <w:color w:val="auto"/>
        </w:rPr>
        <w:t>Kodak has made substantial investments in new, proprietary technologies and has filed patent applications and obtained patents to protect its intellectual property rights in these technologies as well as the interests of its licensees. There can be no assurance Kodak’s patent applications will be approved, any patents issued will be of sufficient scope or strength to provide it with meaningful protection, or such patents will not be challenged by third parties. Furthermore, Kodak may fail to accurately predict all of the countries where patent protection will ultimately be desirable, and if it fails to timely file a patent application in any such country, it may be precluded from doing so at a later date. The patents issuing may vary in scope of coverage depending on the country in which such patents issue.</w:t>
      </w:r>
    </w:p>
    <w:p>
      <w:pPr>
        <w:spacing w:after="0" w:line="58" w:lineRule="exact"/>
        <w:rPr>
          <w:sz w:val="20"/>
          <w:szCs w:val="20"/>
          <w:color w:val="auto"/>
        </w:rPr>
      </w:pPr>
    </w:p>
    <w:p>
      <w:pPr>
        <w:ind w:right="260"/>
        <w:spacing w:after="0" w:line="257" w:lineRule="auto"/>
        <w:rPr>
          <w:sz w:val="20"/>
          <w:szCs w:val="20"/>
          <w:color w:val="auto"/>
        </w:rPr>
      </w:pPr>
      <w:r>
        <w:rPr>
          <w:rFonts w:ascii="Arial" w:cs="Arial" w:eastAsia="Arial" w:hAnsi="Arial"/>
          <w:sz w:val="16"/>
          <w:szCs w:val="16"/>
          <w:color w:val="auto"/>
        </w:rPr>
        <w:t>In addition, the intellectual property rights of others could inhibit Kodak’s ability to conduct its business. Other companies may hold patents on technologies used in Kodak’s industries and some of these companies are aggressively seeking to expand, enforce or license their patent portfolios. Third parties may claim Kodak and its customers, licensees or other parties indemnified by it are infringing upon their intellectual property rights. Such claims may be made by competitors seeking to block or limit Kodak’s access to certain markets. Additionally, in recent years, individuals and groups have begun purchasing intellectual property assets for the sole purpose of making claims of infringement and attempting to extract settlements from large companies like Kodak. Even if it believes the claims are without merit, these claims may have the following negative impacts on its business:</w:t>
      </w:r>
    </w:p>
    <w:p>
      <w:pPr>
        <w:spacing w:after="0" w:line="293" w:lineRule="exact"/>
        <w:rPr>
          <w:sz w:val="20"/>
          <w:szCs w:val="20"/>
          <w:color w:val="auto"/>
        </w:rPr>
      </w:pPr>
    </w:p>
    <w:p>
      <w:pPr>
        <w:ind w:left="860" w:hanging="428"/>
        <w:spacing w:after="0"/>
        <w:tabs>
          <w:tab w:leader="none" w:pos="8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claims can be time consuming and costly to defend and may distract management’s attention and resources;</w:t>
      </w:r>
    </w:p>
    <w:p>
      <w:pPr>
        <w:spacing w:after="0" w:line="21" w:lineRule="exact"/>
        <w:rPr>
          <w:rFonts w:ascii="Arial" w:cs="Arial" w:eastAsia="Arial" w:hAnsi="Arial"/>
          <w:sz w:val="16"/>
          <w:szCs w:val="16"/>
          <w:color w:val="auto"/>
        </w:rPr>
      </w:pPr>
    </w:p>
    <w:p>
      <w:pPr>
        <w:jc w:val="both"/>
        <w:ind w:left="860" w:right="2400" w:hanging="428"/>
        <w:spacing w:after="0" w:line="252" w:lineRule="auto"/>
        <w:tabs>
          <w:tab w:leader="none" w:pos="8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claims of intellectual property infringement may require it to redesign affected products, enter into costly settlement or license agreements or pay costly damage awards, or face a temporary or permanent injunction prohibiting it from marketing or selling certain of its products;</w:t>
      </w:r>
    </w:p>
    <w:p>
      <w:pPr>
        <w:ind w:left="860" w:right="2280" w:hanging="428"/>
        <w:spacing w:after="0" w:line="252" w:lineRule="auto"/>
        <w:tabs>
          <w:tab w:leader="none" w:pos="8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even if it has an agreement with a third party to indemnify it against such costs, the indemnifying party may be unable to uphold such party’s contractual obligations; and</w:t>
      </w:r>
    </w:p>
    <w:p>
      <w:pPr>
        <w:ind w:left="860" w:right="2460" w:hanging="428"/>
        <w:spacing w:after="0" w:line="264" w:lineRule="auto"/>
        <w:tabs>
          <w:tab w:leader="none" w:pos="8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if it cannot or does not license the infringed technology at all, license the technology on reasonable terms or substitute similar technology from another source, its revenue and earnings could be adversely impacted.</w:t>
      </w:r>
    </w:p>
    <w:p>
      <w:pPr>
        <w:spacing w:after="0" w:line="67"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Finally, Kodak uses open source software in connection with its products and services. Companies which incorporate open source software into their products have, from time to time, faced claims challenging the ownership of open source software and/or compliance with open source license terms. As a result, Kodak could be subject to suits by parties claiming ownership of what it believes to be open source software or noncompliance with open source licensing terms. Some open source software licenses require users who distribute open source software as part of their software to publicly disclose all or part of the source code to such software and/or make available any derivative works of the open source code on unfavorable terms or at no cost. Any requirement to disclose Kodak’s source code or pay damages for breach of contract could be harmful to its business results of operations and financial condition.</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62865</wp:posOffset>
            </wp:positionV>
            <wp:extent cx="7301865" cy="406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01865" cy="40640"/>
                    </a:xfrm>
                    <a:prstGeom prst="rect">
                      <a:avLst/>
                    </a:prstGeom>
                    <a:noFill/>
                  </pic:spPr>
                </pic:pic>
              </a:graphicData>
            </a:graphic>
          </wp:anchor>
        </w:drawing>
      </w:r>
    </w:p>
    <w:p>
      <w:pPr>
        <w:sectPr>
          <w:pgSz w:w="11900" w:h="16838" w:orient="portrait"/>
          <w:cols w:equalWidth="0" w:num="1">
            <w:col w:w="11420"/>
          </w:cols>
          <w:pgMar w:left="240" w:top="224" w:right="239" w:bottom="1440" w:gutter="0" w:footer="0" w:header="0"/>
        </w:sectPr>
      </w:pPr>
    </w:p>
    <w:bookmarkStart w:id="14" w:name="page15"/>
    <w:bookmarkEnd w:id="14"/>
    <w:p>
      <w:pPr>
        <w:ind w:right="40"/>
        <w:spacing w:after="0" w:line="266" w:lineRule="auto"/>
        <w:rPr>
          <w:sz w:val="20"/>
          <w:szCs w:val="20"/>
          <w:color w:val="auto"/>
        </w:rPr>
      </w:pPr>
      <w:r>
        <w:rPr>
          <w:rFonts w:ascii="Arial" w:cs="Arial" w:eastAsia="Arial" w:hAnsi="Arial"/>
          <w:sz w:val="16"/>
          <w:szCs w:val="16"/>
          <w:b w:val="1"/>
          <w:bCs w:val="1"/>
          <w:i w:val="1"/>
          <w:iCs w:val="1"/>
          <w:color w:val="auto"/>
        </w:rPr>
        <w:t>Kodak’s future pension and other postretirement benefit plan costs and required level of contributions could be unfavorably impacted by changes in actuarial assumptions, market performance of plan assets and obligations imposed by legislation or pension authorities which could adversely affect its financial position, results of operations, and cash flow.</w:t>
      </w:r>
    </w:p>
    <w:p>
      <w:pPr>
        <w:spacing w:after="0" w:line="65"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Kodak has significant defined benefit pension and other postretirement benefit obligations. The funded status of its U.S. and non U.S. defined benefit pension plans (and other postretirement benefit plans), and the related cost reflected in its financial statements, are affected by various factors subject to an inherent degree of uncertainty. Key assumptions used to value these benefit obligations, funded status and expense recognition include the discount rate for future payment obligations, the long term expected rate of return on plan assets, salary growth, healthcare cost trend rates, mortality trends, and other economic and demographic factors. Significant differences in actual experience, or significant changes in future assumptions or obligations imposed by legislation or pension authorities, could lead to a potential future need to contribute cash or assets to Kodak’s plans in excess of currently estimated contributions and benefit payments and could have an adverse effect on Kodak’s consolidated results of operations, financial position or liquidity.</w:t>
      </w:r>
    </w:p>
    <w:p>
      <w:pPr>
        <w:spacing w:after="0" w:line="77"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In past years, Kodak has experienced increases in the costs of these defined benefit pension and postretirement benefit obligations as a result of macro-economic factors beyond its control, including increases in health care costs, declines in investment returns on pension plan assets, and changes in discount rates and mortality rates used to calculate pension and related liabilities. At least some of these macro-economic factors may again put pressure on the cost of providing pension and medical benefits. There can be no assurance it will succeed in limiting cost increases. In addition, continued upward pressure, including any as a result of new legislation, could reduce the profitability of its businesses.</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Kodak may be required to recognize impairments in the value of its goodwill and/or other long-lived assets which could adversely affect its results of operations.</w:t>
      </w:r>
    </w:p>
    <w:p>
      <w:pPr>
        <w:spacing w:after="0" w:line="129" w:lineRule="exact"/>
        <w:rPr>
          <w:sz w:val="20"/>
          <w:szCs w:val="20"/>
          <w:color w:val="auto"/>
        </w:rPr>
      </w:pPr>
    </w:p>
    <w:p>
      <w:pPr>
        <w:spacing w:after="0" w:line="275" w:lineRule="auto"/>
        <w:rPr>
          <w:sz w:val="20"/>
          <w:szCs w:val="20"/>
          <w:color w:val="auto"/>
        </w:rPr>
      </w:pPr>
      <w:r>
        <w:rPr>
          <w:rFonts w:ascii="Arial" w:cs="Arial" w:eastAsia="Arial" w:hAnsi="Arial"/>
          <w:sz w:val="15"/>
          <w:szCs w:val="15"/>
          <w:color w:val="auto"/>
        </w:rPr>
        <w:t>Upon emergence from bankruptcy, Kodak applied fresh start accounting pursuant to which the reorganization value was allocated to the individual assets and liabilities based on their estimated fair values. The excess reorganization value over the fair value of identified tangible and intangible assets is reported as goodwill. In connection with fresh start, Kodak also fair valued its other long-lived assets, including intangible assets. The determination of reorganization value, equity value of the Company’s common stock and fair value of assets and liabilities is dependent on various estimates and assumptions, including financial projections and the realization of certain events. Kodak tests goodwill and indefinite lived intangible assets for impairment annually or whenever events occur or circumstances change that would more likely than not reduce the fair value of a reporting unit below its carrying amount. Kodak evaluates other long-lived assets for impairments whenever events or changes in circumstances indicate the carrying value may not be recoverable. Impairments could occur in the future if Kodak’s expected future cash flows decline, market or interest rate environments deteriorate, or if carrying values change materially compared with changes in their respective fair values.</w:t>
      </w:r>
    </w:p>
    <w:p>
      <w:pPr>
        <w:spacing w:after="0" w:line="159" w:lineRule="exact"/>
        <w:rPr>
          <w:sz w:val="20"/>
          <w:szCs w:val="20"/>
          <w:color w:val="auto"/>
        </w:rPr>
      </w:pPr>
    </w:p>
    <w:p>
      <w:pPr>
        <w:ind w:right="100"/>
        <w:spacing w:after="0" w:line="280" w:lineRule="auto"/>
        <w:rPr>
          <w:sz w:val="20"/>
          <w:szCs w:val="20"/>
          <w:color w:val="auto"/>
        </w:rPr>
      </w:pPr>
      <w:r>
        <w:rPr>
          <w:rFonts w:ascii="Arial" w:cs="Arial" w:eastAsia="Arial" w:hAnsi="Arial"/>
          <w:sz w:val="16"/>
          <w:szCs w:val="16"/>
          <w:b w:val="1"/>
          <w:bCs w:val="1"/>
          <w:i w:val="1"/>
          <w:iCs w:val="1"/>
          <w:color w:val="auto"/>
        </w:rPr>
        <w:t>Kodak’s businesses experience seasonality of sales. Therefore, lower demand for Kodak’s products or increases in costs during periods which are expected to be at peak in seasonality may have a pronounced negative effect on its results of operations.</w:t>
      </w:r>
    </w:p>
    <w:p>
      <w:pPr>
        <w:spacing w:after="0" w:line="54" w:lineRule="exact"/>
        <w:rPr>
          <w:sz w:val="20"/>
          <w:szCs w:val="20"/>
          <w:color w:val="auto"/>
        </w:rPr>
      </w:pPr>
    </w:p>
    <w:p>
      <w:pPr>
        <w:ind w:right="140"/>
        <w:spacing w:after="0" w:line="301" w:lineRule="auto"/>
        <w:rPr>
          <w:sz w:val="20"/>
          <w:szCs w:val="20"/>
          <w:color w:val="auto"/>
        </w:rPr>
      </w:pPr>
      <w:r>
        <w:rPr>
          <w:rFonts w:ascii="Arial" w:cs="Arial" w:eastAsia="Arial" w:hAnsi="Arial"/>
          <w:sz w:val="14"/>
          <w:szCs w:val="14"/>
          <w:color w:val="auto"/>
        </w:rPr>
        <w:t>Equipment and consumables sales generally exhibit higher levels in the fourth quarter due to the seasonal nature of placements, resulting from customer or industry budgeting practices. As a result, a sequential quarter-to-quarter comparison is not a good indication of Kodak’s performance or how it will perform in the future. In addition, adverse developments during what are expected to be peak periods in seasonality, such as lower-than-anticipated demand for its products, an internal systems failure, increases in materials costs, or failure of or performance problems with one of its key logistics, components supply, or manufacturing partners, could have a material adverse impact on its financial condition and operating results. Tight credit markets which limit capital investments or a weak economy which decreases print demand could negatively impact equipment or consumable sales. These external developments are often unpredictable and may have an adverse impact on its business and results of operations.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Kodak fails to manage distribution of its products and services properly, its revenue, gross margins and earnings could be adversely impacted.</w:t>
      </w:r>
    </w:p>
    <w:p>
      <w:pPr>
        <w:spacing w:after="0" w:line="106"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Kodak uses a variety of different distribution methods to sell and deliver its products and services, including third-party resellers and distributors and direct and indirect sales to both enterprise accounts and customers. Successfully managing the interaction of direct and indirect channels with various potential customer segments for its products and services is a complex process. Moreover, since each distribution method has distinct risks and costs, Kodak’s failure to achieve the most advantageous balance in the delivery model for its products and services could adversely affect its revenue, gross margins and earnings. This has concentrated Kodak’s credit and operational risk and could result in an adverse impact on its financial performance.</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Kodak’s future results could be harmed if it is unsuccessful in its sales in emerging markets.</w:t>
      </w:r>
    </w:p>
    <w:p>
      <w:pPr>
        <w:spacing w:after="0" w:line="106" w:lineRule="exact"/>
        <w:rPr>
          <w:sz w:val="20"/>
          <w:szCs w:val="20"/>
          <w:color w:val="auto"/>
        </w:rPr>
      </w:pPr>
    </w:p>
    <w:p>
      <w:pPr>
        <w:spacing w:after="0" w:line="280" w:lineRule="auto"/>
        <w:rPr>
          <w:sz w:val="20"/>
          <w:szCs w:val="20"/>
          <w:color w:val="auto"/>
        </w:rPr>
      </w:pPr>
      <w:r>
        <w:rPr>
          <w:rFonts w:ascii="Arial" w:cs="Arial" w:eastAsia="Arial" w:hAnsi="Arial"/>
          <w:sz w:val="16"/>
          <w:szCs w:val="16"/>
          <w:color w:val="auto"/>
        </w:rPr>
        <w:t>Because Kodak is seeking to expand its sales and number of customer relationships outside the United States, including in emerging markets in Asia, Latin America and Eastern Europe, Kodak’s business is subject to risks associated with doing business internationally, such as:</w:t>
      </w:r>
    </w:p>
    <w:p>
      <w:pPr>
        <w:spacing w:after="0" w:line="272" w:lineRule="exact"/>
        <w:rPr>
          <w:sz w:val="20"/>
          <w:szCs w:val="20"/>
          <w:color w:val="auto"/>
        </w:rPr>
      </w:pPr>
    </w:p>
    <w:p>
      <w:pPr>
        <w:ind w:left="860" w:hanging="428"/>
        <w:spacing w:after="0"/>
        <w:tabs>
          <w:tab w:leader="none" w:pos="8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support of multiple languages;</w:t>
      </w:r>
    </w:p>
    <w:p>
      <w:pPr>
        <w:spacing w:after="0" w:line="21" w:lineRule="exact"/>
        <w:rPr>
          <w:rFonts w:ascii="Arial" w:cs="Arial" w:eastAsia="Arial" w:hAnsi="Arial"/>
          <w:sz w:val="16"/>
          <w:szCs w:val="16"/>
          <w:color w:val="auto"/>
        </w:rPr>
      </w:pPr>
    </w:p>
    <w:p>
      <w:pPr>
        <w:ind w:left="860" w:hanging="428"/>
        <w:spacing w:after="0"/>
        <w:tabs>
          <w:tab w:leader="none" w:pos="8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recruitment of sales and technical support personnel with the skills to design, manufacture, sell and supply products;</w:t>
      </w:r>
    </w:p>
    <w:p>
      <w:pPr>
        <w:spacing w:after="0" w:line="9" w:lineRule="exact"/>
        <w:rPr>
          <w:rFonts w:ascii="Arial" w:cs="Arial" w:eastAsia="Arial" w:hAnsi="Arial"/>
          <w:sz w:val="16"/>
          <w:szCs w:val="16"/>
          <w:color w:val="auto"/>
        </w:rPr>
      </w:pPr>
    </w:p>
    <w:p>
      <w:pPr>
        <w:ind w:left="860" w:right="2300" w:hanging="428"/>
        <w:spacing w:after="0" w:line="252" w:lineRule="auto"/>
        <w:tabs>
          <w:tab w:leader="none" w:pos="8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compliance with governmental regulation of imports and exports, including obtaining required import or export approval for its products;</w:t>
      </w:r>
    </w:p>
    <w:p>
      <w:pPr>
        <w:ind w:left="860" w:hanging="428"/>
        <w:spacing w:after="0"/>
        <w:tabs>
          <w:tab w:leader="none" w:pos="8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complexity of managing international operations;</w:t>
      </w:r>
    </w:p>
    <w:p>
      <w:pPr>
        <w:spacing w:after="0" w:line="9" w:lineRule="exact"/>
        <w:rPr>
          <w:rFonts w:ascii="Arial" w:cs="Arial" w:eastAsia="Arial" w:hAnsi="Arial"/>
          <w:sz w:val="16"/>
          <w:szCs w:val="16"/>
          <w:color w:val="auto"/>
        </w:rPr>
      </w:pPr>
    </w:p>
    <w:p>
      <w:pPr>
        <w:ind w:left="860" w:hanging="428"/>
        <w:spacing w:after="0"/>
        <w:tabs>
          <w:tab w:leader="none" w:pos="8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exposure to foreign currency exchange rate fluctuations;</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62865</wp:posOffset>
            </wp:positionV>
            <wp:extent cx="7301865" cy="406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01865" cy="40640"/>
                    </a:xfrm>
                    <a:prstGeom prst="rect">
                      <a:avLst/>
                    </a:prstGeom>
                    <a:noFill/>
                  </pic:spPr>
                </pic:pic>
              </a:graphicData>
            </a:graphic>
          </wp:anchor>
        </w:drawing>
      </w:r>
    </w:p>
    <w:p>
      <w:pPr>
        <w:sectPr>
          <w:pgSz w:w="11900" w:h="16838" w:orient="portrait"/>
          <w:cols w:equalWidth="0" w:num="1">
            <w:col w:w="11380"/>
          </w:cols>
          <w:pgMar w:left="240" w:top="320" w:right="279" w:bottom="1440" w:gutter="0" w:footer="0" w:header="0"/>
        </w:sectPr>
      </w:pPr>
    </w:p>
    <w:bookmarkStart w:id="15" w:name="page16"/>
    <w:bookmarkEnd w:id="15"/>
    <w:p>
      <w:pPr>
        <w:ind w:left="860" w:hanging="428"/>
        <w:spacing w:after="0"/>
        <w:tabs>
          <w:tab w:leader="none" w:pos="8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commercial laws and business practices which may favor local competition;</w:t>
      </w:r>
    </w:p>
    <w:p>
      <w:pPr>
        <w:spacing w:after="0" w:line="21" w:lineRule="exact"/>
        <w:rPr>
          <w:rFonts w:ascii="Arial" w:cs="Arial" w:eastAsia="Arial" w:hAnsi="Arial"/>
          <w:sz w:val="16"/>
          <w:szCs w:val="16"/>
          <w:color w:val="auto"/>
        </w:rPr>
      </w:pPr>
    </w:p>
    <w:p>
      <w:pPr>
        <w:ind w:left="860" w:right="2300" w:hanging="428"/>
        <w:spacing w:after="0" w:line="252" w:lineRule="auto"/>
        <w:tabs>
          <w:tab w:leader="none" w:pos="8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multiple, potentially conflicting, and changing governmental laws, regulations and practices, including differing export, import, tax, anti-corruption, anti-dumping, economic sanction, labor, and employment laws;</w:t>
      </w:r>
    </w:p>
    <w:p>
      <w:pPr>
        <w:ind w:left="860" w:hanging="428"/>
        <w:spacing w:after="0"/>
        <w:tabs>
          <w:tab w:leader="none" w:pos="8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difficulties in collecting accounts receivable;</w:t>
      </w:r>
    </w:p>
    <w:p>
      <w:pPr>
        <w:spacing w:after="0" w:line="9" w:lineRule="exact"/>
        <w:rPr>
          <w:rFonts w:ascii="Arial" w:cs="Arial" w:eastAsia="Arial" w:hAnsi="Arial"/>
          <w:sz w:val="16"/>
          <w:szCs w:val="16"/>
          <w:color w:val="auto"/>
        </w:rPr>
      </w:pPr>
    </w:p>
    <w:p>
      <w:pPr>
        <w:ind w:left="860" w:hanging="428"/>
        <w:spacing w:after="0"/>
        <w:tabs>
          <w:tab w:leader="none" w:pos="8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limitations or restrictions on the repatriation of cash;</w:t>
      </w:r>
    </w:p>
    <w:p>
      <w:pPr>
        <w:spacing w:after="0" w:line="9" w:lineRule="exact"/>
        <w:rPr>
          <w:rFonts w:ascii="Arial" w:cs="Arial" w:eastAsia="Arial" w:hAnsi="Arial"/>
          <w:sz w:val="16"/>
          <w:szCs w:val="16"/>
          <w:color w:val="auto"/>
        </w:rPr>
      </w:pPr>
    </w:p>
    <w:p>
      <w:pPr>
        <w:ind w:left="860" w:hanging="428"/>
        <w:spacing w:after="0"/>
        <w:tabs>
          <w:tab w:leader="none" w:pos="8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limitations or reductions in protection of intellectual property rights;</w:t>
      </w:r>
    </w:p>
    <w:p>
      <w:pPr>
        <w:spacing w:after="0" w:line="9" w:lineRule="exact"/>
        <w:rPr>
          <w:rFonts w:ascii="Arial" w:cs="Arial" w:eastAsia="Arial" w:hAnsi="Arial"/>
          <w:sz w:val="16"/>
          <w:szCs w:val="16"/>
          <w:color w:val="auto"/>
        </w:rPr>
      </w:pPr>
    </w:p>
    <w:p>
      <w:pPr>
        <w:ind w:left="860" w:hanging="428"/>
        <w:spacing w:after="0"/>
        <w:tabs>
          <w:tab w:leader="none" w:pos="8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complications in logistics and distribution arrangements; and</w:t>
      </w:r>
    </w:p>
    <w:p>
      <w:pPr>
        <w:spacing w:after="0" w:line="9" w:lineRule="exact"/>
        <w:rPr>
          <w:rFonts w:ascii="Arial" w:cs="Arial" w:eastAsia="Arial" w:hAnsi="Arial"/>
          <w:sz w:val="16"/>
          <w:szCs w:val="16"/>
          <w:color w:val="auto"/>
        </w:rPr>
      </w:pPr>
    </w:p>
    <w:p>
      <w:pPr>
        <w:ind w:left="860" w:hanging="428"/>
        <w:spacing w:after="0"/>
        <w:tabs>
          <w:tab w:leader="none" w:pos="8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political or economic instability.</w:t>
      </w:r>
    </w:p>
    <w:p>
      <w:pPr>
        <w:spacing w:after="0" w:line="94" w:lineRule="exact"/>
        <w:rPr>
          <w:sz w:val="20"/>
          <w:szCs w:val="20"/>
          <w:color w:val="auto"/>
        </w:rPr>
      </w:pPr>
    </w:p>
    <w:p>
      <w:pPr>
        <w:ind w:right="380"/>
        <w:spacing w:after="0" w:line="266" w:lineRule="auto"/>
        <w:rPr>
          <w:sz w:val="20"/>
          <w:szCs w:val="20"/>
          <w:color w:val="auto"/>
        </w:rPr>
      </w:pPr>
      <w:r>
        <w:rPr>
          <w:rFonts w:ascii="Arial" w:cs="Arial" w:eastAsia="Arial" w:hAnsi="Arial"/>
          <w:sz w:val="16"/>
          <w:szCs w:val="16"/>
          <w:color w:val="auto"/>
        </w:rPr>
        <w:t>There can be no assurance Kodak will be able to market and sell its products in all of its targeted markets. If its efforts are not successful, its business growth and results of operations could be harmed. As a global company, Kodak is subject to regulatory requirements and laws in the jurisdictions in which it operates, and any alleged non-compliance with these requirements or laws could result in an adverse financial or reputational impact.</w:t>
      </w:r>
    </w:p>
    <w:p>
      <w:pPr>
        <w:spacing w:after="0" w:line="162" w:lineRule="exact"/>
        <w:rPr>
          <w:sz w:val="20"/>
          <w:szCs w:val="20"/>
          <w:color w:val="auto"/>
        </w:rPr>
      </w:pPr>
    </w:p>
    <w:p>
      <w:pPr>
        <w:ind w:right="80"/>
        <w:spacing w:after="0" w:line="280" w:lineRule="auto"/>
        <w:rPr>
          <w:sz w:val="20"/>
          <w:szCs w:val="20"/>
          <w:color w:val="auto"/>
        </w:rPr>
      </w:pPr>
      <w:r>
        <w:rPr>
          <w:rFonts w:ascii="Arial" w:cs="Arial" w:eastAsia="Arial" w:hAnsi="Arial"/>
          <w:sz w:val="16"/>
          <w:szCs w:val="16"/>
          <w:b w:val="1"/>
          <w:bCs w:val="1"/>
          <w:i w:val="1"/>
          <w:iCs w:val="1"/>
          <w:color w:val="auto"/>
        </w:rPr>
        <w:t>Kodak is subject to environmental laws and regulations and failure to comply with such laws and regulations or liabilities imposed as a result of such laws and regulations could have an adverse effect on its business, results of operations and financial condition.</w:t>
      </w:r>
    </w:p>
    <w:p>
      <w:pPr>
        <w:spacing w:after="0" w:line="54"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Kodak is subject to environmental laws and regulations world-wide that govern, for example, the discharge of pollutants, the management of hazardous materials, the cleanup of contaminated sites, and the composition and end-of-life management of its products. Non-compliance with applicable laws or liability incurred without regard to fault could have a material adverse effect on its business, results of operations and financial condition. The cost of complying with such laws could have a material adverse effect on its business, results of operations and financial condition.</w:t>
      </w:r>
    </w:p>
    <w:p>
      <w:pPr>
        <w:spacing w:after="0" w:line="70" w:lineRule="exact"/>
        <w:rPr>
          <w:sz w:val="20"/>
          <w:szCs w:val="20"/>
          <w:color w:val="auto"/>
        </w:rPr>
      </w:pPr>
    </w:p>
    <w:p>
      <w:pPr>
        <w:ind w:right="140"/>
        <w:spacing w:after="0" w:line="256" w:lineRule="auto"/>
        <w:rPr>
          <w:sz w:val="20"/>
          <w:szCs w:val="20"/>
          <w:color w:val="auto"/>
        </w:rPr>
      </w:pPr>
      <w:r>
        <w:rPr>
          <w:rFonts w:ascii="Arial" w:cs="Arial" w:eastAsia="Arial" w:hAnsi="Arial"/>
          <w:sz w:val="16"/>
          <w:szCs w:val="16"/>
          <w:color w:val="auto"/>
        </w:rPr>
        <w:t>In addition, the Company, the New York State Department of Environmental Conservation and the New York Empire State Development Corporation have entered into a settlement agreement concerning certain of the Company’s historical environmental liabilities at Eastman Business Park or from discharges to the Genesee River through the establishment of a $49 million environmental remediation trust. Should historical liabilities exceed $49 million, New York State is responsible for payments of cost up to an additional $50 million. In the event the historical liabilities exceed $99 million, the Company will become liable for 50% of the portion above $99 million, which could have a material adverse effect on its financial condition. The settlement agreement was implemented on May 20, 2014. The settlement agreement includes a covenant not to sue from the U.S. Environmental Protection Agency. Any uncertainties related to the Company’s environmental obligations may impact its ability to further develop and transform Eastman Business Park.</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Kodak may have additional tax liabilities.</w:t>
      </w:r>
    </w:p>
    <w:p>
      <w:pPr>
        <w:spacing w:after="0" w:line="106" w:lineRule="exact"/>
        <w:rPr>
          <w:sz w:val="20"/>
          <w:szCs w:val="20"/>
          <w:color w:val="auto"/>
        </w:rPr>
      </w:pPr>
    </w:p>
    <w:p>
      <w:pPr>
        <w:ind w:right="100"/>
        <w:spacing w:after="0" w:line="257" w:lineRule="auto"/>
        <w:rPr>
          <w:sz w:val="20"/>
          <w:szCs w:val="20"/>
          <w:color w:val="auto"/>
        </w:rPr>
      </w:pPr>
      <w:r>
        <w:rPr>
          <w:rFonts w:ascii="Arial" w:cs="Arial" w:eastAsia="Arial" w:hAnsi="Arial"/>
          <w:sz w:val="16"/>
          <w:szCs w:val="16"/>
          <w:color w:val="auto"/>
        </w:rPr>
        <w:t>Kodak is subject to income taxes in the U.S. and in many foreign jurisdictions. Significant judgment is required in determining Kodak’s worldwide provision for income taxes. In the course of its business, there are transactions and calculations where the ultimate tax determination is uncertain. For example, compliance with the Tax Cuts and Jobs Act (“2017 Tax Act”) may require the collection of information not regularly produced within Kodak, the use of provisional estimates in its financial statements, and the exercise of significant judgment in accounting for its provisions. Many aspects of the 2017 Tax Act are unclear and may not be clarified for some time. As regulations and guidance evolve with respect to the 2017 Tax Act, and as Kodak gathers more information and performs more analysis, Kodak’s results may differ from previous estimates and may materially affect our financial position.</w:t>
      </w:r>
    </w:p>
    <w:p>
      <w:pPr>
        <w:spacing w:after="0" w:line="196"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color w:val="auto"/>
        </w:rPr>
        <w:t>Kodak operates within multiple taxing jurisdictions worldwide and is subject to audit in these jurisdictions. These audits can involve complex issues, which may require an extended period of time for resolution. Management’s ongoing assessments of the outcomes of these issues and related tax positions require judgment, and although management believes that adequate provisions have been made for such issues, there is the possibility that the ultimate resolution of such issues could have an adverse effect on the earnings and cash flow of Kodak.</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Kodak’s business, financial position, results of operations, cash flows and reputation may be negatively impacted by legal matters.</w:t>
      </w:r>
    </w:p>
    <w:p>
      <w:pPr>
        <w:spacing w:after="0" w:line="106" w:lineRule="exact"/>
        <w:rPr>
          <w:sz w:val="20"/>
          <w:szCs w:val="20"/>
          <w:color w:val="auto"/>
        </w:rPr>
      </w:pPr>
    </w:p>
    <w:p>
      <w:pPr>
        <w:ind w:right="120"/>
        <w:spacing w:after="0" w:line="280" w:lineRule="auto"/>
        <w:rPr>
          <w:sz w:val="20"/>
          <w:szCs w:val="20"/>
          <w:color w:val="auto"/>
        </w:rPr>
      </w:pPr>
      <w:r>
        <w:rPr>
          <w:rFonts w:ascii="Arial" w:cs="Arial" w:eastAsia="Arial" w:hAnsi="Arial"/>
          <w:sz w:val="15"/>
          <w:szCs w:val="15"/>
          <w:color w:val="auto"/>
        </w:rPr>
        <w:t>Kodak has various contingencies which are not reflected on its balance sheet, including those arising as a result of being involved from time to time in a variety of claims, lawsuits, investigations, remediations and proceedings concerning: commercial, tax, tort, customs, employment, health and safety and intellectual property matters, licensee activities, and compliance with various domestic and international laws and regulations. Should developments in any of these matters cause a change in its determination as to an unfavorable outcome and result in the need to recognize a material accrual, or should any of these matters result in a final adverse judgment or be settled for significant amounts, they could have a material adverse effect on its business, financial position, results of operations, and cash flows.</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62865</wp:posOffset>
            </wp:positionV>
            <wp:extent cx="7301865" cy="406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01865" cy="40640"/>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16" w:name="page17"/>
    <w:bookmarkEnd w:id="16"/>
    <w:p>
      <w:pPr>
        <w:ind w:right="580"/>
        <w:spacing w:after="0" w:line="280" w:lineRule="auto"/>
        <w:rPr>
          <w:sz w:val="20"/>
          <w:szCs w:val="20"/>
          <w:color w:val="auto"/>
        </w:rPr>
      </w:pPr>
      <w:r>
        <w:rPr>
          <w:rFonts w:ascii="Arial" w:cs="Arial" w:eastAsia="Arial" w:hAnsi="Arial"/>
          <w:sz w:val="16"/>
          <w:szCs w:val="16"/>
          <w:b w:val="1"/>
          <w:bCs w:val="1"/>
          <w:i w:val="1"/>
          <w:iCs w:val="1"/>
          <w:color w:val="auto"/>
        </w:rPr>
        <w:t>Regulations related to “conflict minerals” may require Kodak to incur additional expenses and could limit the supply and increase the cost of certain metals used in manufacturing Kodak’s products.</w:t>
      </w:r>
    </w:p>
    <w:p>
      <w:pPr>
        <w:spacing w:after="0" w:line="54" w:lineRule="exact"/>
        <w:rPr>
          <w:sz w:val="20"/>
          <w:szCs w:val="20"/>
          <w:color w:val="auto"/>
        </w:rPr>
      </w:pPr>
    </w:p>
    <w:p>
      <w:pPr>
        <w:ind w:right="20"/>
        <w:spacing w:after="0" w:line="273" w:lineRule="auto"/>
        <w:rPr>
          <w:sz w:val="20"/>
          <w:szCs w:val="20"/>
          <w:color w:val="auto"/>
        </w:rPr>
      </w:pPr>
      <w:r>
        <w:rPr>
          <w:rFonts w:ascii="Arial" w:cs="Arial" w:eastAsia="Arial" w:hAnsi="Arial"/>
          <w:sz w:val="15"/>
          <w:szCs w:val="15"/>
          <w:color w:val="auto"/>
        </w:rPr>
        <w:t>The Dodd-Frank Wall Street Reform and Consumer Protection Act contains provisions to improve transparency and accountability concerning the supply of minerals originating from the conflict zones of the Democratic Republic of Congo (DRC) and adjoining countries. As a result, in August 2012, the SEC adopted rules requiring disclosure related to sourcing of specified minerals, known as “conflict minerals,” which are necessary to the functionality or production of products manufactured or contracted to be manufactured by public companies. Kodak has designed its overall conflict minerals policies and procedures to be consistent with the guidance issued by the Organization for Economic Co-operation and Development (OECD), and continues to perform due diligence on its supply chain. Kodak filed its most recent Conflict Minerals Disclosure report for the reporting period from January 1, 2016 to December 31, 2016 on May 31, 2017. As of the date of the report, Kodak determined certain of its products contain such specified minerals, but was unable to determine whether or not such minerals originate from the DRC or an adjoining country. Kodak may incur additional costs to comply with these disclosure requirements, including costs related to determining the sources of the specified minerals used in its products, in addition to the cost of any changes to products, processes, or sources of supply as a consequence of such verification activities, which may adversely affect its business. In addition, the number of suppliers who provide “conflict-free” minerals may be limited, which may make it difficult to satisfy customers who require all of the components of its products be certified as conflict-free, which could place it at a competitive disadvantage if it is unable to do so. Because Kodak’s supply chain is complex, it may also not be able to sufficiently verify the origins of the relevant minerals used in its products through its due diligence procedures, which may harm its reputation.</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the Company’s Indebtedness and Access to Capital Markets</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There can be no assurance the Company will be able to comply with the terms of its various credit facilities.</w:t>
      </w:r>
    </w:p>
    <w:p>
      <w:pPr>
        <w:spacing w:after="0" w:line="106" w:lineRule="exact"/>
        <w:rPr>
          <w:sz w:val="20"/>
          <w:szCs w:val="20"/>
          <w:color w:val="auto"/>
        </w:rPr>
      </w:pPr>
    </w:p>
    <w:p>
      <w:pPr>
        <w:ind w:right="140"/>
        <w:spacing w:after="0" w:line="256" w:lineRule="auto"/>
        <w:rPr>
          <w:sz w:val="20"/>
          <w:szCs w:val="20"/>
          <w:color w:val="auto"/>
        </w:rPr>
      </w:pPr>
      <w:r>
        <w:rPr>
          <w:rFonts w:ascii="Arial" w:cs="Arial" w:eastAsia="Arial" w:hAnsi="Arial"/>
          <w:sz w:val="16"/>
          <w:szCs w:val="16"/>
          <w:color w:val="auto"/>
        </w:rPr>
        <w:t>A breach of any of the financial or other covenants contained in the Senior Secured First Lien Term Credit Agreement (the “First Lien Term Credit Agreement”) or the Asset Based Revolving Credit Agreement (the “ABL Credit Agreement” and, together with the First Lien Term Credit Agreement, the “Credit Agreements”) could result in an event of default under these facilities. If any event of default occurs and the Company is not able to either cure it or obtain a waiver from the requisite lenders under each of these facilities, the administrative agent of each credit facility may, and at the request of the requisite lenders for that facility must, declare all of the Company’s outstanding obligations under the applicable credit facility, together with accrued interest and fees, to be immediately due and payable and the agent under the ABL Credit Agreement may, and at the request of the requisite lenders must, terminate the lenders’ commitments under that facility and cease making further loans, and if applicable, each respective agent could institute foreclosure proceedings against the pledged assets. Any of these outcomes could adversely affect the Company’s operations and its ability to satisfy its obligations as they come due.</w:t>
      </w:r>
    </w:p>
    <w:p>
      <w:pPr>
        <w:spacing w:after="0" w:line="74"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b w:val="1"/>
          <w:bCs w:val="1"/>
          <w:i w:val="1"/>
          <w:iCs w:val="1"/>
          <w:color w:val="auto"/>
        </w:rPr>
        <w:t>The combination of covenant requirements in the First Lien Term Credit Agreement and Kodak’s on-going investment in growth businesses, and continuing softness and volatility of global economic conditions and foreign currency exchange rates, could make it difficult for the Company to satisfy the leverage covenants under the First Lien Term Credit Agreement on an on-going basis.</w:t>
      </w:r>
    </w:p>
    <w:p>
      <w:pPr>
        <w:spacing w:after="0" w:line="65" w:lineRule="exact"/>
        <w:rPr>
          <w:sz w:val="20"/>
          <w:szCs w:val="20"/>
          <w:color w:val="auto"/>
        </w:rPr>
      </w:pPr>
    </w:p>
    <w:p>
      <w:pPr>
        <w:ind w:right="100"/>
        <w:spacing w:after="0" w:line="257" w:lineRule="auto"/>
        <w:rPr>
          <w:sz w:val="20"/>
          <w:szCs w:val="20"/>
          <w:color w:val="auto"/>
        </w:rPr>
      </w:pPr>
      <w:r>
        <w:rPr>
          <w:rFonts w:ascii="Arial" w:cs="Arial" w:eastAsia="Arial" w:hAnsi="Arial"/>
          <w:sz w:val="16"/>
          <w:szCs w:val="16"/>
          <w:color w:val="auto"/>
        </w:rPr>
        <w:t>The Company is obligated to comply with a number of financial and other covenants contained in the Credit Agreements. Kodak intends to conduct its operations in a manner which will result in continued compliance with the secured leverage ratio covenants under the First Lien Term Credit Agreement; however, compliance for future quarters may depend on Kodak undertaking one or more non-operational transactions, such as a monetization of assets, a debt refinancing, the raising of equity capital, or a similar transaction. If the Company is unable to remain in compliance and does not make alternate arrangements with its term lenders, an event of default would occur under the Credit Agreements which, among other remedies, would entitle the lenders or their agents to declare the outstanding obligations under the Credit Agreements to be immediately due and payable.</w:t>
      </w:r>
    </w:p>
    <w:p>
      <w:pPr>
        <w:spacing w:after="0" w:line="172" w:lineRule="exact"/>
        <w:rPr>
          <w:sz w:val="20"/>
          <w:szCs w:val="20"/>
          <w:color w:val="auto"/>
        </w:rPr>
      </w:pPr>
    </w:p>
    <w:p>
      <w:pPr>
        <w:spacing w:after="0" w:line="280" w:lineRule="auto"/>
        <w:rPr>
          <w:sz w:val="20"/>
          <w:szCs w:val="20"/>
          <w:color w:val="auto"/>
        </w:rPr>
      </w:pPr>
      <w:r>
        <w:rPr>
          <w:rFonts w:ascii="Arial" w:cs="Arial" w:eastAsia="Arial" w:hAnsi="Arial"/>
          <w:sz w:val="16"/>
          <w:szCs w:val="16"/>
          <w:b w:val="1"/>
          <w:bCs w:val="1"/>
          <w:i w:val="1"/>
          <w:iCs w:val="1"/>
          <w:color w:val="auto"/>
        </w:rPr>
        <w:t>The availability of borrowings and letters of credit under the ABL Credit Agreement is limited by the amount of various types of assets and, under certain circumstances, the administrative agent under the ABL Credit Agreement will have greater control over Kodak’s cash.</w:t>
      </w:r>
    </w:p>
    <w:p>
      <w:pPr>
        <w:spacing w:after="0" w:line="54" w:lineRule="exact"/>
        <w:rPr>
          <w:sz w:val="20"/>
          <w:szCs w:val="20"/>
          <w:color w:val="auto"/>
        </w:rPr>
      </w:pPr>
    </w:p>
    <w:p>
      <w:pPr>
        <w:ind w:right="20"/>
        <w:spacing w:after="0" w:line="274" w:lineRule="auto"/>
        <w:rPr>
          <w:sz w:val="20"/>
          <w:szCs w:val="20"/>
          <w:color w:val="auto"/>
        </w:rPr>
      </w:pPr>
      <w:r>
        <w:rPr>
          <w:rFonts w:ascii="Arial" w:cs="Arial" w:eastAsia="Arial" w:hAnsi="Arial"/>
          <w:sz w:val="15"/>
          <w:szCs w:val="15"/>
          <w:color w:val="auto"/>
        </w:rPr>
        <w:t>Availability under the Company’s ABL Credit Agreement is based on the amount of Eligible Receivables, Eligible Inventory, Eligible Machinery and Equipment and Eligible Cash less specified reserves as described in Note 8, “Debt and Capital Leases” to the consolidated financial statements. Kodak’s U.S. Accounts Receivable and Inventory levels have declined over the past four years, and Machinery and Equipment for purposes of the ABL Credit Agreement amortizes down by $1 million per quarter. If Eligible Receivables, Eligible Inventory and Eligible Machinery and Equipment continue to decline and an asset base cannot be maintained to support the $96 million of outstanding letters of credit and the $19 million of Excess Availability required under the ABL Credit Agreement, the Company would be required to increase restricted cash deposited in the Eligible Cash account or remain in compliance with the ABL Credit Agreement’s Fixed Charge Coverage Ratio and operate under cash dominion by the administrative agent under the ABL Credit Agreement. Additional cash deposited in the Eligible Cash account would be classified as restricted cash, would not be available to support ongoing working capital and investment needs and could not be used in determining the Net Secured Leverage Ratio under the First Lien Term Credit Agreement. If the administrative agent under the ABL Credit Agreement executed cash dominion, it would increase operational complexities for the Company. An event of default would occur under these circumstances if neither of these alternatives were achieved.</w:t>
      </w:r>
    </w:p>
    <w:p>
      <w:pPr>
        <w:spacing w:after="0" w:line="61" w:lineRule="exact"/>
        <w:rPr>
          <w:sz w:val="20"/>
          <w:szCs w:val="20"/>
          <w:color w:val="auto"/>
        </w:rPr>
      </w:pPr>
    </w:p>
    <w:p>
      <w:pPr>
        <w:ind w:right="220"/>
        <w:spacing w:after="0" w:line="280" w:lineRule="auto"/>
        <w:rPr>
          <w:sz w:val="20"/>
          <w:szCs w:val="20"/>
          <w:color w:val="auto"/>
        </w:rPr>
      </w:pPr>
      <w:r>
        <w:rPr>
          <w:rFonts w:ascii="Arial" w:cs="Arial" w:eastAsia="Arial" w:hAnsi="Arial"/>
          <w:sz w:val="16"/>
          <w:szCs w:val="16"/>
          <w:b w:val="1"/>
          <w:bCs w:val="1"/>
          <w:i w:val="1"/>
          <w:iCs w:val="1"/>
          <w:color w:val="auto"/>
        </w:rPr>
        <w:t>The Company’s substantial monetary obligations require a portion of its cash flow be used to pay interest, dividends and fund other obligations rather than be invested in the business and could adversely affect its ability to fund its operations.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62865</wp:posOffset>
            </wp:positionV>
            <wp:extent cx="7301865" cy="406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01865" cy="40640"/>
                    </a:xfrm>
                    <a:prstGeom prst="rect">
                      <a:avLst/>
                    </a:prstGeom>
                    <a:noFill/>
                  </pic:spPr>
                </pic:pic>
              </a:graphicData>
            </a:graphic>
          </wp:anchor>
        </w:drawing>
      </w:r>
    </w:p>
    <w:p>
      <w:pPr>
        <w:sectPr>
          <w:pgSz w:w="11900" w:h="16838" w:orient="portrait"/>
          <w:cols w:equalWidth="0" w:num="1">
            <w:col w:w="11440"/>
          </w:cols>
          <w:pgMar w:left="240" w:top="320" w:right="219" w:bottom="1440" w:gutter="0" w:footer="0" w:header="0"/>
        </w:sectPr>
      </w:pPr>
    </w:p>
    <w:bookmarkStart w:id="17" w:name="page18"/>
    <w:bookmarkEnd w:id="17"/>
    <w:p>
      <w:pPr>
        <w:ind w:right="240"/>
        <w:spacing w:after="0" w:line="280" w:lineRule="auto"/>
        <w:rPr>
          <w:sz w:val="20"/>
          <w:szCs w:val="20"/>
          <w:color w:val="auto"/>
        </w:rPr>
      </w:pPr>
      <w:r>
        <w:rPr>
          <w:rFonts w:ascii="Arial" w:cs="Arial" w:eastAsia="Arial" w:hAnsi="Arial"/>
          <w:sz w:val="16"/>
          <w:szCs w:val="16"/>
          <w:color w:val="auto"/>
        </w:rPr>
        <w:t>The Company’s indebtedness under the Credit Agreements and its other obligations including the potential mandatory redemption of the Series A Preferred Stock could have important negative consequences to the Company and investors in its securities. These include the following:</w:t>
      </w:r>
    </w:p>
    <w:p>
      <w:pPr>
        <w:spacing w:after="0" w:line="272" w:lineRule="exact"/>
        <w:rPr>
          <w:sz w:val="20"/>
          <w:szCs w:val="20"/>
          <w:color w:val="auto"/>
        </w:rPr>
      </w:pPr>
    </w:p>
    <w:p>
      <w:pPr>
        <w:ind w:left="800" w:right="3560" w:hanging="404"/>
        <w:spacing w:after="0" w:line="297" w:lineRule="auto"/>
        <w:tabs>
          <w:tab w:leader="none" w:pos="800" w:val="left"/>
        </w:tabs>
        <w:numPr>
          <w:ilvl w:val="0"/>
          <w:numId w:val="23"/>
        </w:numPr>
        <w:rPr>
          <w:rFonts w:ascii="Arial" w:cs="Arial" w:eastAsia="Arial" w:hAnsi="Arial"/>
          <w:sz w:val="14"/>
          <w:szCs w:val="14"/>
          <w:color w:val="auto"/>
        </w:rPr>
      </w:pPr>
      <w:r>
        <w:rPr>
          <w:rFonts w:ascii="Arial" w:cs="Arial" w:eastAsia="Arial" w:hAnsi="Arial"/>
          <w:sz w:val="14"/>
          <w:szCs w:val="14"/>
          <w:color w:val="auto"/>
        </w:rPr>
        <w:t>it may not be able to satisfy all of its obligations, including, but not limited to, its obligations under the Credit Agreements, which may cause a cross-default or cross-acceleration on other debt it may have incurred;</w:t>
      </w:r>
    </w:p>
    <w:p>
      <w:pPr>
        <w:ind w:left="800" w:right="2760" w:hanging="404"/>
        <w:spacing w:after="0" w:line="269" w:lineRule="auto"/>
        <w:tabs>
          <w:tab w:leader="none" w:pos="800" w:val="left"/>
        </w:tabs>
        <w:numPr>
          <w:ilvl w:val="0"/>
          <w:numId w:val="23"/>
        </w:numPr>
        <w:rPr>
          <w:rFonts w:ascii="Arial" w:cs="Arial" w:eastAsia="Arial" w:hAnsi="Arial"/>
          <w:sz w:val="15"/>
          <w:szCs w:val="15"/>
          <w:color w:val="auto"/>
        </w:rPr>
      </w:pPr>
      <w:r>
        <w:rPr>
          <w:rFonts w:ascii="Arial" w:cs="Arial" w:eastAsia="Arial" w:hAnsi="Arial"/>
          <w:sz w:val="15"/>
          <w:szCs w:val="15"/>
          <w:color w:val="auto"/>
        </w:rPr>
        <w:t>it could have difficulties obtaining necessary financing in the future for working capital, capital expenditures, debt service requirements, mandatory redemption of the Series A Preferred Stock, refinancing or other purposes;</w:t>
      </w:r>
    </w:p>
    <w:p>
      <w:pPr>
        <w:ind w:left="800" w:right="2900" w:hanging="404"/>
        <w:spacing w:after="0" w:line="252" w:lineRule="auto"/>
        <w:tabs>
          <w:tab w:leader="none" w:pos="8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it will have to use a significant part of its cash flow or cash balances to make payments on its debt or Series A Preferred Stock and to satisfy the other obligations set forth above, which may reduce the capital available for operations and expansion; and</w:t>
      </w:r>
    </w:p>
    <w:p>
      <w:pPr>
        <w:ind w:left="800" w:hanging="404"/>
        <w:spacing w:after="0"/>
        <w:tabs>
          <w:tab w:leader="none" w:pos="8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adverse economic or industry conditions may have more of a negative impact on it.</w:t>
      </w:r>
    </w:p>
    <w:p>
      <w:pPr>
        <w:spacing w:after="0" w:line="94" w:lineRule="exact"/>
        <w:rPr>
          <w:sz w:val="20"/>
          <w:szCs w:val="20"/>
          <w:color w:val="auto"/>
        </w:rPr>
      </w:pPr>
    </w:p>
    <w:p>
      <w:pPr>
        <w:spacing w:after="0" w:line="292" w:lineRule="auto"/>
        <w:rPr>
          <w:sz w:val="20"/>
          <w:szCs w:val="20"/>
          <w:color w:val="auto"/>
        </w:rPr>
      </w:pPr>
      <w:r>
        <w:rPr>
          <w:rFonts w:ascii="Arial" w:cs="Arial" w:eastAsia="Arial" w:hAnsi="Arial"/>
          <w:sz w:val="15"/>
          <w:szCs w:val="15"/>
          <w:color w:val="auto"/>
        </w:rPr>
        <w:t>The Company cannot be sure cash generated from its business will be as high as it expects or its expenses will not be higher than it expects. Because a portion of its expenses are fixed in any given year, its operating cash flow margins are highly dependent on revenues, which are largely driven by customer demand. A lower amount of cash generated from its business or higher expenses than expected, when coupled with its debt obligations, could adversely affect its ability to fund its operations.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Kodak’s access to the capital markets may be limited.</w:t>
      </w:r>
    </w:p>
    <w:p>
      <w:pPr>
        <w:spacing w:after="0" w:line="106"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auto"/>
        </w:rPr>
        <w:t>Because of Kodak’s current non-investment grade credit ratings, and/or general conditions in the financial and credit markets, its access to the capital markets may be limited. Moreover, the urgency of a capital-raising transaction may require it to pursue additional capital at an inopportune time or unattractive cost. The maturity date of the loans under the First Lien Term Credit Agreement is September 3, 2019, and such loans must be refinanced, repaid or extended by such date. Kodak’s ability to obtain capital and the costs of such capital are dependent on numerous factors, including:</w:t>
      </w:r>
    </w:p>
    <w:p>
      <w:pPr>
        <w:spacing w:after="0" w:line="288" w:lineRule="exact"/>
        <w:rPr>
          <w:sz w:val="20"/>
          <w:szCs w:val="20"/>
          <w:color w:val="auto"/>
        </w:rPr>
      </w:pPr>
    </w:p>
    <w:p>
      <w:pPr>
        <w:ind w:left="820" w:hanging="412"/>
        <w:spacing w:after="0"/>
        <w:tabs>
          <w:tab w:leader="none" w:pos="8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covenants in the Credit Agreements;</w:t>
      </w:r>
    </w:p>
    <w:p>
      <w:pPr>
        <w:spacing w:after="0" w:line="21" w:lineRule="exact"/>
        <w:rPr>
          <w:rFonts w:ascii="Arial" w:cs="Arial" w:eastAsia="Arial" w:hAnsi="Arial"/>
          <w:sz w:val="16"/>
          <w:szCs w:val="16"/>
          <w:color w:val="auto"/>
        </w:rPr>
      </w:pPr>
    </w:p>
    <w:p>
      <w:pPr>
        <w:ind w:left="820" w:right="2680" w:hanging="412"/>
        <w:spacing w:after="0" w:line="252" w:lineRule="auto"/>
        <w:tabs>
          <w:tab w:leader="none" w:pos="8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 xml:space="preserve">obtaining a consent from the holders of Series A Preferred Stock for the issuance of additional preferred shares which rank senior or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to the Series A Preferred Stock;</w:t>
      </w:r>
    </w:p>
    <w:p>
      <w:pPr>
        <w:ind w:left="820" w:hanging="412"/>
        <w:spacing w:after="0"/>
        <w:tabs>
          <w:tab w:leader="none" w:pos="8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investor confidence in Kodak and the markets in which it operates;</w:t>
      </w:r>
    </w:p>
    <w:p>
      <w:pPr>
        <w:spacing w:after="0" w:line="21" w:lineRule="exact"/>
        <w:rPr>
          <w:rFonts w:ascii="Arial" w:cs="Arial" w:eastAsia="Arial" w:hAnsi="Arial"/>
          <w:sz w:val="16"/>
          <w:szCs w:val="16"/>
          <w:color w:val="auto"/>
        </w:rPr>
      </w:pPr>
    </w:p>
    <w:p>
      <w:pPr>
        <w:ind w:left="820" w:hanging="412"/>
        <w:spacing w:after="0"/>
        <w:tabs>
          <w:tab w:leader="none" w:pos="8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its financial performance and the financial performance of its subsidiaries;</w:t>
      </w:r>
    </w:p>
    <w:p>
      <w:pPr>
        <w:spacing w:after="0" w:line="9" w:lineRule="exact"/>
        <w:rPr>
          <w:rFonts w:ascii="Arial" w:cs="Arial" w:eastAsia="Arial" w:hAnsi="Arial"/>
          <w:sz w:val="16"/>
          <w:szCs w:val="16"/>
          <w:color w:val="auto"/>
        </w:rPr>
      </w:pPr>
    </w:p>
    <w:p>
      <w:pPr>
        <w:ind w:left="820" w:right="3060" w:hanging="412"/>
        <w:spacing w:after="0" w:line="252" w:lineRule="auto"/>
        <w:tabs>
          <w:tab w:leader="none" w:pos="8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its levels of debt and redemption obligations, including the mandatory redemption of the Series A Preferred Stock on November 15, 2021;</w:t>
      </w:r>
    </w:p>
    <w:p>
      <w:pPr>
        <w:ind w:left="820" w:hanging="412"/>
        <w:spacing w:after="0"/>
        <w:tabs>
          <w:tab w:leader="none" w:pos="8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its ability to generate positive cash flow;</w:t>
      </w:r>
    </w:p>
    <w:p>
      <w:pPr>
        <w:spacing w:after="0" w:line="9" w:lineRule="exact"/>
        <w:rPr>
          <w:rFonts w:ascii="Arial" w:cs="Arial" w:eastAsia="Arial" w:hAnsi="Arial"/>
          <w:sz w:val="16"/>
          <w:szCs w:val="16"/>
          <w:color w:val="auto"/>
        </w:rPr>
      </w:pPr>
    </w:p>
    <w:p>
      <w:pPr>
        <w:ind w:left="820" w:hanging="412"/>
        <w:spacing w:after="0"/>
        <w:tabs>
          <w:tab w:leader="none" w:pos="8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its requirements for posting collateral under various commercial agreements;</w:t>
      </w:r>
    </w:p>
    <w:p>
      <w:pPr>
        <w:spacing w:after="0" w:line="9" w:lineRule="exact"/>
        <w:rPr>
          <w:rFonts w:ascii="Arial" w:cs="Arial" w:eastAsia="Arial" w:hAnsi="Arial"/>
          <w:sz w:val="16"/>
          <w:szCs w:val="16"/>
          <w:color w:val="auto"/>
        </w:rPr>
      </w:pPr>
    </w:p>
    <w:p>
      <w:pPr>
        <w:ind w:left="820" w:hanging="412"/>
        <w:spacing w:after="0"/>
        <w:tabs>
          <w:tab w:leader="none" w:pos="8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its credit ratings;</w:t>
      </w:r>
    </w:p>
    <w:p>
      <w:pPr>
        <w:spacing w:after="0" w:line="9" w:lineRule="exact"/>
        <w:rPr>
          <w:rFonts w:ascii="Arial" w:cs="Arial" w:eastAsia="Arial" w:hAnsi="Arial"/>
          <w:sz w:val="16"/>
          <w:szCs w:val="16"/>
          <w:color w:val="auto"/>
        </w:rPr>
      </w:pPr>
    </w:p>
    <w:p>
      <w:pPr>
        <w:ind w:left="820" w:hanging="412"/>
        <w:spacing w:after="0"/>
        <w:tabs>
          <w:tab w:leader="none" w:pos="8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its cash flow;</w:t>
      </w:r>
    </w:p>
    <w:p>
      <w:pPr>
        <w:spacing w:after="0" w:line="21" w:lineRule="exact"/>
        <w:rPr>
          <w:rFonts w:ascii="Arial" w:cs="Arial" w:eastAsia="Arial" w:hAnsi="Arial"/>
          <w:sz w:val="16"/>
          <w:szCs w:val="16"/>
          <w:color w:val="auto"/>
        </w:rPr>
      </w:pPr>
    </w:p>
    <w:p>
      <w:pPr>
        <w:ind w:left="820" w:hanging="412"/>
        <w:spacing w:after="0"/>
        <w:tabs>
          <w:tab w:leader="none" w:pos="8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its long-term business prospects; and</w:t>
      </w:r>
    </w:p>
    <w:p>
      <w:pPr>
        <w:spacing w:after="0" w:line="9" w:lineRule="exact"/>
        <w:rPr>
          <w:rFonts w:ascii="Arial" w:cs="Arial" w:eastAsia="Arial" w:hAnsi="Arial"/>
          <w:sz w:val="16"/>
          <w:szCs w:val="16"/>
          <w:color w:val="auto"/>
        </w:rPr>
      </w:pPr>
    </w:p>
    <w:p>
      <w:pPr>
        <w:ind w:left="820" w:hanging="412"/>
        <w:spacing w:after="0"/>
        <w:tabs>
          <w:tab w:leader="none" w:pos="8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general economic and capital market conditions.</w:t>
      </w:r>
    </w:p>
    <w:p>
      <w:pPr>
        <w:spacing w:after="0" w:line="106" w:lineRule="exact"/>
        <w:rPr>
          <w:sz w:val="20"/>
          <w:szCs w:val="20"/>
          <w:color w:val="auto"/>
        </w:rPr>
      </w:pPr>
    </w:p>
    <w:p>
      <w:pPr>
        <w:ind w:right="280"/>
        <w:spacing w:after="0" w:line="280" w:lineRule="auto"/>
        <w:rPr>
          <w:sz w:val="20"/>
          <w:szCs w:val="20"/>
          <w:color w:val="auto"/>
        </w:rPr>
      </w:pPr>
      <w:r>
        <w:rPr>
          <w:rFonts w:ascii="Arial" w:cs="Arial" w:eastAsia="Arial" w:hAnsi="Arial"/>
          <w:sz w:val="16"/>
          <w:szCs w:val="16"/>
          <w:color w:val="auto"/>
        </w:rPr>
        <w:t>Kodak may not be successful in obtaining additional capital for these or other reasons. An inability to access capital may limit its ability to meet its operating needs and, as a result, may have a material adverse effect on its financial condition, results of operations and cash flows.</w:t>
      </w:r>
    </w:p>
    <w:p>
      <w:pPr>
        <w:spacing w:after="0" w:line="151" w:lineRule="exact"/>
        <w:rPr>
          <w:sz w:val="20"/>
          <w:szCs w:val="20"/>
          <w:color w:val="auto"/>
        </w:rPr>
      </w:pPr>
    </w:p>
    <w:p>
      <w:pPr>
        <w:ind w:right="360"/>
        <w:spacing w:after="0" w:line="280" w:lineRule="auto"/>
        <w:rPr>
          <w:sz w:val="20"/>
          <w:szCs w:val="20"/>
          <w:color w:val="auto"/>
        </w:rPr>
      </w:pPr>
      <w:r>
        <w:rPr>
          <w:rFonts w:ascii="Arial" w:cs="Arial" w:eastAsia="Arial" w:hAnsi="Arial"/>
          <w:sz w:val="16"/>
          <w:szCs w:val="16"/>
          <w:b w:val="1"/>
          <w:bCs w:val="1"/>
          <w:i w:val="1"/>
          <w:iCs w:val="1"/>
          <w:color w:val="auto"/>
        </w:rPr>
        <w:t>The current non-investment grade status may adversely impact Kodak’s commercial operations, increase its liquidity requirements and increase the cost of refinancing opportunities. It may not have adequate liquidity to post required amounts of additional collateral.</w:t>
      </w:r>
    </w:p>
    <w:p>
      <w:pPr>
        <w:spacing w:after="0" w:line="54"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The Company’s corporate family credit rating is currently below investment grade and there are no assurances its credit ratings will improve, or they will not decline, in the future. Its credit ratings may affect the evaluation of its creditworthiness by trading counterparties and lenders, which could put it at a disadvantage to competitors with higher or investment grade ratings.</w:t>
      </w:r>
    </w:p>
    <w:p>
      <w:pPr>
        <w:spacing w:after="0" w:line="65" w:lineRule="exact"/>
        <w:rPr>
          <w:sz w:val="20"/>
          <w:szCs w:val="20"/>
          <w:color w:val="auto"/>
        </w:rPr>
      </w:pPr>
    </w:p>
    <w:p>
      <w:pPr>
        <w:ind w:right="20"/>
        <w:spacing w:after="0" w:line="301" w:lineRule="auto"/>
        <w:rPr>
          <w:sz w:val="20"/>
          <w:szCs w:val="20"/>
          <w:color w:val="auto"/>
        </w:rPr>
      </w:pPr>
      <w:r>
        <w:rPr>
          <w:rFonts w:ascii="Arial" w:cs="Arial" w:eastAsia="Arial" w:hAnsi="Arial"/>
          <w:sz w:val="14"/>
          <w:szCs w:val="14"/>
          <w:color w:val="auto"/>
        </w:rPr>
        <w:t>In carrying out its commercial business strategy, the current non-investment grade credit ratings have resulted and will likely continue to result in requirements that Kodak either prepay obligations or post significant amounts of collateral to support its business. Additionally, the current non-investment grade credit ratings may limit its ability to obtain additional sources of liquidity, refinance its debt obligations, including any mandatory redemption of its Series A Preferred Stock, or access the capital markets at the lower borrowing costs which would presumably be available to competitors with higher or investment grade ratings. Should its ratings continue at their current levels, or should its ratings be further downgraded, it would expect these negative effects to continue and, in the case of a downgrade, become more pronounced. In particular, if the Company’s credit ratings were to decline it would be required to provide up to $19 million of letters of credit to the issuers of certain surety bonds to fully collateralize such bonds.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62865</wp:posOffset>
            </wp:positionV>
            <wp:extent cx="7301865" cy="406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01865" cy="40640"/>
                    </a:xfrm>
                    <a:prstGeom prst="rect">
                      <a:avLst/>
                    </a:prstGeom>
                    <a:noFill/>
                  </pic:spPr>
                </pic:pic>
              </a:graphicData>
            </a:graphic>
          </wp:anchor>
        </w:drawing>
      </w:r>
    </w:p>
    <w:p>
      <w:pPr>
        <w:sectPr>
          <w:pgSz w:w="11900" w:h="16838" w:orient="portrait"/>
          <w:cols w:equalWidth="0" w:num="1">
            <w:col w:w="11420"/>
          </w:cols>
          <w:pgMar w:left="240" w:top="224" w:right="239" w:bottom="1440" w:gutter="0" w:footer="0" w:header="0"/>
        </w:sectPr>
      </w:pPr>
    </w:p>
    <w:bookmarkStart w:id="18" w:name="page19"/>
    <w:bookmarkEnd w:id="18"/>
    <w:p>
      <w:pPr>
        <w:spacing w:after="0"/>
        <w:rPr>
          <w:sz w:val="20"/>
          <w:szCs w:val="20"/>
          <w:color w:val="auto"/>
        </w:rPr>
      </w:pPr>
      <w:r>
        <w:rPr>
          <w:rFonts w:ascii="Arial" w:cs="Arial" w:eastAsia="Arial" w:hAnsi="Arial"/>
          <w:sz w:val="16"/>
          <w:szCs w:val="16"/>
          <w:b w:val="1"/>
          <w:bCs w:val="1"/>
          <w:color w:val="auto"/>
        </w:rPr>
        <w:t>Risks Related to the Company’s Common Stock</w:t>
      </w:r>
    </w:p>
    <w:p>
      <w:pPr>
        <w:spacing w:after="0" w:line="207" w:lineRule="exact"/>
        <w:rPr>
          <w:sz w:val="20"/>
          <w:szCs w:val="20"/>
          <w:color w:val="auto"/>
        </w:rPr>
      </w:pPr>
    </w:p>
    <w:p>
      <w:pPr>
        <w:ind w:right="440"/>
        <w:spacing w:after="0" w:line="280" w:lineRule="auto"/>
        <w:rPr>
          <w:sz w:val="20"/>
          <w:szCs w:val="20"/>
          <w:color w:val="auto"/>
        </w:rPr>
      </w:pPr>
      <w:r>
        <w:rPr>
          <w:rFonts w:ascii="Arial" w:cs="Arial" w:eastAsia="Arial" w:hAnsi="Arial"/>
          <w:sz w:val="16"/>
          <w:szCs w:val="16"/>
          <w:b w:val="1"/>
          <w:bCs w:val="1"/>
          <w:i w:val="1"/>
          <w:iCs w:val="1"/>
          <w:color w:val="auto"/>
        </w:rPr>
        <w:t>The conversion of the Company’s Series A Preferred Stock into shares of the Company’s common stock may dilute the value for the current holders of the Company’s common stock.</w:t>
      </w:r>
    </w:p>
    <w:p>
      <w:pPr>
        <w:spacing w:after="0" w:line="54"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The 2,000,000 outstanding shares of the Company’s Series A Preferred Stock are convertible into shares of the Company’s common stock at a conversion rate of 5.7471 shares of common stock per share of Series A Preferred Stock. As a result of the conversion of any issued and outstanding Series A Preferred Stock, the Company’s existing shareholders will own a smaller percentage of its outstanding common stock. Based on the capitalization of the Company as of March 1, 2018, the conversion of all shares of the Series A Preferred Stock would result in the issuance to holders thereof of approximately 21% of the outstanding common stock after giving effect to such conversion. Further, additional shares of common stock may be issuable pursuant to certain other features of the Series A Preferred Stock, with such issuances being further dilutive to existing holders of common stock.</w:t>
      </w:r>
    </w:p>
    <w:p>
      <w:pPr>
        <w:spacing w:after="0" w:line="75"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If Series A Preferred Stock is converted into common stock, holders of such converted common stock will be entitled to the same dividend and distribution rights as holders of the common stock currently authorized and outstanding. As such, another dilutive effect resulting from the conversion of any issued and outstanding shares of Series A Preferred Stock will be a dilution to dividends and distributions.</w:t>
      </w:r>
    </w:p>
    <w:p>
      <w:pPr>
        <w:spacing w:after="0" w:line="65" w:lineRule="exact"/>
        <w:rPr>
          <w:sz w:val="20"/>
          <w:szCs w:val="20"/>
          <w:color w:val="auto"/>
        </w:rPr>
      </w:pPr>
    </w:p>
    <w:p>
      <w:pPr>
        <w:ind w:right="60"/>
        <w:spacing w:after="0" w:line="292" w:lineRule="auto"/>
        <w:rPr>
          <w:sz w:val="20"/>
          <w:szCs w:val="20"/>
          <w:color w:val="auto"/>
        </w:rPr>
      </w:pPr>
      <w:r>
        <w:rPr>
          <w:rFonts w:ascii="Arial" w:cs="Arial" w:eastAsia="Arial" w:hAnsi="Arial"/>
          <w:sz w:val="15"/>
          <w:szCs w:val="15"/>
          <w:color w:val="auto"/>
        </w:rPr>
        <w:t>Holders of the Company’s common stock will not realize any dilution in their ownership, dividend or distribution rights solely as a result of the reservation of any shares of common stock for issuance upon conversion of the Series A Preferred Stock or for issuance of additional shares of common stock pursuant to certain other features of the Series A Preferred Stock, but will experience such dilution to the extent additional shares of common stock are issued in the future as described above.</w:t>
      </w:r>
    </w:p>
    <w:p>
      <w:pPr>
        <w:spacing w:after="0" w:line="144" w:lineRule="exact"/>
        <w:rPr>
          <w:sz w:val="20"/>
          <w:szCs w:val="20"/>
          <w:color w:val="auto"/>
        </w:rPr>
      </w:pPr>
    </w:p>
    <w:p>
      <w:pPr>
        <w:ind w:right="40"/>
        <w:spacing w:after="0" w:line="315" w:lineRule="auto"/>
        <w:rPr>
          <w:sz w:val="20"/>
          <w:szCs w:val="20"/>
          <w:color w:val="auto"/>
        </w:rPr>
      </w:pPr>
      <w:r>
        <w:rPr>
          <w:rFonts w:ascii="Arial" w:cs="Arial" w:eastAsia="Arial" w:hAnsi="Arial"/>
          <w:sz w:val="15"/>
          <w:szCs w:val="15"/>
          <w:b w:val="1"/>
          <w:bCs w:val="1"/>
          <w:i w:val="1"/>
          <w:iCs w:val="1"/>
          <w:color w:val="auto"/>
        </w:rPr>
        <w:t>The holders of the Company’s Series A Preferred Stock own a large portion of the voting power of the Company’s outstanding securities and have the right to nominate two members to the Company’s Board. As a result, these holders may influence the composition of the Board and future actions taken by the Board.</w:t>
      </w:r>
    </w:p>
    <w:p>
      <w:pPr>
        <w:spacing w:after="0" w:line="31" w:lineRule="exact"/>
        <w:rPr>
          <w:sz w:val="20"/>
          <w:szCs w:val="20"/>
          <w:color w:val="auto"/>
        </w:rPr>
      </w:pPr>
    </w:p>
    <w:p>
      <w:pPr>
        <w:ind w:right="100"/>
        <w:spacing w:after="0" w:line="304" w:lineRule="auto"/>
        <w:rPr>
          <w:sz w:val="20"/>
          <w:szCs w:val="20"/>
          <w:color w:val="auto"/>
        </w:rPr>
      </w:pPr>
      <w:r>
        <w:rPr>
          <w:rFonts w:ascii="Arial" w:cs="Arial" w:eastAsia="Arial" w:hAnsi="Arial"/>
          <w:sz w:val="14"/>
          <w:szCs w:val="14"/>
          <w:color w:val="auto"/>
        </w:rPr>
        <w:t>The holders of the Company’s Series A Preferred Stock are entitled to vote upon all matters upon which holders of the Company’s common stock have the right to vote and are entitled to the number of votes equal to the number of full shares of common stock into which such shares of Series A Preferred Stock could be converted at the then applicable conversion rate. These holders currently hold approximately 30% of the voting power of the Company on an as-converted basis. As a result, these holders may have the ability to influence future actions by the Company requiring shareholder approval. The Company and these holders are parties to a Shareholder Agreement that contains certain restrictions on disposition or acquisition of Company securities and other actions by these holders, some of which restrictions will expire on April 17, 2020.</w:t>
      </w:r>
    </w:p>
    <w:p>
      <w:pPr>
        <w:spacing w:after="0" w:line="44" w:lineRule="exact"/>
        <w:rPr>
          <w:sz w:val="20"/>
          <w:szCs w:val="20"/>
          <w:color w:val="auto"/>
        </w:rPr>
      </w:pPr>
    </w:p>
    <w:p>
      <w:pPr>
        <w:ind w:right="20"/>
        <w:spacing w:after="0" w:line="273" w:lineRule="auto"/>
        <w:rPr>
          <w:sz w:val="20"/>
          <w:szCs w:val="20"/>
          <w:color w:val="auto"/>
        </w:rPr>
      </w:pPr>
      <w:r>
        <w:rPr>
          <w:rFonts w:ascii="Arial" w:cs="Arial" w:eastAsia="Arial" w:hAnsi="Arial"/>
          <w:sz w:val="15"/>
          <w:szCs w:val="15"/>
          <w:color w:val="auto"/>
        </w:rPr>
        <w:t>Further, for as long as they hold any shares of Series A Preferred Stock, the current holders of the Series A Preferred Stock are entitled to nominate for election (collectively and not individually) at the Company’s annual meeting of shareholders a number of directors to the board of directors of the Company (the “Board”) commensurate with their ownership percentage of common stock on an as-converted basis. Two of the Company’s current Board members were nominated by these current holders, who also have the right to fill vacancies on the Board created by one of their nominees ceasing to serve on the Board. The nomination and other rights regarding the Board granted to the current holders of Series A Preferred Stock are not transferrable to any other person. Also, whenever dividends on the Series A Preferred Stock are in arrears for six or more dividend periods, the holders of Series A Preferred Stock (voting with holders of all other classes of preferred stock of the Company whose voting rights are then exercisable) are entitled to vote for the election of two additional directors at the Company’s next annual meeting and all subsequent meetings until all accumulated dividends on such Series A Preferred Stock and other voting preferred stock have been paid or set aside (during which time the number of directors the current holders of Series A Preferred Stock are entitled to nominate under the Purchase Agreement will be reduced by two). As a result, the presence of directors on the Board nominated by the current holders of Series A Preferred Stock or elected by the holders of Series A Preferred Stock would enable such current holders or the holders of Series A Preferred Stock to influence the composition of the Board and, in turn, potentially influence and impact future actions taken by the Board.</w:t>
      </w:r>
    </w:p>
    <w:p>
      <w:pPr>
        <w:spacing w:after="0" w:line="163" w:lineRule="exact"/>
        <w:rPr>
          <w:sz w:val="20"/>
          <w:szCs w:val="20"/>
          <w:color w:val="auto"/>
        </w:rPr>
      </w:pPr>
    </w:p>
    <w:p>
      <w:pPr>
        <w:ind w:right="160"/>
        <w:spacing w:after="0" w:line="280" w:lineRule="auto"/>
        <w:rPr>
          <w:sz w:val="20"/>
          <w:szCs w:val="20"/>
          <w:color w:val="auto"/>
        </w:rPr>
      </w:pPr>
      <w:r>
        <w:rPr>
          <w:rFonts w:ascii="Arial" w:cs="Arial" w:eastAsia="Arial" w:hAnsi="Arial"/>
          <w:sz w:val="16"/>
          <w:szCs w:val="16"/>
          <w:b w:val="1"/>
          <w:bCs w:val="1"/>
          <w:i w:val="1"/>
          <w:iCs w:val="1"/>
          <w:color w:val="auto"/>
        </w:rPr>
        <w:t>The Company has registered the resale of a large portion of its outstanding securities. The resale of the Company’s common stock, or the perception that such resale may occur, may adversely affect the price of its common stock.</w:t>
      </w:r>
    </w:p>
    <w:p>
      <w:pPr>
        <w:spacing w:after="0" w:line="54"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In compliance with two Registration Rights Agreements to which the Company is a party, it has registered the resale of an aggregate of 20,723,050 shares of outstanding common stock, 2,000,000 shares of outstanding Series A Preferred Stock, 11,494,200 shares of common stock, subject to anti-dilution adjustments, issuable upon the conversion of outstanding Series A Preferred Stock, and 863,804 shares of common stock issuable upon the exercise of outstanding warrants. The resale of a substantial number of shares of common stock in the public market, or the perception that such resale might occur, could cause the market price of the Company’s common stock to decline. Under the terms of the Registration Rights Agreements to which the Company is subject, the counterparties to such Registration Rights Agreements can, in certain circumstances, require the Company to participate in an underwritten public offering of the registered securities. Any shares sold in a registered resale will be freely tradable without restriction under the Securities Act. While the Company cannot predict the size of future resales or distributions of its common stock, if there is a perception that such resales or distributions could occur, or if the holders of the Company’s securities registered for resale sell a large number of the registered securities, the market price for the Company’s common stock could be adversely affected.</w:t>
      </w:r>
    </w:p>
    <w:p>
      <w:pPr>
        <w:spacing w:after="0" w:line="78" w:lineRule="exact"/>
        <w:rPr>
          <w:sz w:val="20"/>
          <w:szCs w:val="20"/>
          <w:color w:val="auto"/>
        </w:rPr>
      </w:pPr>
    </w:p>
    <w:p>
      <w:pPr>
        <w:ind w:right="580"/>
        <w:spacing w:after="0" w:line="280" w:lineRule="auto"/>
        <w:rPr>
          <w:sz w:val="20"/>
          <w:szCs w:val="20"/>
          <w:color w:val="auto"/>
        </w:rPr>
      </w:pPr>
      <w:r>
        <w:rPr>
          <w:rFonts w:ascii="Arial" w:cs="Arial" w:eastAsia="Arial" w:hAnsi="Arial"/>
          <w:sz w:val="16"/>
          <w:szCs w:val="16"/>
          <w:b w:val="1"/>
          <w:bCs w:val="1"/>
          <w:i w:val="1"/>
          <w:iCs w:val="1"/>
          <w:color w:val="auto"/>
        </w:rPr>
        <w:t>The resale of a significant portion of the Company’s securities registered for resale could result in a change of control of the Company and the loss of favorable tax attributes.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62865</wp:posOffset>
            </wp:positionV>
            <wp:extent cx="7301865" cy="406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01865" cy="40640"/>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19" w:name="page20"/>
    <w:bookmarkEnd w:id="19"/>
    <w:p>
      <w:pPr>
        <w:spacing w:after="0" w:line="274" w:lineRule="auto"/>
        <w:rPr>
          <w:sz w:val="20"/>
          <w:szCs w:val="20"/>
          <w:color w:val="auto"/>
        </w:rPr>
      </w:pPr>
      <w:r>
        <w:rPr>
          <w:rFonts w:ascii="Arial" w:cs="Arial" w:eastAsia="Arial" w:hAnsi="Arial"/>
          <w:sz w:val="15"/>
          <w:szCs w:val="15"/>
          <w:color w:val="auto"/>
        </w:rPr>
        <w:t>The Company has registered the resale of securities representing approximately 60% of its outstanding shares of common stock assuming the issuance of all common stock issuable upon the conversion of the Series A Preferred Stock or the exercise of the warrants corresponding to shares of common stock registered for resale. Although the holders of the subject securities consist of several unaffiliated groups, these holders collectively have a controlling influence over all matters presented to the Company’s shareholders for approval, including election of members to the Board and change of control transactions. In addition, the holders of subject securities collectively would be able to cause a change of control of the Company by selling a sufficient portion of the Company’s securities held by them. If such a transaction, in combination with other transactions including the issuance of the Series A Preferred Stock, were to result in an “ownership change” as determined under Section 382 of the Internal Revenue Code of 1986, as amended, then the Company’s ability to offset taxable income with tax attributes generated prior to the ownership change date could be limited, possibly substantially. For more information on the Company’s tax attributes refer to Note 14, “Income Taxes”. The interests of the holders of the securities registered for resale may not always coincide with the interests of the other holders of our common stock.</w:t>
      </w:r>
    </w:p>
    <w:p>
      <w:pPr>
        <w:spacing w:after="0" w:line="6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market price of the Company’s common stock may be volatile and such volatility may be affected by the volatility of blockchain and cryptocurrency markets.</w:t>
      </w:r>
    </w:p>
    <w:p>
      <w:pPr>
        <w:spacing w:after="0" w:line="129"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The trading price of the Company’s common stock may be highly volatile and could be subject to wide fluctuations in response to various factors, including the risk factors described above and other factors which are beyond Kodak’s control. The trading price of the Company’s common stock has been dramatically affected by the announcement of the license granted by Kodak to WENN Digital, Inc. (“WENN”) to use Kodak’s brand in connection with WENN’s KODAKOne blockchain-based image rights management platform and Kodak-branded cryptocurrency. Kodak may, in the future, have other involvement relating to blockchain technology or cryptocurrency, either directly or as a licensor. Kodak cannot predict whether, or the extent to which, the trading price of the Company’s common stock will continue to be affected by blockchain or cryptocurrency markets and any volatility in such markets.</w:t>
      </w:r>
    </w:p>
    <w:p>
      <w:pPr>
        <w:spacing w:after="0" w:line="168" w:lineRule="exact"/>
        <w:rPr>
          <w:sz w:val="20"/>
          <w:szCs w:val="20"/>
          <w:color w:val="auto"/>
        </w:rPr>
      </w:pPr>
    </w:p>
    <w:p>
      <w:pPr>
        <w:spacing w:after="0"/>
        <w:tabs>
          <w:tab w:leader="none" w:pos="1260" w:val="left"/>
        </w:tabs>
        <w:rPr>
          <w:sz w:val="20"/>
          <w:szCs w:val="20"/>
          <w:color w:val="auto"/>
        </w:rPr>
      </w:pPr>
      <w:r>
        <w:rPr>
          <w:rFonts w:ascii="Arial" w:cs="Arial" w:eastAsia="Arial" w:hAnsi="Arial"/>
          <w:sz w:val="16"/>
          <w:szCs w:val="16"/>
          <w:b w:val="1"/>
          <w:bCs w:val="1"/>
          <w:color w:val="auto"/>
        </w:rPr>
        <w:t>ITEM 1B.</w:t>
      </w:r>
      <w:r>
        <w:rPr>
          <w:sz w:val="20"/>
          <w:szCs w:val="20"/>
          <w:color w:val="auto"/>
        </w:rPr>
        <w:tab/>
      </w:r>
      <w:r>
        <w:rPr>
          <w:rFonts w:ascii="Arial" w:cs="Arial" w:eastAsia="Arial" w:hAnsi="Arial"/>
          <w:sz w:val="15"/>
          <w:szCs w:val="15"/>
          <w:b w:val="1"/>
          <w:bCs w:val="1"/>
          <w:color w:val="auto"/>
        </w:rPr>
        <w:t>UNRESOLVED STAFF COMMENTS</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199" w:lineRule="exact"/>
        <w:rPr>
          <w:sz w:val="20"/>
          <w:szCs w:val="20"/>
          <w:color w:val="auto"/>
        </w:rPr>
      </w:pPr>
    </w:p>
    <w:p>
      <w:pPr>
        <w:spacing w:after="0"/>
        <w:tabs>
          <w:tab w:leader="none" w:pos="1000" w:val="left"/>
        </w:tabs>
        <w:rPr>
          <w:sz w:val="20"/>
          <w:szCs w:val="20"/>
          <w:color w:val="auto"/>
        </w:rPr>
      </w:pPr>
      <w:r>
        <w:rPr>
          <w:rFonts w:ascii="Arial" w:cs="Arial" w:eastAsia="Arial" w:hAnsi="Arial"/>
          <w:sz w:val="16"/>
          <w:szCs w:val="16"/>
          <w:b w:val="1"/>
          <w:bCs w:val="1"/>
          <w:color w:val="auto"/>
        </w:rPr>
        <w:t>ITEM 2.</w:t>
      </w:r>
      <w:r>
        <w:rPr>
          <w:sz w:val="20"/>
          <w:szCs w:val="20"/>
          <w:color w:val="auto"/>
        </w:rPr>
        <w:tab/>
      </w:r>
      <w:r>
        <w:rPr>
          <w:rFonts w:ascii="Arial" w:cs="Arial" w:eastAsia="Arial" w:hAnsi="Arial"/>
          <w:sz w:val="15"/>
          <w:szCs w:val="15"/>
          <w:b w:val="1"/>
          <w:bCs w:val="1"/>
          <w:color w:val="auto"/>
        </w:rPr>
        <w:t>PROPERTIES</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Kodak's worldwide headquarters is located in Rochester, New York.</w:t>
      </w:r>
    </w:p>
    <w:p>
      <w:pPr>
        <w:spacing w:after="0" w:line="227" w:lineRule="exact"/>
        <w:rPr>
          <w:sz w:val="20"/>
          <w:szCs w:val="20"/>
          <w:color w:val="auto"/>
        </w:rPr>
      </w:pPr>
    </w:p>
    <w:p>
      <w:pPr>
        <w:ind w:right="240"/>
        <w:spacing w:after="0" w:line="315" w:lineRule="auto"/>
        <w:rPr>
          <w:sz w:val="20"/>
          <w:szCs w:val="20"/>
          <w:color w:val="auto"/>
        </w:rPr>
      </w:pPr>
      <w:r>
        <w:rPr>
          <w:rFonts w:ascii="Arial" w:cs="Arial" w:eastAsia="Arial" w:hAnsi="Arial"/>
          <w:sz w:val="15"/>
          <w:szCs w:val="15"/>
          <w:color w:val="auto"/>
        </w:rPr>
        <w:t>Kodak owns 14 million square feet and leased, as lessee, 3 million square feet of administrative, research and development, manufacturing and marketing facilities in various parts of the world and leased, as lessor, 3 million square feet of owned property to third parties. The leases are for various periods and are generally renewable.</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The location of Kodak’s manufacturing facilities, by segment, are listed below. Properties in a location may be shared by all segments operating in that location.</w:t>
      </w:r>
    </w:p>
    <w:p>
      <w:pPr>
        <w:spacing w:after="0" w:line="239" w:lineRule="exact"/>
        <w:rPr>
          <w:sz w:val="20"/>
          <w:szCs w:val="20"/>
          <w:color w:val="auto"/>
        </w:rPr>
      </w:pPr>
    </w:p>
    <w:tbl>
      <w:tblPr>
        <w:tblLayout w:type="fixed"/>
        <w:tblInd w:w="1860" w:type="dxa"/>
        <w:tblCellMar>
          <w:top w:w="0" w:type="dxa"/>
          <w:left w:w="0" w:type="dxa"/>
          <w:bottom w:w="0" w:type="dxa"/>
          <w:right w:w="0" w:type="dxa"/>
        </w:tblCellMar>
      </w:tblPr>
      <w:tr>
        <w:trPr>
          <w:trHeight w:val="205"/>
        </w:trPr>
        <w:tc>
          <w:tcPr>
            <w:tcW w:w="2080" w:type="dxa"/>
            <w:vAlign w:val="bottom"/>
          </w:tcPr>
          <w:p>
            <w:pPr>
              <w:jc w:val="center"/>
              <w:ind w:right="39"/>
              <w:spacing w:after="0"/>
              <w:rPr>
                <w:sz w:val="20"/>
                <w:szCs w:val="20"/>
                <w:color w:val="auto"/>
              </w:rPr>
            </w:pPr>
            <w:r>
              <w:rPr>
                <w:rFonts w:ascii="Arial" w:cs="Arial" w:eastAsia="Arial" w:hAnsi="Arial"/>
                <w:sz w:val="16"/>
                <w:szCs w:val="16"/>
                <w:b w:val="1"/>
                <w:bCs w:val="1"/>
                <w:i w:val="1"/>
                <w:iCs w:val="1"/>
                <w:color w:val="auto"/>
                <w:w w:val="89"/>
              </w:rPr>
              <w:t>Flexographic Packaging</w:t>
            </w:r>
          </w:p>
        </w:tc>
        <w:tc>
          <w:tcPr>
            <w:tcW w:w="3760" w:type="dxa"/>
            <w:vAlign w:val="bottom"/>
          </w:tcPr>
          <w:p>
            <w:pPr>
              <w:jc w:val="center"/>
              <w:ind w:left="419"/>
              <w:spacing w:after="0"/>
              <w:rPr>
                <w:sz w:val="20"/>
                <w:szCs w:val="20"/>
                <w:color w:val="auto"/>
              </w:rPr>
            </w:pPr>
            <w:r>
              <w:rPr>
                <w:rFonts w:ascii="Arial" w:cs="Arial" w:eastAsia="Arial" w:hAnsi="Arial"/>
                <w:sz w:val="16"/>
                <w:szCs w:val="16"/>
                <w:b w:val="1"/>
                <w:bCs w:val="1"/>
                <w:i w:val="1"/>
                <w:iCs w:val="1"/>
                <w:color w:val="auto"/>
                <w:w w:val="84"/>
              </w:rPr>
              <w:t>Print Systems</w:t>
            </w:r>
          </w:p>
        </w:tc>
        <w:tc>
          <w:tcPr>
            <w:tcW w:w="2120" w:type="dxa"/>
            <w:vAlign w:val="bottom"/>
          </w:tcPr>
          <w:p>
            <w:pPr>
              <w:jc w:val="center"/>
              <w:ind w:left="259"/>
              <w:spacing w:after="0"/>
              <w:rPr>
                <w:sz w:val="20"/>
                <w:szCs w:val="20"/>
                <w:color w:val="auto"/>
              </w:rPr>
            </w:pPr>
            <w:r>
              <w:rPr>
                <w:rFonts w:ascii="Arial" w:cs="Arial" w:eastAsia="Arial" w:hAnsi="Arial"/>
                <w:sz w:val="16"/>
                <w:szCs w:val="16"/>
                <w:b w:val="1"/>
                <w:bCs w:val="1"/>
                <w:i w:val="1"/>
                <w:iCs w:val="1"/>
                <w:color w:val="auto"/>
                <w:w w:val="86"/>
              </w:rPr>
              <w:t>Enterprise Inkjet Systems</w:t>
            </w:r>
          </w:p>
        </w:tc>
        <w:tc>
          <w:tcPr>
            <w:tcW w:w="0" w:type="dxa"/>
            <w:vAlign w:val="bottom"/>
          </w:tcPr>
          <w:p>
            <w:pPr>
              <w:spacing w:after="0"/>
              <w:rPr>
                <w:sz w:val="1"/>
                <w:szCs w:val="1"/>
                <w:color w:val="auto"/>
              </w:rPr>
            </w:pPr>
          </w:p>
        </w:tc>
      </w:tr>
      <w:tr>
        <w:trPr>
          <w:trHeight w:val="205"/>
        </w:trPr>
        <w:tc>
          <w:tcPr>
            <w:tcW w:w="2080" w:type="dxa"/>
            <w:vAlign w:val="bottom"/>
          </w:tcPr>
          <w:p>
            <w:pPr>
              <w:jc w:val="center"/>
              <w:ind w:right="59"/>
              <w:spacing w:after="0"/>
              <w:rPr>
                <w:sz w:val="20"/>
                <w:szCs w:val="20"/>
                <w:color w:val="auto"/>
              </w:rPr>
            </w:pPr>
            <w:r>
              <w:rPr>
                <w:rFonts w:ascii="Arial" w:cs="Arial" w:eastAsia="Arial" w:hAnsi="Arial"/>
                <w:sz w:val="16"/>
                <w:szCs w:val="16"/>
                <w:color w:val="auto"/>
                <w:w w:val="92"/>
              </w:rPr>
              <w:t>Rochester, New York, USA</w:t>
            </w:r>
          </w:p>
        </w:tc>
        <w:tc>
          <w:tcPr>
            <w:tcW w:w="3760" w:type="dxa"/>
            <w:vAlign w:val="bottom"/>
          </w:tcPr>
          <w:p>
            <w:pPr>
              <w:jc w:val="center"/>
              <w:ind w:left="419"/>
              <w:spacing w:after="0"/>
              <w:rPr>
                <w:sz w:val="20"/>
                <w:szCs w:val="20"/>
                <w:color w:val="auto"/>
              </w:rPr>
            </w:pPr>
            <w:r>
              <w:rPr>
                <w:rFonts w:ascii="Arial" w:cs="Arial" w:eastAsia="Arial" w:hAnsi="Arial"/>
                <w:sz w:val="16"/>
                <w:szCs w:val="16"/>
                <w:color w:val="auto"/>
                <w:w w:val="92"/>
              </w:rPr>
              <w:t>Rochester, New York, USA</w:t>
            </w:r>
          </w:p>
        </w:tc>
        <w:tc>
          <w:tcPr>
            <w:tcW w:w="2120" w:type="dxa"/>
            <w:vAlign w:val="bottom"/>
          </w:tcPr>
          <w:p>
            <w:pPr>
              <w:jc w:val="center"/>
              <w:ind w:left="259"/>
              <w:spacing w:after="0"/>
              <w:rPr>
                <w:sz w:val="20"/>
                <w:szCs w:val="20"/>
                <w:color w:val="auto"/>
              </w:rPr>
            </w:pPr>
            <w:r>
              <w:rPr>
                <w:rFonts w:ascii="Arial" w:cs="Arial" w:eastAsia="Arial" w:hAnsi="Arial"/>
                <w:sz w:val="16"/>
                <w:szCs w:val="16"/>
                <w:color w:val="auto"/>
                <w:w w:val="92"/>
              </w:rPr>
              <w:t>Rochester, New York, USA</w:t>
            </w:r>
          </w:p>
        </w:tc>
        <w:tc>
          <w:tcPr>
            <w:tcW w:w="0" w:type="dxa"/>
            <w:vAlign w:val="bottom"/>
          </w:tcPr>
          <w:p>
            <w:pPr>
              <w:spacing w:after="0"/>
              <w:rPr>
                <w:sz w:val="1"/>
                <w:szCs w:val="1"/>
                <w:color w:val="auto"/>
              </w:rPr>
            </w:pPr>
          </w:p>
        </w:tc>
      </w:tr>
      <w:tr>
        <w:trPr>
          <w:trHeight w:val="205"/>
        </w:trPr>
        <w:tc>
          <w:tcPr>
            <w:tcW w:w="2080" w:type="dxa"/>
            <w:vAlign w:val="bottom"/>
          </w:tcPr>
          <w:p>
            <w:pPr>
              <w:jc w:val="center"/>
              <w:ind w:right="39"/>
              <w:spacing w:after="0"/>
              <w:rPr>
                <w:sz w:val="20"/>
                <w:szCs w:val="20"/>
                <w:color w:val="auto"/>
              </w:rPr>
            </w:pPr>
            <w:r>
              <w:rPr>
                <w:rFonts w:ascii="Arial" w:cs="Arial" w:eastAsia="Arial" w:hAnsi="Arial"/>
                <w:sz w:val="16"/>
                <w:szCs w:val="16"/>
                <w:color w:val="auto"/>
                <w:w w:val="92"/>
              </w:rPr>
              <w:t>Weatherford, Oklahoma, USA</w:t>
            </w:r>
          </w:p>
        </w:tc>
        <w:tc>
          <w:tcPr>
            <w:tcW w:w="3760" w:type="dxa"/>
            <w:vAlign w:val="bottom"/>
          </w:tcPr>
          <w:p>
            <w:pPr>
              <w:jc w:val="center"/>
              <w:ind w:left="419"/>
              <w:spacing w:after="0"/>
              <w:rPr>
                <w:sz w:val="20"/>
                <w:szCs w:val="20"/>
                <w:color w:val="auto"/>
              </w:rPr>
            </w:pPr>
            <w:r>
              <w:rPr>
                <w:rFonts w:ascii="Arial" w:cs="Arial" w:eastAsia="Arial" w:hAnsi="Arial"/>
                <w:sz w:val="16"/>
                <w:szCs w:val="16"/>
                <w:color w:val="auto"/>
                <w:w w:val="92"/>
              </w:rPr>
              <w:t>Columbus, Georgia, USA</w:t>
            </w:r>
          </w:p>
        </w:tc>
        <w:tc>
          <w:tcPr>
            <w:tcW w:w="2120" w:type="dxa"/>
            <w:vAlign w:val="bottom"/>
          </w:tcPr>
          <w:p>
            <w:pPr>
              <w:jc w:val="center"/>
              <w:ind w:left="279"/>
              <w:spacing w:after="0"/>
              <w:rPr>
                <w:sz w:val="20"/>
                <w:szCs w:val="20"/>
                <w:color w:val="auto"/>
              </w:rPr>
            </w:pPr>
            <w:r>
              <w:rPr>
                <w:rFonts w:ascii="Arial" w:cs="Arial" w:eastAsia="Arial" w:hAnsi="Arial"/>
                <w:sz w:val="16"/>
                <w:szCs w:val="16"/>
                <w:color w:val="auto"/>
                <w:w w:val="94"/>
              </w:rPr>
              <w:t>Dayton, Ohio, USA</w:t>
            </w:r>
          </w:p>
        </w:tc>
        <w:tc>
          <w:tcPr>
            <w:tcW w:w="0" w:type="dxa"/>
            <w:vAlign w:val="bottom"/>
          </w:tcPr>
          <w:p>
            <w:pPr>
              <w:spacing w:after="0"/>
              <w:rPr>
                <w:sz w:val="1"/>
                <w:szCs w:val="1"/>
                <w:color w:val="auto"/>
              </w:rPr>
            </w:pPr>
          </w:p>
        </w:tc>
      </w:tr>
      <w:tr>
        <w:trPr>
          <w:trHeight w:val="205"/>
        </w:trPr>
        <w:tc>
          <w:tcPr>
            <w:tcW w:w="2080" w:type="dxa"/>
            <w:vAlign w:val="bottom"/>
          </w:tcPr>
          <w:p>
            <w:pPr>
              <w:jc w:val="center"/>
              <w:ind w:right="39"/>
              <w:spacing w:after="0"/>
              <w:rPr>
                <w:sz w:val="20"/>
                <w:szCs w:val="20"/>
                <w:color w:val="auto"/>
              </w:rPr>
            </w:pPr>
            <w:r>
              <w:rPr>
                <w:rFonts w:ascii="Arial" w:cs="Arial" w:eastAsia="Arial" w:hAnsi="Arial"/>
                <w:sz w:val="16"/>
                <w:szCs w:val="16"/>
                <w:color w:val="auto"/>
                <w:w w:val="87"/>
              </w:rPr>
              <w:t>Yamanashi, Japan</w:t>
            </w:r>
          </w:p>
        </w:tc>
        <w:tc>
          <w:tcPr>
            <w:tcW w:w="3760" w:type="dxa"/>
            <w:vAlign w:val="bottom"/>
          </w:tcPr>
          <w:p>
            <w:pPr>
              <w:jc w:val="center"/>
              <w:ind w:left="419"/>
              <w:spacing w:after="0"/>
              <w:rPr>
                <w:sz w:val="20"/>
                <w:szCs w:val="20"/>
                <w:color w:val="auto"/>
              </w:rPr>
            </w:pPr>
            <w:r>
              <w:rPr>
                <w:rFonts w:ascii="Arial" w:cs="Arial" w:eastAsia="Arial" w:hAnsi="Arial"/>
                <w:sz w:val="16"/>
                <w:szCs w:val="16"/>
                <w:color w:val="auto"/>
                <w:w w:val="89"/>
              </w:rPr>
              <w:t>Osterode, Germany</w:t>
            </w:r>
          </w:p>
        </w:tc>
        <w:tc>
          <w:tcPr>
            <w:tcW w:w="2120" w:type="dxa"/>
            <w:vAlign w:val="bottom"/>
          </w:tcPr>
          <w:p>
            <w:pPr>
              <w:jc w:val="center"/>
              <w:ind w:left="259"/>
              <w:spacing w:after="0"/>
              <w:rPr>
                <w:sz w:val="20"/>
                <w:szCs w:val="20"/>
                <w:color w:val="auto"/>
              </w:rPr>
            </w:pPr>
            <w:r>
              <w:rPr>
                <w:rFonts w:ascii="Arial" w:cs="Arial" w:eastAsia="Arial" w:hAnsi="Arial"/>
                <w:sz w:val="16"/>
                <w:szCs w:val="16"/>
                <w:color w:val="auto"/>
                <w:w w:val="89"/>
              </w:rPr>
              <w:t>Shanghai, China</w:t>
            </w:r>
          </w:p>
        </w:tc>
        <w:tc>
          <w:tcPr>
            <w:tcW w:w="0" w:type="dxa"/>
            <w:vAlign w:val="bottom"/>
          </w:tcPr>
          <w:p>
            <w:pPr>
              <w:spacing w:after="0"/>
              <w:rPr>
                <w:sz w:val="1"/>
                <w:szCs w:val="1"/>
                <w:color w:val="auto"/>
              </w:rPr>
            </w:pPr>
          </w:p>
        </w:tc>
      </w:tr>
      <w:tr>
        <w:trPr>
          <w:trHeight w:val="205"/>
        </w:trPr>
        <w:tc>
          <w:tcPr>
            <w:tcW w:w="2080" w:type="dxa"/>
            <w:vAlign w:val="bottom"/>
          </w:tcPr>
          <w:p>
            <w:pPr>
              <w:jc w:val="center"/>
              <w:ind w:right="59"/>
              <w:spacing w:after="0"/>
              <w:rPr>
                <w:sz w:val="20"/>
                <w:szCs w:val="20"/>
                <w:color w:val="auto"/>
              </w:rPr>
            </w:pPr>
            <w:r>
              <w:rPr>
                <w:rFonts w:ascii="Arial" w:cs="Arial" w:eastAsia="Arial" w:hAnsi="Arial"/>
                <w:sz w:val="16"/>
                <w:szCs w:val="16"/>
                <w:color w:val="auto"/>
                <w:w w:val="89"/>
              </w:rPr>
              <w:t>Shanghai, China</w:t>
            </w:r>
          </w:p>
        </w:tc>
        <w:tc>
          <w:tcPr>
            <w:tcW w:w="3760" w:type="dxa"/>
            <w:vAlign w:val="bottom"/>
          </w:tcPr>
          <w:p>
            <w:pPr>
              <w:jc w:val="center"/>
              <w:ind w:left="399"/>
              <w:spacing w:after="0"/>
              <w:rPr>
                <w:sz w:val="20"/>
                <w:szCs w:val="20"/>
                <w:color w:val="auto"/>
              </w:rPr>
            </w:pPr>
            <w:r>
              <w:rPr>
                <w:rFonts w:ascii="Arial" w:cs="Arial" w:eastAsia="Arial" w:hAnsi="Arial"/>
                <w:sz w:val="16"/>
                <w:szCs w:val="16"/>
                <w:color w:val="auto"/>
                <w:w w:val="87"/>
              </w:rPr>
              <w:t>Gunma, Japan</w:t>
            </w: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80" w:type="dxa"/>
            <w:vAlign w:val="bottom"/>
          </w:tcPr>
          <w:p>
            <w:pPr>
              <w:spacing w:after="0"/>
              <w:rPr>
                <w:sz w:val="17"/>
                <w:szCs w:val="17"/>
                <w:color w:val="auto"/>
              </w:rPr>
            </w:pPr>
          </w:p>
        </w:tc>
        <w:tc>
          <w:tcPr>
            <w:tcW w:w="3760" w:type="dxa"/>
            <w:vAlign w:val="bottom"/>
          </w:tcPr>
          <w:p>
            <w:pPr>
              <w:jc w:val="center"/>
              <w:ind w:left="419"/>
              <w:spacing w:after="0"/>
              <w:rPr>
                <w:sz w:val="20"/>
                <w:szCs w:val="20"/>
                <w:color w:val="auto"/>
              </w:rPr>
            </w:pPr>
            <w:r>
              <w:rPr>
                <w:rFonts w:ascii="Arial" w:cs="Arial" w:eastAsia="Arial" w:hAnsi="Arial"/>
                <w:sz w:val="16"/>
                <w:szCs w:val="16"/>
                <w:color w:val="auto"/>
                <w:w w:val="89"/>
              </w:rPr>
              <w:t>Shanghai, China</w:t>
            </w: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80" w:type="dxa"/>
            <w:vAlign w:val="bottom"/>
          </w:tcPr>
          <w:p>
            <w:pPr>
              <w:jc w:val="center"/>
              <w:ind w:right="59"/>
              <w:spacing w:after="0"/>
              <w:rPr>
                <w:sz w:val="20"/>
                <w:szCs w:val="20"/>
                <w:color w:val="auto"/>
              </w:rPr>
            </w:pPr>
            <w:r>
              <w:rPr>
                <w:rFonts w:ascii="Arial" w:cs="Arial" w:eastAsia="Arial" w:hAnsi="Arial"/>
                <w:sz w:val="16"/>
                <w:szCs w:val="16"/>
                <w:b w:val="1"/>
                <w:bCs w:val="1"/>
                <w:i w:val="1"/>
                <w:iCs w:val="1"/>
                <w:color w:val="auto"/>
                <w:w w:val="89"/>
              </w:rPr>
              <w:t>Consumer and Film</w:t>
            </w:r>
          </w:p>
        </w:tc>
        <w:tc>
          <w:tcPr>
            <w:tcW w:w="3760" w:type="dxa"/>
            <w:vAlign w:val="bottom"/>
          </w:tcPr>
          <w:p>
            <w:pPr>
              <w:jc w:val="center"/>
              <w:ind w:left="419"/>
              <w:spacing w:after="0"/>
              <w:rPr>
                <w:sz w:val="20"/>
                <w:szCs w:val="20"/>
                <w:color w:val="auto"/>
              </w:rPr>
            </w:pPr>
            <w:r>
              <w:rPr>
                <w:rFonts w:ascii="Arial" w:cs="Arial" w:eastAsia="Arial" w:hAnsi="Arial"/>
                <w:sz w:val="16"/>
                <w:szCs w:val="16"/>
                <w:color w:val="auto"/>
                <w:w w:val="93"/>
              </w:rPr>
              <w:t>Xiamen, China</w:t>
            </w:r>
          </w:p>
        </w:tc>
        <w:tc>
          <w:tcPr>
            <w:tcW w:w="2120" w:type="dxa"/>
            <w:vAlign w:val="bottom"/>
          </w:tcPr>
          <w:p>
            <w:pPr>
              <w:jc w:val="center"/>
              <w:ind w:left="259"/>
              <w:spacing w:after="0"/>
              <w:rPr>
                <w:sz w:val="20"/>
                <w:szCs w:val="20"/>
                <w:color w:val="auto"/>
              </w:rPr>
            </w:pPr>
            <w:r>
              <w:rPr>
                <w:rFonts w:ascii="Arial" w:cs="Arial" w:eastAsia="Arial" w:hAnsi="Arial"/>
                <w:sz w:val="16"/>
                <w:szCs w:val="16"/>
                <w:b w:val="1"/>
                <w:bCs w:val="1"/>
                <w:i w:val="1"/>
                <w:iCs w:val="1"/>
                <w:color w:val="auto"/>
                <w:w w:val="86"/>
              </w:rPr>
              <w:t>Software and Solutions</w:t>
            </w:r>
          </w:p>
        </w:tc>
        <w:tc>
          <w:tcPr>
            <w:tcW w:w="0" w:type="dxa"/>
            <w:vAlign w:val="bottom"/>
          </w:tcPr>
          <w:p>
            <w:pPr>
              <w:spacing w:after="0"/>
              <w:rPr>
                <w:sz w:val="1"/>
                <w:szCs w:val="1"/>
                <w:color w:val="auto"/>
              </w:rPr>
            </w:pPr>
          </w:p>
        </w:tc>
      </w:tr>
      <w:tr>
        <w:trPr>
          <w:trHeight w:val="205"/>
        </w:trPr>
        <w:tc>
          <w:tcPr>
            <w:tcW w:w="2080" w:type="dxa"/>
            <w:vAlign w:val="bottom"/>
          </w:tcPr>
          <w:p>
            <w:pPr>
              <w:jc w:val="center"/>
              <w:ind w:right="59"/>
              <w:spacing w:after="0"/>
              <w:rPr>
                <w:sz w:val="20"/>
                <w:szCs w:val="20"/>
                <w:color w:val="auto"/>
              </w:rPr>
            </w:pPr>
            <w:r>
              <w:rPr>
                <w:rFonts w:ascii="Arial" w:cs="Arial" w:eastAsia="Arial" w:hAnsi="Arial"/>
                <w:sz w:val="16"/>
                <w:szCs w:val="16"/>
                <w:color w:val="auto"/>
                <w:w w:val="92"/>
              </w:rPr>
              <w:t>Rochester, New York, USA</w:t>
            </w:r>
          </w:p>
        </w:tc>
        <w:tc>
          <w:tcPr>
            <w:tcW w:w="3760" w:type="dxa"/>
            <w:vAlign w:val="bottom"/>
          </w:tcPr>
          <w:p>
            <w:pPr>
              <w:jc w:val="center"/>
              <w:ind w:left="399"/>
              <w:spacing w:after="0"/>
              <w:rPr>
                <w:sz w:val="20"/>
                <w:szCs w:val="20"/>
                <w:color w:val="auto"/>
              </w:rPr>
            </w:pPr>
            <w:r>
              <w:rPr>
                <w:rFonts w:ascii="Arial" w:cs="Arial" w:eastAsia="Arial" w:hAnsi="Arial"/>
                <w:sz w:val="16"/>
                <w:szCs w:val="16"/>
                <w:color w:val="auto"/>
                <w:w w:val="87"/>
              </w:rPr>
              <w:t>Vancouver, Canada</w:t>
            </w:r>
          </w:p>
        </w:tc>
        <w:tc>
          <w:tcPr>
            <w:tcW w:w="2120" w:type="dxa"/>
            <w:vAlign w:val="bottom"/>
          </w:tcPr>
          <w:p>
            <w:pPr>
              <w:jc w:val="center"/>
              <w:ind w:left="279"/>
              <w:spacing w:after="0"/>
              <w:rPr>
                <w:sz w:val="20"/>
                <w:szCs w:val="20"/>
                <w:color w:val="auto"/>
              </w:rPr>
            </w:pPr>
            <w:r>
              <w:rPr>
                <w:rFonts w:ascii="Arial" w:cs="Arial" w:eastAsia="Arial" w:hAnsi="Arial"/>
                <w:sz w:val="16"/>
                <w:szCs w:val="16"/>
                <w:color w:val="auto"/>
                <w:w w:val="87"/>
              </w:rPr>
              <w:t>Vancouver, Canada</w:t>
            </w:r>
          </w:p>
        </w:tc>
        <w:tc>
          <w:tcPr>
            <w:tcW w:w="0" w:type="dxa"/>
            <w:vAlign w:val="bottom"/>
          </w:tcPr>
          <w:p>
            <w:pPr>
              <w:spacing w:after="0"/>
              <w:rPr>
                <w:sz w:val="1"/>
                <w:szCs w:val="1"/>
                <w:color w:val="auto"/>
              </w:rPr>
            </w:pPr>
          </w:p>
        </w:tc>
      </w:tr>
      <w:tr>
        <w:trPr>
          <w:trHeight w:val="206"/>
        </w:trPr>
        <w:tc>
          <w:tcPr>
            <w:tcW w:w="2080" w:type="dxa"/>
            <w:vAlign w:val="bottom"/>
          </w:tcPr>
          <w:p>
            <w:pPr>
              <w:jc w:val="center"/>
              <w:ind w:right="59"/>
              <w:spacing w:after="0"/>
              <w:rPr>
                <w:sz w:val="20"/>
                <w:szCs w:val="20"/>
                <w:color w:val="auto"/>
              </w:rPr>
            </w:pPr>
            <w:r>
              <w:rPr>
                <w:rFonts w:ascii="Arial" w:cs="Arial" w:eastAsia="Arial" w:hAnsi="Arial"/>
                <w:sz w:val="16"/>
                <w:szCs w:val="16"/>
                <w:color w:val="auto"/>
                <w:w w:val="93"/>
              </w:rPr>
              <w:t>Xiamen, China</w:t>
            </w:r>
          </w:p>
        </w:tc>
        <w:tc>
          <w:tcPr>
            <w:tcW w:w="3760" w:type="dxa"/>
            <w:vAlign w:val="bottom"/>
            <w:vMerge w:val="restart"/>
          </w:tcPr>
          <w:p>
            <w:pPr>
              <w:jc w:val="center"/>
              <w:ind w:right="139"/>
              <w:spacing w:after="0"/>
              <w:rPr>
                <w:sz w:val="20"/>
                <w:szCs w:val="20"/>
                <w:color w:val="auto"/>
              </w:rPr>
            </w:pPr>
            <w:r>
              <w:rPr>
                <w:rFonts w:ascii="Arial" w:cs="Arial" w:eastAsia="Arial" w:hAnsi="Arial"/>
                <w:sz w:val="16"/>
                <w:szCs w:val="16"/>
                <w:b w:val="1"/>
                <w:bCs w:val="1"/>
                <w:i w:val="1"/>
                <w:iCs w:val="1"/>
                <w:color w:val="auto"/>
                <w:w w:val="88"/>
              </w:rPr>
              <w:t>Advanced Materials and 3D Printing Technology</w:t>
            </w:r>
          </w:p>
        </w:tc>
        <w:tc>
          <w:tcPr>
            <w:tcW w:w="2120" w:type="dxa"/>
            <w:vAlign w:val="bottom"/>
          </w:tcPr>
          <w:p>
            <w:pPr>
              <w:jc w:val="center"/>
              <w:ind w:left="259"/>
              <w:spacing w:after="0"/>
              <w:rPr>
                <w:sz w:val="20"/>
                <w:szCs w:val="20"/>
                <w:color w:val="auto"/>
              </w:rPr>
            </w:pPr>
            <w:r>
              <w:rPr>
                <w:rFonts w:ascii="Arial" w:cs="Arial" w:eastAsia="Arial" w:hAnsi="Arial"/>
                <w:sz w:val="16"/>
                <w:szCs w:val="16"/>
                <w:color w:val="auto"/>
                <w:w w:val="92"/>
              </w:rPr>
              <w:t>(software development)</w:t>
            </w:r>
          </w:p>
        </w:tc>
        <w:tc>
          <w:tcPr>
            <w:tcW w:w="0" w:type="dxa"/>
            <w:vAlign w:val="bottom"/>
          </w:tcPr>
          <w:p>
            <w:pPr>
              <w:spacing w:after="0"/>
              <w:rPr>
                <w:sz w:val="1"/>
                <w:szCs w:val="1"/>
                <w:color w:val="auto"/>
              </w:rPr>
            </w:pPr>
          </w:p>
        </w:tc>
      </w:tr>
      <w:tr>
        <w:trPr>
          <w:trHeight w:val="205"/>
        </w:trPr>
        <w:tc>
          <w:tcPr>
            <w:tcW w:w="2080" w:type="dxa"/>
            <w:vAlign w:val="bottom"/>
          </w:tcPr>
          <w:p>
            <w:pPr>
              <w:spacing w:after="0"/>
              <w:rPr>
                <w:sz w:val="17"/>
                <w:szCs w:val="17"/>
                <w:color w:val="auto"/>
              </w:rPr>
            </w:pPr>
          </w:p>
        </w:tc>
        <w:tc>
          <w:tcPr>
            <w:tcW w:w="3760" w:type="dxa"/>
            <w:vAlign w:val="bottom"/>
            <w:vMerge w:val="continue"/>
          </w:tcPr>
          <w:p>
            <w:pPr>
              <w:spacing w:after="0"/>
              <w:rPr>
                <w:sz w:val="17"/>
                <w:szCs w:val="17"/>
                <w:color w:val="auto"/>
              </w:rPr>
            </w:pP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80" w:type="dxa"/>
            <w:vAlign w:val="bottom"/>
          </w:tcPr>
          <w:p>
            <w:pPr>
              <w:spacing w:after="0"/>
              <w:rPr>
                <w:sz w:val="17"/>
                <w:szCs w:val="17"/>
                <w:color w:val="auto"/>
              </w:rPr>
            </w:pPr>
          </w:p>
        </w:tc>
        <w:tc>
          <w:tcPr>
            <w:tcW w:w="3760" w:type="dxa"/>
            <w:vAlign w:val="bottom"/>
          </w:tcPr>
          <w:p>
            <w:pPr>
              <w:jc w:val="center"/>
              <w:ind w:right="139"/>
              <w:spacing w:after="0"/>
              <w:rPr>
                <w:sz w:val="20"/>
                <w:szCs w:val="20"/>
                <w:color w:val="auto"/>
              </w:rPr>
            </w:pPr>
            <w:r>
              <w:rPr>
                <w:rFonts w:ascii="Arial" w:cs="Arial" w:eastAsia="Arial" w:hAnsi="Arial"/>
                <w:sz w:val="16"/>
                <w:szCs w:val="16"/>
                <w:color w:val="auto"/>
                <w:w w:val="92"/>
              </w:rPr>
              <w:t>Rochester, New York, USA</w:t>
            </w: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Regional distribution centers are located in various places within and outside of the United States.</w:t>
      </w:r>
    </w:p>
    <w:p>
      <w:pPr>
        <w:spacing w:after="0" w:line="106" w:lineRule="exact"/>
        <w:rPr>
          <w:sz w:val="20"/>
          <w:szCs w:val="20"/>
          <w:color w:val="auto"/>
        </w:rPr>
      </w:pPr>
    </w:p>
    <w:p>
      <w:pPr>
        <w:ind w:right="120"/>
        <w:spacing w:after="0" w:line="310" w:lineRule="auto"/>
        <w:rPr>
          <w:sz w:val="20"/>
          <w:szCs w:val="20"/>
          <w:color w:val="auto"/>
        </w:rPr>
      </w:pPr>
      <w:r>
        <w:rPr>
          <w:rFonts w:ascii="Arial" w:cs="Arial" w:eastAsia="Arial" w:hAnsi="Arial"/>
          <w:sz w:val="14"/>
          <w:szCs w:val="14"/>
          <w:color w:val="auto"/>
        </w:rPr>
        <w:t>Research and development is headquartered at the Kodak Research Laboratories which is part of the Eastman Business Park in Rochester, New York, where Kodak conducts research and files patent applications with fundamental inventions. Other U.S. research and development groups are located in Dayton Ohio, Oakdale, Minnesota; and Columbus, Georgia. Outside the U.S., research and development groups are located in Canada, Israel, Germany, Japan and China. The research and development groups work in close cooperation with manufacturing units and marketing organizations to develop new products and applications to serve both existing and new markets.</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color w:val="auto"/>
        </w:rPr>
        <w:t>Kodak has excess capacity in some locations. Kodak is pursuing monetizing its excess capacity by selling or leasing the associated properties.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62865</wp:posOffset>
            </wp:positionV>
            <wp:extent cx="7301865" cy="406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01865" cy="40640"/>
                    </a:xfrm>
                    <a:prstGeom prst="rect">
                      <a:avLst/>
                    </a:prstGeom>
                    <a:noFill/>
                  </pic:spPr>
                </pic:pic>
              </a:graphicData>
            </a:graphic>
          </wp:anchor>
        </w:drawing>
      </w:r>
    </w:p>
    <w:p>
      <w:pPr>
        <w:sectPr>
          <w:pgSz w:w="11900" w:h="16838" w:orient="portrait"/>
          <w:cols w:equalWidth="0" w:num="1">
            <w:col w:w="11420"/>
          </w:cols>
          <w:pgMar w:left="240" w:top="224" w:right="239" w:bottom="1440" w:gutter="0" w:footer="0" w:header="0"/>
        </w:sectPr>
      </w:pPr>
    </w:p>
    <w:bookmarkStart w:id="20" w:name="page21"/>
    <w:bookmarkEnd w:id="20"/>
    <w:p>
      <w:pPr>
        <w:spacing w:after="0"/>
        <w:tabs>
          <w:tab w:leader="none" w:pos="1000" w:val="left"/>
        </w:tabs>
        <w:rPr>
          <w:sz w:val="20"/>
          <w:szCs w:val="20"/>
          <w:color w:val="auto"/>
        </w:rPr>
      </w:pPr>
      <w:r>
        <w:rPr>
          <w:rFonts w:ascii="Arial" w:cs="Arial" w:eastAsia="Arial" w:hAnsi="Arial"/>
          <w:sz w:val="16"/>
          <w:szCs w:val="16"/>
          <w:b w:val="1"/>
          <w:bCs w:val="1"/>
          <w:color w:val="auto"/>
        </w:rPr>
        <w:t>ITEM 3.</w:t>
      </w:r>
      <w:r>
        <w:rPr>
          <w:sz w:val="20"/>
          <w:szCs w:val="20"/>
          <w:color w:val="auto"/>
        </w:rPr>
        <w:tab/>
      </w:r>
      <w:r>
        <w:rPr>
          <w:rFonts w:ascii="Arial" w:cs="Arial" w:eastAsia="Arial" w:hAnsi="Arial"/>
          <w:sz w:val="16"/>
          <w:szCs w:val="16"/>
          <w:b w:val="1"/>
          <w:bCs w:val="1"/>
          <w:color w:val="auto"/>
        </w:rPr>
        <w:t>LEGAL PROCEEDINGS</w:t>
      </w:r>
    </w:p>
    <w:p>
      <w:pPr>
        <w:spacing w:after="0" w:line="207"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Kodak’s Brazilian operations are involved in various litigation matters and have received or been the subject of numerous governmental assessments related to indirect and other taxes in various stages of litigation, as well as civil litigation and disputes associated with former employees and contract labor. The tax matters, which comprise the majority of the litigation matters, are primarily related to federal and state value-added taxes and income taxes. Kodak’s Brazilian operations are disputing these matters and intend to vigorously defend their position. Kodak routinely assesses these matters as to the probability of ultimately incurring a liability in its Brazilian operations and records its best estimate of the ultimate loss in situations where it assesses the likelihood of loss as probable. As of December 31, 2017, Kodak maintained accruals of approximately $11 million for claims aggregating approximately $209 million inclusive of interest and penalties where appropriate. In connection with assessments and litigation in Brazil, local regulations may require Kodak to post security for a portion of the amounts in dispute. Generally, any encumbrances of the Brazilian assets would be removed to the extent the matter is resolved in Kodak’s favor.</w:t>
      </w:r>
    </w:p>
    <w:p>
      <w:pPr>
        <w:spacing w:after="0" w:line="171" w:lineRule="exact"/>
        <w:rPr>
          <w:sz w:val="20"/>
          <w:szCs w:val="20"/>
          <w:color w:val="auto"/>
        </w:rPr>
      </w:pPr>
    </w:p>
    <w:p>
      <w:pPr>
        <w:ind w:right="20"/>
        <w:spacing w:after="0" w:line="297" w:lineRule="auto"/>
        <w:rPr>
          <w:sz w:val="20"/>
          <w:szCs w:val="20"/>
          <w:color w:val="auto"/>
        </w:rPr>
      </w:pPr>
      <w:r>
        <w:rPr>
          <w:rFonts w:ascii="Arial" w:cs="Arial" w:eastAsia="Arial" w:hAnsi="Arial"/>
          <w:sz w:val="14"/>
          <w:szCs w:val="14"/>
          <w:color w:val="auto"/>
        </w:rPr>
        <w:t>Kodak is involved in various lawsuits, claims, investigations, remediations and proceedings, including, from time to time, commercial, customs, employment, environmental, tort and health and safety matters, which are being handled and defended in the ordinary course of business. Kodak is also subject, from time to time, to various assertions, claims, proceedings and requests for indemnification concerning intellectual property, including patent infringement suits involving technologies that are incorporated in a broad spectrum of Kodak’s products and claims arising out of Kodak’s licensing its brand. These matters are in various stages of investigation and litigation, and are being vigorously defended. Based on information currently available, Kodak does not believe that it is probable that the outcomes in any of these matters, individually or collectively, will have a material adverse effect on its financial condition or results of operations. Litigation is inherently unpredictable, and judgments could be rendered or settlements entered that could adversely affect Kodak’s operating results or cash flows in a particular period. Kodak routinely assesses all of its litigation and threatened litigation as to the probability of ultimately incurring a liability, and records its best estimate of the ultimate loss in situations where it assesses the likelihood of loss as probable.</w:t>
      </w:r>
    </w:p>
    <w:p>
      <w:pPr>
        <w:spacing w:after="0" w:line="143" w:lineRule="exact"/>
        <w:rPr>
          <w:sz w:val="20"/>
          <w:szCs w:val="20"/>
          <w:color w:val="auto"/>
        </w:rPr>
      </w:pPr>
    </w:p>
    <w:p>
      <w:pPr>
        <w:spacing w:after="0"/>
        <w:tabs>
          <w:tab w:leader="none" w:pos="1000" w:val="left"/>
        </w:tabs>
        <w:rPr>
          <w:sz w:val="20"/>
          <w:szCs w:val="20"/>
          <w:color w:val="auto"/>
        </w:rPr>
      </w:pPr>
      <w:r>
        <w:rPr>
          <w:rFonts w:ascii="Arial" w:cs="Arial" w:eastAsia="Arial" w:hAnsi="Arial"/>
          <w:sz w:val="16"/>
          <w:szCs w:val="16"/>
          <w:b w:val="1"/>
          <w:bCs w:val="1"/>
          <w:color w:val="auto"/>
        </w:rPr>
        <w:t>ITEM 4.</w:t>
      </w:r>
      <w:r>
        <w:rPr>
          <w:sz w:val="20"/>
          <w:szCs w:val="20"/>
          <w:color w:val="auto"/>
        </w:rPr>
        <w:tab/>
      </w:r>
      <w:r>
        <w:rPr>
          <w:rFonts w:ascii="Arial" w:cs="Arial" w:eastAsia="Arial" w:hAnsi="Arial"/>
          <w:sz w:val="16"/>
          <w:szCs w:val="16"/>
          <w:b w:val="1"/>
          <w:bCs w:val="1"/>
          <w:color w:val="auto"/>
        </w:rPr>
        <w:t>MINE SAFETY DISCLOSURES</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EXECUTIVE OFFICERS OF THE REGISTRANT</w:t>
      </w:r>
    </w:p>
    <w:p>
      <w:pPr>
        <w:spacing w:after="0" w:line="110" w:lineRule="exact"/>
        <w:rPr>
          <w:sz w:val="20"/>
          <w:szCs w:val="20"/>
          <w:color w:val="auto"/>
        </w:rPr>
      </w:pPr>
    </w:p>
    <w:p>
      <w:pPr>
        <w:ind w:right="20"/>
        <w:spacing w:after="0" w:line="280" w:lineRule="auto"/>
        <w:rPr>
          <w:sz w:val="20"/>
          <w:szCs w:val="20"/>
          <w:color w:val="auto"/>
        </w:rPr>
      </w:pPr>
      <w:r>
        <w:rPr>
          <w:rFonts w:ascii="Arial" w:cs="Arial" w:eastAsia="Arial" w:hAnsi="Arial"/>
          <w:sz w:val="16"/>
          <w:szCs w:val="16"/>
          <w:color w:val="auto"/>
        </w:rPr>
        <w:t>Pursuant to General Instructions G (3) of Form 10-K, the following list is included as an unnumbered item in Part I of this report in lieu of being included in the Proxy Statement for the Annual Meeting of Shareholders.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9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920" w:type="dxa"/>
            <w:vAlign w:val="bottom"/>
          </w:tcPr>
          <w:p>
            <w:pPr>
              <w:spacing w:after="0"/>
              <w:rPr>
                <w:sz w:val="13"/>
                <w:szCs w:val="13"/>
                <w:color w:val="auto"/>
              </w:rPr>
            </w:pPr>
          </w:p>
        </w:tc>
        <w:tc>
          <w:tcPr>
            <w:tcW w:w="2700" w:type="dxa"/>
            <w:vAlign w:val="bottom"/>
          </w:tcPr>
          <w:p>
            <w:pPr>
              <w:ind w:left="1680"/>
              <w:spacing w:after="0"/>
              <w:rPr>
                <w:sz w:val="20"/>
                <w:szCs w:val="20"/>
                <w:color w:val="auto"/>
              </w:rPr>
            </w:pPr>
            <w:r>
              <w:rPr>
                <w:rFonts w:ascii="Arial" w:cs="Arial" w:eastAsia="Arial" w:hAnsi="Arial"/>
                <w:sz w:val="13"/>
                <w:szCs w:val="13"/>
                <w:b w:val="1"/>
                <w:bCs w:val="1"/>
                <w:color w:val="auto"/>
                <w:w w:val="91"/>
              </w:rPr>
              <w:t>Year First Elected</w:t>
            </w:r>
          </w:p>
        </w:tc>
        <w:tc>
          <w:tcPr>
            <w:tcW w:w="900" w:type="dxa"/>
            <w:vAlign w:val="bottom"/>
          </w:tcPr>
          <w:p>
            <w:pPr>
              <w:spacing w:after="0"/>
              <w:rPr>
                <w:sz w:val="13"/>
                <w:szCs w:val="13"/>
                <w:color w:val="auto"/>
              </w:rPr>
            </w:pPr>
          </w:p>
        </w:tc>
      </w:tr>
      <w:tr>
        <w:trPr>
          <w:trHeight w:val="145"/>
        </w:trPr>
        <w:tc>
          <w:tcPr>
            <w:tcW w:w="19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2700" w:type="dxa"/>
            <w:vAlign w:val="bottom"/>
          </w:tcPr>
          <w:p>
            <w:pPr>
              <w:jc w:val="center"/>
              <w:ind w:left="84"/>
              <w:spacing w:after="0" w:line="145" w:lineRule="exact"/>
              <w:rPr>
                <w:sz w:val="20"/>
                <w:szCs w:val="20"/>
                <w:color w:val="auto"/>
              </w:rPr>
            </w:pPr>
            <w:r>
              <w:rPr>
                <w:rFonts w:ascii="Arial" w:cs="Arial" w:eastAsia="Arial" w:hAnsi="Arial"/>
                <w:sz w:val="13"/>
                <w:szCs w:val="13"/>
                <w:b w:val="1"/>
                <w:bCs w:val="1"/>
                <w:color w:val="auto"/>
                <w:w w:val="91"/>
              </w:rPr>
              <w:t>an</w:t>
            </w:r>
          </w:p>
        </w:tc>
        <w:tc>
          <w:tcPr>
            <w:tcW w:w="900" w:type="dxa"/>
            <w:vAlign w:val="bottom"/>
          </w:tcPr>
          <w:p>
            <w:pPr>
              <w:jc w:val="center"/>
              <w:ind w:right="363"/>
              <w:spacing w:after="0" w:line="145" w:lineRule="exact"/>
              <w:rPr>
                <w:sz w:val="20"/>
                <w:szCs w:val="20"/>
                <w:color w:val="auto"/>
              </w:rPr>
            </w:pPr>
            <w:r>
              <w:rPr>
                <w:rFonts w:ascii="Arial" w:cs="Arial" w:eastAsia="Arial" w:hAnsi="Arial"/>
                <w:sz w:val="13"/>
                <w:szCs w:val="13"/>
                <w:b w:val="1"/>
                <w:bCs w:val="1"/>
                <w:color w:val="auto"/>
                <w:w w:val="81"/>
              </w:rPr>
              <w:t>to</w:t>
            </w:r>
          </w:p>
        </w:tc>
      </w:tr>
      <w:tr>
        <w:trPr>
          <w:trHeight w:val="145"/>
        </w:trPr>
        <w:tc>
          <w:tcPr>
            <w:tcW w:w="19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2700" w:type="dxa"/>
            <w:vAlign w:val="bottom"/>
          </w:tcPr>
          <w:p>
            <w:pPr>
              <w:jc w:val="center"/>
              <w:ind w:left="84"/>
              <w:spacing w:after="0" w:line="145" w:lineRule="exact"/>
              <w:rPr>
                <w:sz w:val="20"/>
                <w:szCs w:val="20"/>
                <w:color w:val="auto"/>
              </w:rPr>
            </w:pPr>
            <w:r>
              <w:rPr>
                <w:rFonts w:ascii="Arial" w:cs="Arial" w:eastAsia="Arial" w:hAnsi="Arial"/>
                <w:sz w:val="13"/>
                <w:szCs w:val="13"/>
                <w:b w:val="1"/>
                <w:bCs w:val="1"/>
                <w:color w:val="auto"/>
                <w:w w:val="88"/>
              </w:rPr>
              <w:t>Executive</w:t>
            </w:r>
          </w:p>
        </w:tc>
        <w:tc>
          <w:tcPr>
            <w:tcW w:w="900" w:type="dxa"/>
            <w:vAlign w:val="bottom"/>
          </w:tcPr>
          <w:p>
            <w:pPr>
              <w:jc w:val="center"/>
              <w:ind w:right="363"/>
              <w:spacing w:after="0" w:line="145" w:lineRule="exact"/>
              <w:rPr>
                <w:sz w:val="20"/>
                <w:szCs w:val="20"/>
                <w:color w:val="auto"/>
              </w:rPr>
            </w:pPr>
            <w:r>
              <w:rPr>
                <w:rFonts w:ascii="Arial" w:cs="Arial" w:eastAsia="Arial" w:hAnsi="Arial"/>
                <w:sz w:val="13"/>
                <w:szCs w:val="13"/>
                <w:b w:val="1"/>
                <w:bCs w:val="1"/>
                <w:color w:val="auto"/>
                <w:w w:val="87"/>
              </w:rPr>
              <w:t>Present</w:t>
            </w:r>
          </w:p>
        </w:tc>
      </w:tr>
      <w:tr>
        <w:trPr>
          <w:trHeight w:val="153"/>
        </w:trPr>
        <w:tc>
          <w:tcPr>
            <w:tcW w:w="1900" w:type="dxa"/>
            <w:vAlign w:val="bottom"/>
          </w:tcPr>
          <w:p>
            <w:pPr>
              <w:spacing w:after="0"/>
              <w:rPr>
                <w:sz w:val="20"/>
                <w:szCs w:val="20"/>
                <w:color w:val="auto"/>
              </w:rPr>
            </w:pPr>
            <w:r>
              <w:rPr>
                <w:rFonts w:ascii="Arial" w:cs="Arial" w:eastAsia="Arial" w:hAnsi="Arial"/>
                <w:sz w:val="13"/>
                <w:szCs w:val="13"/>
                <w:b w:val="1"/>
                <w:bCs w:val="1"/>
                <w:color w:val="auto"/>
              </w:rPr>
              <w:t>Name</w:t>
            </w:r>
          </w:p>
        </w:tc>
        <w:tc>
          <w:tcPr>
            <w:tcW w:w="1020" w:type="dxa"/>
            <w:vAlign w:val="bottom"/>
          </w:tcPr>
          <w:p>
            <w:pPr>
              <w:jc w:val="center"/>
              <w:ind w:left="161"/>
              <w:spacing w:after="0"/>
              <w:rPr>
                <w:sz w:val="20"/>
                <w:szCs w:val="20"/>
                <w:color w:val="auto"/>
              </w:rPr>
            </w:pPr>
            <w:r>
              <w:rPr>
                <w:rFonts w:ascii="Arial" w:cs="Arial" w:eastAsia="Arial" w:hAnsi="Arial"/>
                <w:sz w:val="13"/>
                <w:szCs w:val="13"/>
                <w:b w:val="1"/>
                <w:bCs w:val="1"/>
                <w:color w:val="auto"/>
                <w:w w:val="89"/>
              </w:rPr>
              <w:t>Age</w:t>
            </w:r>
          </w:p>
        </w:tc>
        <w:tc>
          <w:tcPr>
            <w:tcW w:w="4920" w:type="dxa"/>
            <w:vAlign w:val="bottom"/>
          </w:tcPr>
          <w:p>
            <w:pPr>
              <w:ind w:left="2480"/>
              <w:spacing w:after="0"/>
              <w:rPr>
                <w:sz w:val="20"/>
                <w:szCs w:val="20"/>
                <w:color w:val="auto"/>
              </w:rPr>
            </w:pPr>
            <w:r>
              <w:rPr>
                <w:rFonts w:ascii="Arial" w:cs="Arial" w:eastAsia="Arial" w:hAnsi="Arial"/>
                <w:sz w:val="13"/>
                <w:szCs w:val="13"/>
                <w:b w:val="1"/>
                <w:bCs w:val="1"/>
                <w:color w:val="auto"/>
              </w:rPr>
              <w:t>Positions Held</w:t>
            </w:r>
          </w:p>
        </w:tc>
        <w:tc>
          <w:tcPr>
            <w:tcW w:w="2700" w:type="dxa"/>
            <w:vAlign w:val="bottom"/>
          </w:tcPr>
          <w:p>
            <w:pPr>
              <w:jc w:val="center"/>
              <w:ind w:left="84"/>
              <w:spacing w:after="0"/>
              <w:rPr>
                <w:sz w:val="20"/>
                <w:szCs w:val="20"/>
                <w:color w:val="auto"/>
              </w:rPr>
            </w:pPr>
            <w:r>
              <w:rPr>
                <w:rFonts w:ascii="Arial" w:cs="Arial" w:eastAsia="Arial" w:hAnsi="Arial"/>
                <w:sz w:val="13"/>
                <w:szCs w:val="13"/>
                <w:b w:val="1"/>
                <w:bCs w:val="1"/>
                <w:color w:val="auto"/>
                <w:w w:val="90"/>
              </w:rPr>
              <w:t>Officer</w:t>
            </w:r>
          </w:p>
        </w:tc>
        <w:tc>
          <w:tcPr>
            <w:tcW w:w="900" w:type="dxa"/>
            <w:vAlign w:val="bottom"/>
          </w:tcPr>
          <w:p>
            <w:pPr>
              <w:jc w:val="center"/>
              <w:ind w:right="363"/>
              <w:spacing w:after="0"/>
              <w:rPr>
                <w:sz w:val="20"/>
                <w:szCs w:val="20"/>
                <w:color w:val="auto"/>
              </w:rPr>
            </w:pPr>
            <w:r>
              <w:rPr>
                <w:rFonts w:ascii="Arial" w:cs="Arial" w:eastAsia="Arial" w:hAnsi="Arial"/>
                <w:sz w:val="13"/>
                <w:szCs w:val="13"/>
                <w:b w:val="1"/>
                <w:bCs w:val="1"/>
                <w:color w:val="auto"/>
                <w:w w:val="92"/>
              </w:rPr>
              <w:t>Office</w:t>
            </w:r>
          </w:p>
        </w:tc>
      </w:tr>
      <w:tr>
        <w:trPr>
          <w:trHeight w:val="205"/>
        </w:trPr>
        <w:tc>
          <w:tcPr>
            <w:tcW w:w="1900" w:type="dxa"/>
            <w:vAlign w:val="bottom"/>
            <w:shd w:val="clear" w:color="auto" w:fill="CFF0FC"/>
          </w:tcPr>
          <w:p>
            <w:pPr>
              <w:spacing w:after="0"/>
              <w:rPr>
                <w:sz w:val="20"/>
                <w:szCs w:val="20"/>
                <w:color w:val="auto"/>
              </w:rPr>
            </w:pPr>
            <w:r>
              <w:rPr>
                <w:rFonts w:ascii="Arial" w:cs="Arial" w:eastAsia="Arial" w:hAnsi="Arial"/>
                <w:sz w:val="16"/>
                <w:szCs w:val="16"/>
                <w:color w:val="auto"/>
              </w:rPr>
              <w:t>Jeffrey J. Clarke</w:t>
            </w:r>
          </w:p>
        </w:tc>
        <w:tc>
          <w:tcPr>
            <w:tcW w:w="1020" w:type="dxa"/>
            <w:vAlign w:val="bottom"/>
            <w:shd w:val="clear" w:color="auto" w:fill="CFF0FC"/>
          </w:tcPr>
          <w:p>
            <w:pPr>
              <w:jc w:val="center"/>
              <w:ind w:left="181"/>
              <w:spacing w:after="0"/>
              <w:rPr>
                <w:sz w:val="20"/>
                <w:szCs w:val="20"/>
                <w:color w:val="auto"/>
              </w:rPr>
            </w:pPr>
            <w:r>
              <w:rPr>
                <w:rFonts w:ascii="Arial" w:cs="Arial" w:eastAsia="Arial" w:hAnsi="Arial"/>
                <w:sz w:val="16"/>
                <w:szCs w:val="16"/>
                <w:color w:val="auto"/>
                <w:w w:val="89"/>
              </w:rPr>
              <w:t>56</w:t>
            </w:r>
          </w:p>
        </w:tc>
        <w:tc>
          <w:tcPr>
            <w:tcW w:w="49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Chief Executive Officer</w:t>
            </w:r>
          </w:p>
        </w:tc>
        <w:tc>
          <w:tcPr>
            <w:tcW w:w="2700" w:type="dxa"/>
            <w:vAlign w:val="bottom"/>
            <w:shd w:val="clear" w:color="auto" w:fill="CFF0FC"/>
          </w:tcPr>
          <w:p>
            <w:pPr>
              <w:jc w:val="center"/>
              <w:ind w:left="64"/>
              <w:spacing w:after="0"/>
              <w:rPr>
                <w:sz w:val="20"/>
                <w:szCs w:val="20"/>
                <w:color w:val="auto"/>
              </w:rPr>
            </w:pPr>
            <w:r>
              <w:rPr>
                <w:rFonts w:ascii="Arial" w:cs="Arial" w:eastAsia="Arial" w:hAnsi="Arial"/>
                <w:sz w:val="16"/>
                <w:szCs w:val="16"/>
                <w:color w:val="auto"/>
                <w:w w:val="89"/>
              </w:rPr>
              <w:t>2014</w:t>
            </w:r>
          </w:p>
        </w:tc>
        <w:tc>
          <w:tcPr>
            <w:tcW w:w="900" w:type="dxa"/>
            <w:vAlign w:val="bottom"/>
            <w:shd w:val="clear" w:color="auto" w:fill="CFF0FC"/>
          </w:tcPr>
          <w:p>
            <w:pPr>
              <w:jc w:val="center"/>
              <w:ind w:right="343"/>
              <w:spacing w:after="0"/>
              <w:rPr>
                <w:sz w:val="20"/>
                <w:szCs w:val="20"/>
                <w:color w:val="auto"/>
              </w:rPr>
            </w:pPr>
            <w:r>
              <w:rPr>
                <w:rFonts w:ascii="Arial" w:cs="Arial" w:eastAsia="Arial" w:hAnsi="Arial"/>
                <w:sz w:val="16"/>
                <w:szCs w:val="16"/>
                <w:color w:val="auto"/>
                <w:w w:val="89"/>
              </w:rPr>
              <w:t>2014</w:t>
            </w:r>
          </w:p>
        </w:tc>
      </w:tr>
      <w:tr>
        <w:trPr>
          <w:trHeight w:val="205"/>
        </w:trPr>
        <w:tc>
          <w:tcPr>
            <w:tcW w:w="1900" w:type="dxa"/>
            <w:vAlign w:val="bottom"/>
          </w:tcPr>
          <w:p>
            <w:pPr>
              <w:spacing w:after="0"/>
              <w:rPr>
                <w:sz w:val="20"/>
                <w:szCs w:val="20"/>
                <w:color w:val="auto"/>
              </w:rPr>
            </w:pPr>
            <w:r>
              <w:rPr>
                <w:rFonts w:ascii="Arial" w:cs="Arial" w:eastAsia="Arial" w:hAnsi="Arial"/>
                <w:sz w:val="16"/>
                <w:szCs w:val="16"/>
                <w:color w:val="auto"/>
              </w:rPr>
              <w:t>David E. Bullwinkle</w:t>
            </w:r>
          </w:p>
        </w:tc>
        <w:tc>
          <w:tcPr>
            <w:tcW w:w="1020" w:type="dxa"/>
            <w:vAlign w:val="bottom"/>
          </w:tcPr>
          <w:p>
            <w:pPr>
              <w:jc w:val="center"/>
              <w:ind w:left="181"/>
              <w:spacing w:after="0"/>
              <w:rPr>
                <w:sz w:val="20"/>
                <w:szCs w:val="20"/>
                <w:color w:val="auto"/>
              </w:rPr>
            </w:pPr>
            <w:r>
              <w:rPr>
                <w:rFonts w:ascii="Arial" w:cs="Arial" w:eastAsia="Arial" w:hAnsi="Arial"/>
                <w:sz w:val="16"/>
                <w:szCs w:val="16"/>
                <w:color w:val="auto"/>
                <w:w w:val="89"/>
              </w:rPr>
              <w:t>43</w:t>
            </w:r>
          </w:p>
        </w:tc>
        <w:tc>
          <w:tcPr>
            <w:tcW w:w="4920" w:type="dxa"/>
            <w:vAlign w:val="bottom"/>
          </w:tcPr>
          <w:p>
            <w:pPr>
              <w:ind w:left="260"/>
              <w:spacing w:after="0"/>
              <w:rPr>
                <w:sz w:val="20"/>
                <w:szCs w:val="20"/>
                <w:color w:val="auto"/>
              </w:rPr>
            </w:pPr>
            <w:r>
              <w:rPr>
                <w:rFonts w:ascii="Arial" w:cs="Arial" w:eastAsia="Arial" w:hAnsi="Arial"/>
                <w:sz w:val="16"/>
                <w:szCs w:val="16"/>
                <w:color w:val="auto"/>
              </w:rPr>
              <w:t>Chief Financial Officer and Senior Vice President</w:t>
            </w:r>
          </w:p>
        </w:tc>
        <w:tc>
          <w:tcPr>
            <w:tcW w:w="2700" w:type="dxa"/>
            <w:vAlign w:val="bottom"/>
          </w:tcPr>
          <w:p>
            <w:pPr>
              <w:jc w:val="center"/>
              <w:ind w:left="64"/>
              <w:spacing w:after="0"/>
              <w:rPr>
                <w:sz w:val="20"/>
                <w:szCs w:val="20"/>
                <w:color w:val="auto"/>
              </w:rPr>
            </w:pPr>
            <w:r>
              <w:rPr>
                <w:rFonts w:ascii="Arial" w:cs="Arial" w:eastAsia="Arial" w:hAnsi="Arial"/>
                <w:sz w:val="16"/>
                <w:szCs w:val="16"/>
                <w:color w:val="auto"/>
                <w:w w:val="89"/>
              </w:rPr>
              <w:t>2016</w:t>
            </w:r>
          </w:p>
        </w:tc>
        <w:tc>
          <w:tcPr>
            <w:tcW w:w="900" w:type="dxa"/>
            <w:vAlign w:val="bottom"/>
          </w:tcPr>
          <w:p>
            <w:pPr>
              <w:jc w:val="center"/>
              <w:ind w:right="343"/>
              <w:spacing w:after="0"/>
              <w:rPr>
                <w:sz w:val="20"/>
                <w:szCs w:val="20"/>
                <w:color w:val="auto"/>
              </w:rPr>
            </w:pPr>
            <w:r>
              <w:rPr>
                <w:rFonts w:ascii="Arial" w:cs="Arial" w:eastAsia="Arial" w:hAnsi="Arial"/>
                <w:sz w:val="16"/>
                <w:szCs w:val="16"/>
                <w:color w:val="auto"/>
                <w:w w:val="89"/>
              </w:rPr>
              <w:t>2016</w:t>
            </w:r>
          </w:p>
        </w:tc>
      </w:tr>
      <w:tr>
        <w:trPr>
          <w:trHeight w:val="205"/>
        </w:trPr>
        <w:tc>
          <w:tcPr>
            <w:tcW w:w="1900" w:type="dxa"/>
            <w:vAlign w:val="bottom"/>
            <w:shd w:val="clear" w:color="auto" w:fill="CFF0FC"/>
          </w:tcPr>
          <w:p>
            <w:pPr>
              <w:spacing w:after="0"/>
              <w:rPr>
                <w:sz w:val="20"/>
                <w:szCs w:val="20"/>
                <w:color w:val="auto"/>
              </w:rPr>
            </w:pPr>
            <w:r>
              <w:rPr>
                <w:rFonts w:ascii="Arial" w:cs="Arial" w:eastAsia="Arial" w:hAnsi="Arial"/>
                <w:sz w:val="16"/>
                <w:szCs w:val="16"/>
                <w:color w:val="auto"/>
              </w:rPr>
              <w:t>Brad W. Kruchten</w:t>
            </w:r>
          </w:p>
        </w:tc>
        <w:tc>
          <w:tcPr>
            <w:tcW w:w="1020" w:type="dxa"/>
            <w:vAlign w:val="bottom"/>
            <w:shd w:val="clear" w:color="auto" w:fill="CFF0FC"/>
          </w:tcPr>
          <w:p>
            <w:pPr>
              <w:jc w:val="center"/>
              <w:ind w:left="181"/>
              <w:spacing w:after="0"/>
              <w:rPr>
                <w:sz w:val="20"/>
                <w:szCs w:val="20"/>
                <w:color w:val="auto"/>
              </w:rPr>
            </w:pPr>
            <w:r>
              <w:rPr>
                <w:rFonts w:ascii="Arial" w:cs="Arial" w:eastAsia="Arial" w:hAnsi="Arial"/>
                <w:sz w:val="16"/>
                <w:szCs w:val="16"/>
                <w:color w:val="auto"/>
                <w:w w:val="89"/>
              </w:rPr>
              <w:t>58</w:t>
            </w:r>
          </w:p>
        </w:tc>
        <w:tc>
          <w:tcPr>
            <w:tcW w:w="49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Senior Vice President</w:t>
            </w:r>
          </w:p>
        </w:tc>
        <w:tc>
          <w:tcPr>
            <w:tcW w:w="2700" w:type="dxa"/>
            <w:vAlign w:val="bottom"/>
            <w:shd w:val="clear" w:color="auto" w:fill="CFF0FC"/>
          </w:tcPr>
          <w:p>
            <w:pPr>
              <w:jc w:val="center"/>
              <w:ind w:left="64"/>
              <w:spacing w:after="0"/>
              <w:rPr>
                <w:sz w:val="20"/>
                <w:szCs w:val="20"/>
                <w:color w:val="auto"/>
              </w:rPr>
            </w:pPr>
            <w:r>
              <w:rPr>
                <w:rFonts w:ascii="Arial" w:cs="Arial" w:eastAsia="Arial" w:hAnsi="Arial"/>
                <w:sz w:val="16"/>
                <w:szCs w:val="16"/>
                <w:color w:val="auto"/>
                <w:w w:val="89"/>
              </w:rPr>
              <w:t>2009</w:t>
            </w:r>
          </w:p>
        </w:tc>
        <w:tc>
          <w:tcPr>
            <w:tcW w:w="900" w:type="dxa"/>
            <w:vAlign w:val="bottom"/>
            <w:shd w:val="clear" w:color="auto" w:fill="CFF0FC"/>
          </w:tcPr>
          <w:p>
            <w:pPr>
              <w:jc w:val="center"/>
              <w:ind w:right="343"/>
              <w:spacing w:after="0"/>
              <w:rPr>
                <w:sz w:val="20"/>
                <w:szCs w:val="20"/>
                <w:color w:val="auto"/>
              </w:rPr>
            </w:pPr>
            <w:r>
              <w:rPr>
                <w:rFonts w:ascii="Arial" w:cs="Arial" w:eastAsia="Arial" w:hAnsi="Arial"/>
                <w:sz w:val="16"/>
                <w:szCs w:val="16"/>
                <w:color w:val="auto"/>
                <w:w w:val="89"/>
              </w:rPr>
              <w:t>2015</w:t>
            </w:r>
          </w:p>
        </w:tc>
      </w:tr>
      <w:tr>
        <w:trPr>
          <w:trHeight w:val="205"/>
        </w:trPr>
        <w:tc>
          <w:tcPr>
            <w:tcW w:w="1900" w:type="dxa"/>
            <w:vAlign w:val="bottom"/>
          </w:tcPr>
          <w:p>
            <w:pPr>
              <w:spacing w:after="0"/>
              <w:rPr>
                <w:sz w:val="20"/>
                <w:szCs w:val="20"/>
                <w:color w:val="auto"/>
              </w:rPr>
            </w:pPr>
            <w:r>
              <w:rPr>
                <w:rFonts w:ascii="Arial" w:cs="Arial" w:eastAsia="Arial" w:hAnsi="Arial"/>
                <w:sz w:val="16"/>
                <w:szCs w:val="16"/>
                <w:color w:val="auto"/>
              </w:rPr>
              <w:t>Eric-Yves Mahe</w:t>
            </w:r>
          </w:p>
        </w:tc>
        <w:tc>
          <w:tcPr>
            <w:tcW w:w="1020" w:type="dxa"/>
            <w:vAlign w:val="bottom"/>
          </w:tcPr>
          <w:p>
            <w:pPr>
              <w:jc w:val="center"/>
              <w:ind w:left="181"/>
              <w:spacing w:after="0"/>
              <w:rPr>
                <w:sz w:val="20"/>
                <w:szCs w:val="20"/>
                <w:color w:val="auto"/>
              </w:rPr>
            </w:pPr>
            <w:r>
              <w:rPr>
                <w:rFonts w:ascii="Arial" w:cs="Arial" w:eastAsia="Arial" w:hAnsi="Arial"/>
                <w:sz w:val="16"/>
                <w:szCs w:val="16"/>
                <w:color w:val="auto"/>
                <w:w w:val="89"/>
              </w:rPr>
              <w:t>55</w:t>
            </w:r>
          </w:p>
        </w:tc>
        <w:tc>
          <w:tcPr>
            <w:tcW w:w="4920" w:type="dxa"/>
            <w:vAlign w:val="bottom"/>
          </w:tcPr>
          <w:p>
            <w:pPr>
              <w:ind w:left="260"/>
              <w:spacing w:after="0"/>
              <w:rPr>
                <w:sz w:val="20"/>
                <w:szCs w:val="20"/>
                <w:color w:val="auto"/>
              </w:rPr>
            </w:pPr>
            <w:r>
              <w:rPr>
                <w:rFonts w:ascii="Arial" w:cs="Arial" w:eastAsia="Arial" w:hAnsi="Arial"/>
                <w:sz w:val="16"/>
                <w:szCs w:val="16"/>
                <w:color w:val="auto"/>
              </w:rPr>
              <w:t>Senior Vice President</w:t>
            </w:r>
          </w:p>
        </w:tc>
        <w:tc>
          <w:tcPr>
            <w:tcW w:w="2700" w:type="dxa"/>
            <w:vAlign w:val="bottom"/>
          </w:tcPr>
          <w:p>
            <w:pPr>
              <w:jc w:val="center"/>
              <w:ind w:left="64"/>
              <w:spacing w:after="0"/>
              <w:rPr>
                <w:sz w:val="20"/>
                <w:szCs w:val="20"/>
                <w:color w:val="auto"/>
              </w:rPr>
            </w:pPr>
            <w:r>
              <w:rPr>
                <w:rFonts w:ascii="Arial" w:cs="Arial" w:eastAsia="Arial" w:hAnsi="Arial"/>
                <w:sz w:val="16"/>
                <w:szCs w:val="16"/>
                <w:color w:val="auto"/>
                <w:w w:val="89"/>
              </w:rPr>
              <w:t>2015</w:t>
            </w:r>
          </w:p>
        </w:tc>
        <w:tc>
          <w:tcPr>
            <w:tcW w:w="900" w:type="dxa"/>
            <w:vAlign w:val="bottom"/>
          </w:tcPr>
          <w:p>
            <w:pPr>
              <w:jc w:val="center"/>
              <w:ind w:right="343"/>
              <w:spacing w:after="0"/>
              <w:rPr>
                <w:sz w:val="20"/>
                <w:szCs w:val="20"/>
                <w:color w:val="auto"/>
              </w:rPr>
            </w:pPr>
            <w:r>
              <w:rPr>
                <w:rFonts w:ascii="Arial" w:cs="Arial" w:eastAsia="Arial" w:hAnsi="Arial"/>
                <w:sz w:val="16"/>
                <w:szCs w:val="16"/>
                <w:color w:val="auto"/>
                <w:w w:val="89"/>
              </w:rPr>
              <w:t>2015</w:t>
            </w:r>
          </w:p>
        </w:tc>
      </w:tr>
      <w:tr>
        <w:trPr>
          <w:trHeight w:val="205"/>
        </w:trPr>
        <w:tc>
          <w:tcPr>
            <w:tcW w:w="1900" w:type="dxa"/>
            <w:vAlign w:val="bottom"/>
            <w:shd w:val="clear" w:color="auto" w:fill="CFF0FC"/>
          </w:tcPr>
          <w:p>
            <w:pPr>
              <w:spacing w:after="0"/>
              <w:rPr>
                <w:sz w:val="20"/>
                <w:szCs w:val="20"/>
                <w:color w:val="auto"/>
              </w:rPr>
            </w:pPr>
            <w:r>
              <w:rPr>
                <w:rFonts w:ascii="Arial" w:cs="Arial" w:eastAsia="Arial" w:hAnsi="Arial"/>
                <w:sz w:val="16"/>
                <w:szCs w:val="16"/>
                <w:color w:val="auto"/>
              </w:rPr>
              <w:t>John O'Grady</w:t>
            </w:r>
          </w:p>
        </w:tc>
        <w:tc>
          <w:tcPr>
            <w:tcW w:w="1020" w:type="dxa"/>
            <w:vAlign w:val="bottom"/>
            <w:shd w:val="clear" w:color="auto" w:fill="CFF0FC"/>
          </w:tcPr>
          <w:p>
            <w:pPr>
              <w:jc w:val="center"/>
              <w:ind w:left="181"/>
              <w:spacing w:after="0"/>
              <w:rPr>
                <w:sz w:val="20"/>
                <w:szCs w:val="20"/>
                <w:color w:val="auto"/>
              </w:rPr>
            </w:pPr>
            <w:r>
              <w:rPr>
                <w:rFonts w:ascii="Arial" w:cs="Arial" w:eastAsia="Arial" w:hAnsi="Arial"/>
                <w:sz w:val="16"/>
                <w:szCs w:val="16"/>
                <w:color w:val="auto"/>
                <w:w w:val="89"/>
              </w:rPr>
              <w:t>54</w:t>
            </w:r>
          </w:p>
        </w:tc>
        <w:tc>
          <w:tcPr>
            <w:tcW w:w="49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Senior Vice President</w:t>
            </w:r>
          </w:p>
        </w:tc>
        <w:tc>
          <w:tcPr>
            <w:tcW w:w="2700" w:type="dxa"/>
            <w:vAlign w:val="bottom"/>
            <w:shd w:val="clear" w:color="auto" w:fill="CFF0FC"/>
          </w:tcPr>
          <w:p>
            <w:pPr>
              <w:jc w:val="center"/>
              <w:ind w:left="64"/>
              <w:spacing w:after="0"/>
              <w:rPr>
                <w:sz w:val="20"/>
                <w:szCs w:val="20"/>
                <w:color w:val="auto"/>
              </w:rPr>
            </w:pPr>
            <w:r>
              <w:rPr>
                <w:rFonts w:ascii="Arial" w:cs="Arial" w:eastAsia="Arial" w:hAnsi="Arial"/>
                <w:sz w:val="16"/>
                <w:szCs w:val="16"/>
                <w:color w:val="auto"/>
                <w:w w:val="89"/>
              </w:rPr>
              <w:t>2016</w:t>
            </w:r>
          </w:p>
        </w:tc>
        <w:tc>
          <w:tcPr>
            <w:tcW w:w="900" w:type="dxa"/>
            <w:vAlign w:val="bottom"/>
            <w:shd w:val="clear" w:color="auto" w:fill="CFF0FC"/>
          </w:tcPr>
          <w:p>
            <w:pPr>
              <w:jc w:val="center"/>
              <w:ind w:right="343"/>
              <w:spacing w:after="0"/>
              <w:rPr>
                <w:sz w:val="20"/>
                <w:szCs w:val="20"/>
                <w:color w:val="auto"/>
              </w:rPr>
            </w:pPr>
            <w:r>
              <w:rPr>
                <w:rFonts w:ascii="Arial" w:cs="Arial" w:eastAsia="Arial" w:hAnsi="Arial"/>
                <w:sz w:val="16"/>
                <w:szCs w:val="16"/>
                <w:color w:val="auto"/>
                <w:w w:val="89"/>
              </w:rPr>
              <w:t>2016</w:t>
            </w:r>
          </w:p>
        </w:tc>
      </w:tr>
      <w:tr>
        <w:trPr>
          <w:trHeight w:val="205"/>
        </w:trPr>
        <w:tc>
          <w:tcPr>
            <w:tcW w:w="1900" w:type="dxa"/>
            <w:vAlign w:val="bottom"/>
          </w:tcPr>
          <w:p>
            <w:pPr>
              <w:spacing w:after="0"/>
              <w:rPr>
                <w:sz w:val="20"/>
                <w:szCs w:val="20"/>
                <w:color w:val="auto"/>
              </w:rPr>
            </w:pPr>
            <w:r>
              <w:rPr>
                <w:rFonts w:ascii="Arial" w:cs="Arial" w:eastAsia="Arial" w:hAnsi="Arial"/>
                <w:sz w:val="16"/>
                <w:szCs w:val="16"/>
                <w:color w:val="auto"/>
              </w:rPr>
              <w:t>Steven Overman</w:t>
            </w:r>
          </w:p>
        </w:tc>
        <w:tc>
          <w:tcPr>
            <w:tcW w:w="1020" w:type="dxa"/>
            <w:vAlign w:val="bottom"/>
          </w:tcPr>
          <w:p>
            <w:pPr>
              <w:jc w:val="center"/>
              <w:ind w:left="181"/>
              <w:spacing w:after="0"/>
              <w:rPr>
                <w:sz w:val="20"/>
                <w:szCs w:val="20"/>
                <w:color w:val="auto"/>
              </w:rPr>
            </w:pPr>
            <w:r>
              <w:rPr>
                <w:rFonts w:ascii="Arial" w:cs="Arial" w:eastAsia="Arial" w:hAnsi="Arial"/>
                <w:sz w:val="16"/>
                <w:szCs w:val="16"/>
                <w:color w:val="auto"/>
                <w:w w:val="89"/>
              </w:rPr>
              <w:t>49</w:t>
            </w:r>
          </w:p>
        </w:tc>
        <w:tc>
          <w:tcPr>
            <w:tcW w:w="4920" w:type="dxa"/>
            <w:vAlign w:val="bottom"/>
          </w:tcPr>
          <w:p>
            <w:pPr>
              <w:ind w:left="260"/>
              <w:spacing w:after="0"/>
              <w:rPr>
                <w:sz w:val="20"/>
                <w:szCs w:val="20"/>
                <w:color w:val="auto"/>
              </w:rPr>
            </w:pPr>
            <w:r>
              <w:rPr>
                <w:rFonts w:ascii="Arial" w:cs="Arial" w:eastAsia="Arial" w:hAnsi="Arial"/>
                <w:sz w:val="16"/>
                <w:szCs w:val="16"/>
                <w:color w:val="auto"/>
              </w:rPr>
              <w:t>Senior Vice President</w:t>
            </w:r>
          </w:p>
        </w:tc>
        <w:tc>
          <w:tcPr>
            <w:tcW w:w="2700" w:type="dxa"/>
            <w:vAlign w:val="bottom"/>
          </w:tcPr>
          <w:p>
            <w:pPr>
              <w:jc w:val="center"/>
              <w:ind w:left="64"/>
              <w:spacing w:after="0"/>
              <w:rPr>
                <w:sz w:val="20"/>
                <w:szCs w:val="20"/>
                <w:color w:val="auto"/>
              </w:rPr>
            </w:pPr>
            <w:r>
              <w:rPr>
                <w:rFonts w:ascii="Arial" w:cs="Arial" w:eastAsia="Arial" w:hAnsi="Arial"/>
                <w:sz w:val="16"/>
                <w:szCs w:val="16"/>
                <w:color w:val="auto"/>
                <w:w w:val="89"/>
              </w:rPr>
              <w:t>2015</w:t>
            </w:r>
          </w:p>
        </w:tc>
        <w:tc>
          <w:tcPr>
            <w:tcW w:w="900" w:type="dxa"/>
            <w:vAlign w:val="bottom"/>
          </w:tcPr>
          <w:p>
            <w:pPr>
              <w:jc w:val="center"/>
              <w:ind w:right="343"/>
              <w:spacing w:after="0"/>
              <w:rPr>
                <w:sz w:val="20"/>
                <w:szCs w:val="20"/>
                <w:color w:val="auto"/>
              </w:rPr>
            </w:pPr>
            <w:r>
              <w:rPr>
                <w:rFonts w:ascii="Arial" w:cs="Arial" w:eastAsia="Arial" w:hAnsi="Arial"/>
                <w:sz w:val="16"/>
                <w:szCs w:val="16"/>
                <w:color w:val="auto"/>
                <w:w w:val="89"/>
              </w:rPr>
              <w:t>2015</w:t>
            </w:r>
          </w:p>
        </w:tc>
      </w:tr>
      <w:tr>
        <w:trPr>
          <w:trHeight w:val="205"/>
        </w:trPr>
        <w:tc>
          <w:tcPr>
            <w:tcW w:w="1900" w:type="dxa"/>
            <w:vAlign w:val="bottom"/>
            <w:shd w:val="clear" w:color="auto" w:fill="CFF0FC"/>
          </w:tcPr>
          <w:p>
            <w:pPr>
              <w:spacing w:after="0"/>
              <w:rPr>
                <w:sz w:val="20"/>
                <w:szCs w:val="20"/>
                <w:color w:val="auto"/>
              </w:rPr>
            </w:pPr>
            <w:r>
              <w:rPr>
                <w:rFonts w:ascii="Arial" w:cs="Arial" w:eastAsia="Arial" w:hAnsi="Arial"/>
                <w:sz w:val="16"/>
                <w:szCs w:val="16"/>
                <w:color w:val="auto"/>
              </w:rPr>
              <w:t>Christopher J. Payne</w:t>
            </w:r>
          </w:p>
        </w:tc>
        <w:tc>
          <w:tcPr>
            <w:tcW w:w="1020" w:type="dxa"/>
            <w:vAlign w:val="bottom"/>
            <w:shd w:val="clear" w:color="auto" w:fill="CFF0FC"/>
          </w:tcPr>
          <w:p>
            <w:pPr>
              <w:jc w:val="center"/>
              <w:ind w:left="181"/>
              <w:spacing w:after="0"/>
              <w:rPr>
                <w:sz w:val="20"/>
                <w:szCs w:val="20"/>
                <w:color w:val="auto"/>
              </w:rPr>
            </w:pPr>
            <w:r>
              <w:rPr>
                <w:rFonts w:ascii="Arial" w:cs="Arial" w:eastAsia="Arial" w:hAnsi="Arial"/>
                <w:sz w:val="16"/>
                <w:szCs w:val="16"/>
                <w:color w:val="auto"/>
                <w:w w:val="89"/>
              </w:rPr>
              <w:t>53</w:t>
            </w:r>
          </w:p>
        </w:tc>
        <w:tc>
          <w:tcPr>
            <w:tcW w:w="49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Vice President</w:t>
            </w:r>
          </w:p>
        </w:tc>
        <w:tc>
          <w:tcPr>
            <w:tcW w:w="2700" w:type="dxa"/>
            <w:vAlign w:val="bottom"/>
            <w:shd w:val="clear" w:color="auto" w:fill="CFF0FC"/>
          </w:tcPr>
          <w:p>
            <w:pPr>
              <w:jc w:val="center"/>
              <w:ind w:left="64"/>
              <w:spacing w:after="0"/>
              <w:rPr>
                <w:sz w:val="20"/>
                <w:szCs w:val="20"/>
                <w:color w:val="auto"/>
              </w:rPr>
            </w:pPr>
            <w:r>
              <w:rPr>
                <w:rFonts w:ascii="Arial" w:cs="Arial" w:eastAsia="Arial" w:hAnsi="Arial"/>
                <w:sz w:val="16"/>
                <w:szCs w:val="16"/>
                <w:color w:val="auto"/>
                <w:w w:val="89"/>
              </w:rPr>
              <w:t>2017</w:t>
            </w:r>
          </w:p>
        </w:tc>
        <w:tc>
          <w:tcPr>
            <w:tcW w:w="900" w:type="dxa"/>
            <w:vAlign w:val="bottom"/>
            <w:shd w:val="clear" w:color="auto" w:fill="CFF0FC"/>
          </w:tcPr>
          <w:p>
            <w:pPr>
              <w:jc w:val="center"/>
              <w:ind w:right="343"/>
              <w:spacing w:after="0"/>
              <w:rPr>
                <w:sz w:val="20"/>
                <w:szCs w:val="20"/>
                <w:color w:val="auto"/>
              </w:rPr>
            </w:pPr>
            <w:r>
              <w:rPr>
                <w:rFonts w:ascii="Arial" w:cs="Arial" w:eastAsia="Arial" w:hAnsi="Arial"/>
                <w:sz w:val="16"/>
                <w:szCs w:val="16"/>
                <w:color w:val="auto"/>
                <w:w w:val="89"/>
              </w:rPr>
              <w:t>2017</w:t>
            </w:r>
          </w:p>
        </w:tc>
      </w:tr>
      <w:tr>
        <w:trPr>
          <w:trHeight w:val="205"/>
        </w:trPr>
        <w:tc>
          <w:tcPr>
            <w:tcW w:w="1900" w:type="dxa"/>
            <w:vAlign w:val="bottom"/>
          </w:tcPr>
          <w:p>
            <w:pPr>
              <w:spacing w:after="0"/>
              <w:rPr>
                <w:sz w:val="20"/>
                <w:szCs w:val="20"/>
                <w:color w:val="auto"/>
              </w:rPr>
            </w:pPr>
            <w:r>
              <w:rPr>
                <w:rFonts w:ascii="Arial" w:cs="Arial" w:eastAsia="Arial" w:hAnsi="Arial"/>
                <w:sz w:val="16"/>
                <w:szCs w:val="16"/>
                <w:color w:val="auto"/>
              </w:rPr>
              <w:t>Eric H. Samuels</w:t>
            </w:r>
          </w:p>
        </w:tc>
        <w:tc>
          <w:tcPr>
            <w:tcW w:w="1020" w:type="dxa"/>
            <w:vAlign w:val="bottom"/>
          </w:tcPr>
          <w:p>
            <w:pPr>
              <w:jc w:val="center"/>
              <w:ind w:left="181"/>
              <w:spacing w:after="0"/>
              <w:rPr>
                <w:sz w:val="20"/>
                <w:szCs w:val="20"/>
                <w:color w:val="auto"/>
              </w:rPr>
            </w:pPr>
            <w:r>
              <w:rPr>
                <w:rFonts w:ascii="Arial" w:cs="Arial" w:eastAsia="Arial" w:hAnsi="Arial"/>
                <w:sz w:val="16"/>
                <w:szCs w:val="16"/>
                <w:color w:val="auto"/>
                <w:w w:val="89"/>
              </w:rPr>
              <w:t>50</w:t>
            </w:r>
          </w:p>
        </w:tc>
        <w:tc>
          <w:tcPr>
            <w:tcW w:w="4920" w:type="dxa"/>
            <w:vAlign w:val="bottom"/>
          </w:tcPr>
          <w:p>
            <w:pPr>
              <w:ind w:left="260"/>
              <w:spacing w:after="0"/>
              <w:rPr>
                <w:sz w:val="20"/>
                <w:szCs w:val="20"/>
                <w:color w:val="auto"/>
              </w:rPr>
            </w:pPr>
            <w:r>
              <w:rPr>
                <w:rFonts w:ascii="Arial" w:cs="Arial" w:eastAsia="Arial" w:hAnsi="Arial"/>
                <w:sz w:val="16"/>
                <w:szCs w:val="16"/>
                <w:color w:val="auto"/>
              </w:rPr>
              <w:t>Chief Accounting Officer and Corporate Controller</w:t>
            </w:r>
          </w:p>
        </w:tc>
        <w:tc>
          <w:tcPr>
            <w:tcW w:w="2700" w:type="dxa"/>
            <w:vAlign w:val="bottom"/>
          </w:tcPr>
          <w:p>
            <w:pPr>
              <w:jc w:val="center"/>
              <w:ind w:left="64"/>
              <w:spacing w:after="0"/>
              <w:rPr>
                <w:sz w:val="20"/>
                <w:szCs w:val="20"/>
                <w:color w:val="auto"/>
              </w:rPr>
            </w:pPr>
            <w:r>
              <w:rPr>
                <w:rFonts w:ascii="Arial" w:cs="Arial" w:eastAsia="Arial" w:hAnsi="Arial"/>
                <w:sz w:val="16"/>
                <w:szCs w:val="16"/>
                <w:color w:val="auto"/>
                <w:w w:val="89"/>
              </w:rPr>
              <w:t>2009</w:t>
            </w:r>
          </w:p>
        </w:tc>
        <w:tc>
          <w:tcPr>
            <w:tcW w:w="900" w:type="dxa"/>
            <w:vAlign w:val="bottom"/>
          </w:tcPr>
          <w:p>
            <w:pPr>
              <w:jc w:val="center"/>
              <w:ind w:right="343"/>
              <w:spacing w:after="0"/>
              <w:rPr>
                <w:sz w:val="20"/>
                <w:szCs w:val="20"/>
                <w:color w:val="auto"/>
              </w:rPr>
            </w:pPr>
            <w:r>
              <w:rPr>
                <w:rFonts w:ascii="Arial" w:cs="Arial" w:eastAsia="Arial" w:hAnsi="Arial"/>
                <w:sz w:val="16"/>
                <w:szCs w:val="16"/>
                <w:color w:val="auto"/>
                <w:w w:val="89"/>
              </w:rPr>
              <w:t>2009</w:t>
            </w:r>
          </w:p>
        </w:tc>
      </w:tr>
      <w:tr>
        <w:trPr>
          <w:trHeight w:val="205"/>
        </w:trPr>
        <w:tc>
          <w:tcPr>
            <w:tcW w:w="1900" w:type="dxa"/>
            <w:vAlign w:val="bottom"/>
            <w:shd w:val="clear" w:color="auto" w:fill="CFF0FC"/>
          </w:tcPr>
          <w:p>
            <w:pPr>
              <w:spacing w:after="0"/>
              <w:rPr>
                <w:sz w:val="20"/>
                <w:szCs w:val="20"/>
                <w:color w:val="auto"/>
              </w:rPr>
            </w:pPr>
            <w:r>
              <w:rPr>
                <w:rFonts w:ascii="Arial" w:cs="Arial" w:eastAsia="Arial" w:hAnsi="Arial"/>
                <w:sz w:val="16"/>
                <w:szCs w:val="16"/>
                <w:color w:val="auto"/>
              </w:rPr>
              <w:t>Terry R. Taber</w:t>
            </w:r>
          </w:p>
        </w:tc>
        <w:tc>
          <w:tcPr>
            <w:tcW w:w="1020" w:type="dxa"/>
            <w:vAlign w:val="bottom"/>
            <w:shd w:val="clear" w:color="auto" w:fill="CFF0FC"/>
          </w:tcPr>
          <w:p>
            <w:pPr>
              <w:jc w:val="center"/>
              <w:ind w:left="181"/>
              <w:spacing w:after="0"/>
              <w:rPr>
                <w:sz w:val="20"/>
                <w:szCs w:val="20"/>
                <w:color w:val="auto"/>
              </w:rPr>
            </w:pPr>
            <w:r>
              <w:rPr>
                <w:rFonts w:ascii="Arial" w:cs="Arial" w:eastAsia="Arial" w:hAnsi="Arial"/>
                <w:sz w:val="16"/>
                <w:szCs w:val="16"/>
                <w:color w:val="auto"/>
                <w:w w:val="89"/>
              </w:rPr>
              <w:t>63</w:t>
            </w:r>
          </w:p>
        </w:tc>
        <w:tc>
          <w:tcPr>
            <w:tcW w:w="49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Senior Vice President</w:t>
            </w:r>
          </w:p>
        </w:tc>
        <w:tc>
          <w:tcPr>
            <w:tcW w:w="2700" w:type="dxa"/>
            <w:vAlign w:val="bottom"/>
            <w:shd w:val="clear" w:color="auto" w:fill="CFF0FC"/>
          </w:tcPr>
          <w:p>
            <w:pPr>
              <w:jc w:val="center"/>
              <w:ind w:left="64"/>
              <w:spacing w:after="0"/>
              <w:rPr>
                <w:sz w:val="20"/>
                <w:szCs w:val="20"/>
                <w:color w:val="auto"/>
              </w:rPr>
            </w:pPr>
            <w:r>
              <w:rPr>
                <w:rFonts w:ascii="Arial" w:cs="Arial" w:eastAsia="Arial" w:hAnsi="Arial"/>
                <w:sz w:val="16"/>
                <w:szCs w:val="16"/>
                <w:color w:val="auto"/>
                <w:w w:val="89"/>
              </w:rPr>
              <w:t>2009</w:t>
            </w:r>
          </w:p>
        </w:tc>
        <w:tc>
          <w:tcPr>
            <w:tcW w:w="900" w:type="dxa"/>
            <w:vAlign w:val="bottom"/>
            <w:shd w:val="clear" w:color="auto" w:fill="CFF0FC"/>
          </w:tcPr>
          <w:p>
            <w:pPr>
              <w:jc w:val="center"/>
              <w:ind w:right="343"/>
              <w:spacing w:after="0"/>
              <w:rPr>
                <w:sz w:val="20"/>
                <w:szCs w:val="20"/>
                <w:color w:val="auto"/>
              </w:rPr>
            </w:pPr>
            <w:r>
              <w:rPr>
                <w:rFonts w:ascii="Arial" w:cs="Arial" w:eastAsia="Arial" w:hAnsi="Arial"/>
                <w:sz w:val="16"/>
                <w:szCs w:val="16"/>
                <w:color w:val="auto"/>
                <w:w w:val="89"/>
              </w:rPr>
              <w:t>2010</w:t>
            </w:r>
          </w:p>
        </w:tc>
      </w:tr>
      <w:tr>
        <w:trPr>
          <w:trHeight w:val="205"/>
        </w:trPr>
        <w:tc>
          <w:tcPr>
            <w:tcW w:w="1900" w:type="dxa"/>
            <w:vAlign w:val="bottom"/>
          </w:tcPr>
          <w:p>
            <w:pPr>
              <w:spacing w:after="0"/>
              <w:rPr>
                <w:sz w:val="20"/>
                <w:szCs w:val="20"/>
                <w:color w:val="auto"/>
              </w:rPr>
            </w:pPr>
            <w:r>
              <w:rPr>
                <w:rFonts w:ascii="Arial" w:cs="Arial" w:eastAsia="Arial" w:hAnsi="Arial"/>
                <w:sz w:val="16"/>
                <w:szCs w:val="16"/>
                <w:color w:val="auto"/>
              </w:rPr>
              <w:t>Sharon E. Underberg</w:t>
            </w:r>
          </w:p>
        </w:tc>
        <w:tc>
          <w:tcPr>
            <w:tcW w:w="1020" w:type="dxa"/>
            <w:vAlign w:val="bottom"/>
          </w:tcPr>
          <w:p>
            <w:pPr>
              <w:jc w:val="center"/>
              <w:ind w:left="181"/>
              <w:spacing w:after="0"/>
              <w:rPr>
                <w:sz w:val="20"/>
                <w:szCs w:val="20"/>
                <w:color w:val="auto"/>
              </w:rPr>
            </w:pPr>
            <w:r>
              <w:rPr>
                <w:rFonts w:ascii="Arial" w:cs="Arial" w:eastAsia="Arial" w:hAnsi="Arial"/>
                <w:sz w:val="16"/>
                <w:szCs w:val="16"/>
                <w:color w:val="auto"/>
                <w:w w:val="89"/>
              </w:rPr>
              <w:t>56</w:t>
            </w:r>
          </w:p>
        </w:tc>
        <w:tc>
          <w:tcPr>
            <w:tcW w:w="4920" w:type="dxa"/>
            <w:vAlign w:val="bottom"/>
          </w:tcPr>
          <w:p>
            <w:pPr>
              <w:ind w:left="260"/>
              <w:spacing w:after="0"/>
              <w:rPr>
                <w:sz w:val="20"/>
                <w:szCs w:val="20"/>
                <w:color w:val="auto"/>
              </w:rPr>
            </w:pPr>
            <w:r>
              <w:rPr>
                <w:rFonts w:ascii="Arial" w:cs="Arial" w:eastAsia="Arial" w:hAnsi="Arial"/>
                <w:sz w:val="16"/>
                <w:szCs w:val="16"/>
                <w:color w:val="auto"/>
              </w:rPr>
              <w:t>General Counsel, Secretary, and Senior Vice President</w:t>
            </w:r>
          </w:p>
        </w:tc>
        <w:tc>
          <w:tcPr>
            <w:tcW w:w="2700" w:type="dxa"/>
            <w:vAlign w:val="bottom"/>
          </w:tcPr>
          <w:p>
            <w:pPr>
              <w:jc w:val="center"/>
              <w:ind w:left="64"/>
              <w:spacing w:after="0"/>
              <w:rPr>
                <w:sz w:val="20"/>
                <w:szCs w:val="20"/>
                <w:color w:val="auto"/>
              </w:rPr>
            </w:pPr>
            <w:r>
              <w:rPr>
                <w:rFonts w:ascii="Arial" w:cs="Arial" w:eastAsia="Arial" w:hAnsi="Arial"/>
                <w:sz w:val="16"/>
                <w:szCs w:val="16"/>
                <w:color w:val="auto"/>
                <w:w w:val="89"/>
              </w:rPr>
              <w:t>2015</w:t>
            </w:r>
          </w:p>
        </w:tc>
        <w:tc>
          <w:tcPr>
            <w:tcW w:w="900" w:type="dxa"/>
            <w:vAlign w:val="bottom"/>
          </w:tcPr>
          <w:p>
            <w:pPr>
              <w:jc w:val="center"/>
              <w:ind w:right="343"/>
              <w:spacing w:after="0"/>
              <w:rPr>
                <w:sz w:val="20"/>
                <w:szCs w:val="20"/>
                <w:color w:val="auto"/>
              </w:rPr>
            </w:pPr>
            <w:r>
              <w:rPr>
                <w:rFonts w:ascii="Arial" w:cs="Arial" w:eastAsia="Arial" w:hAnsi="Arial"/>
                <w:sz w:val="16"/>
                <w:szCs w:val="16"/>
                <w:color w:val="auto"/>
                <w:w w:val="89"/>
              </w:rPr>
              <w:t>2015</w:t>
            </w:r>
          </w:p>
        </w:tc>
      </w:tr>
      <w:tr>
        <w:trPr>
          <w:trHeight w:val="205"/>
        </w:trPr>
        <w:tc>
          <w:tcPr>
            <w:tcW w:w="1900" w:type="dxa"/>
            <w:vAlign w:val="bottom"/>
            <w:shd w:val="clear" w:color="auto" w:fill="CFF0FC"/>
          </w:tcPr>
          <w:p>
            <w:pPr>
              <w:spacing w:after="0"/>
              <w:rPr>
                <w:sz w:val="20"/>
                <w:szCs w:val="20"/>
                <w:color w:val="auto"/>
              </w:rPr>
            </w:pPr>
            <w:r>
              <w:rPr>
                <w:rFonts w:ascii="Arial" w:cs="Arial" w:eastAsia="Arial" w:hAnsi="Arial"/>
                <w:sz w:val="16"/>
                <w:szCs w:val="16"/>
                <w:color w:val="auto"/>
              </w:rPr>
              <w:t>Randy D. Vandagriff</w:t>
            </w:r>
          </w:p>
        </w:tc>
        <w:tc>
          <w:tcPr>
            <w:tcW w:w="1020" w:type="dxa"/>
            <w:vAlign w:val="bottom"/>
            <w:shd w:val="clear" w:color="auto" w:fill="CFF0FC"/>
          </w:tcPr>
          <w:p>
            <w:pPr>
              <w:jc w:val="center"/>
              <w:ind w:left="181"/>
              <w:spacing w:after="0"/>
              <w:rPr>
                <w:sz w:val="20"/>
                <w:szCs w:val="20"/>
                <w:color w:val="auto"/>
              </w:rPr>
            </w:pPr>
            <w:r>
              <w:rPr>
                <w:rFonts w:ascii="Arial" w:cs="Arial" w:eastAsia="Arial" w:hAnsi="Arial"/>
                <w:sz w:val="16"/>
                <w:szCs w:val="16"/>
                <w:color w:val="auto"/>
                <w:w w:val="89"/>
              </w:rPr>
              <w:t>55</w:t>
            </w:r>
          </w:p>
        </w:tc>
        <w:tc>
          <w:tcPr>
            <w:tcW w:w="49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Vice President</w:t>
            </w:r>
          </w:p>
        </w:tc>
        <w:tc>
          <w:tcPr>
            <w:tcW w:w="2700" w:type="dxa"/>
            <w:vAlign w:val="bottom"/>
            <w:shd w:val="clear" w:color="auto" w:fill="CFF0FC"/>
          </w:tcPr>
          <w:p>
            <w:pPr>
              <w:jc w:val="center"/>
              <w:ind w:left="64"/>
              <w:spacing w:after="0"/>
              <w:rPr>
                <w:sz w:val="20"/>
                <w:szCs w:val="20"/>
                <w:color w:val="auto"/>
              </w:rPr>
            </w:pPr>
            <w:r>
              <w:rPr>
                <w:rFonts w:ascii="Arial" w:cs="Arial" w:eastAsia="Arial" w:hAnsi="Arial"/>
                <w:sz w:val="16"/>
                <w:szCs w:val="16"/>
                <w:color w:val="auto"/>
                <w:w w:val="89"/>
              </w:rPr>
              <w:t>2017</w:t>
            </w:r>
          </w:p>
        </w:tc>
        <w:tc>
          <w:tcPr>
            <w:tcW w:w="900" w:type="dxa"/>
            <w:vAlign w:val="bottom"/>
            <w:shd w:val="clear" w:color="auto" w:fill="CFF0FC"/>
          </w:tcPr>
          <w:p>
            <w:pPr>
              <w:jc w:val="center"/>
              <w:ind w:right="343"/>
              <w:spacing w:after="0"/>
              <w:rPr>
                <w:sz w:val="20"/>
                <w:szCs w:val="20"/>
                <w:color w:val="auto"/>
              </w:rPr>
            </w:pPr>
            <w:r>
              <w:rPr>
                <w:rFonts w:ascii="Arial" w:cs="Arial" w:eastAsia="Arial" w:hAnsi="Arial"/>
                <w:sz w:val="16"/>
                <w:szCs w:val="16"/>
                <w:color w:val="auto"/>
                <w:w w:val="89"/>
              </w:rPr>
              <w:t>2017</w:t>
            </w:r>
          </w:p>
        </w:tc>
      </w:tr>
    </w:tbl>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The executive officers' biographies follow:</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Jeffrey J. Clarke</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Jeff Clarke is the Chief Executive Officer and a member of the Board of Directors of Kodak.</w:t>
      </w:r>
    </w:p>
    <w:p>
      <w:pPr>
        <w:spacing w:after="0" w:line="106"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Prior to joining Kodak in March 2014, Clarke was a Managing Partner of Augusta Columbia Capital, a private investment firm he co-founded in February 2012. From February 2012 to April 2014, Clarke was the Chairman of Travelport, Inc., a private travel technology firm, where he served as CEO from 2006 to 2011, after leading its sale from Cendant Corporation to the Blackstone Group for $4.3 billion in 2006.</w:t>
      </w:r>
    </w:p>
    <w:p>
      <w:pPr>
        <w:spacing w:after="0" w:line="65" w:lineRule="exact"/>
        <w:rPr>
          <w:sz w:val="20"/>
          <w:szCs w:val="20"/>
          <w:color w:val="auto"/>
        </w:rPr>
      </w:pPr>
    </w:p>
    <w:p>
      <w:pPr>
        <w:ind w:right="260"/>
        <w:spacing w:after="0" w:line="280" w:lineRule="auto"/>
        <w:rPr>
          <w:sz w:val="20"/>
          <w:szCs w:val="20"/>
          <w:color w:val="auto"/>
        </w:rPr>
      </w:pPr>
      <w:r>
        <w:rPr>
          <w:rFonts w:ascii="Arial" w:cs="Arial" w:eastAsia="Arial" w:hAnsi="Arial"/>
          <w:sz w:val="16"/>
          <w:szCs w:val="16"/>
          <w:color w:val="auto"/>
        </w:rPr>
        <w:t>Clarke was the Chief Operating Officer of CA, Inc. (now called CA Technologies), an enterprise software company, from 2004 to 2006. At CA, he was responsible for sales, services, distribution, corporate finance, mergers &amp; acquisitions, information technology, corporate strategy and planning.</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62865</wp:posOffset>
            </wp:positionV>
            <wp:extent cx="7301865" cy="406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301865" cy="40640"/>
                    </a:xfrm>
                    <a:prstGeom prst="rect">
                      <a:avLst/>
                    </a:prstGeom>
                    <a:noFill/>
                  </pic:spPr>
                </pic:pic>
              </a:graphicData>
            </a:graphic>
          </wp:anchor>
        </w:drawing>
      </w:r>
    </w:p>
    <w:p>
      <w:pPr>
        <w:sectPr>
          <w:pgSz w:w="11900" w:h="16838" w:orient="portrait"/>
          <w:cols w:equalWidth="0" w:num="1">
            <w:col w:w="11440"/>
          </w:cols>
          <w:pgMar w:left="240" w:top="123" w:right="219" w:bottom="1440" w:gutter="0" w:footer="0" w:header="0"/>
        </w:sectPr>
      </w:pPr>
    </w:p>
    <w:bookmarkStart w:id="21" w:name="page22"/>
    <w:bookmarkEnd w:id="21"/>
    <w:p>
      <w:pPr>
        <w:ind w:right="80"/>
        <w:spacing w:after="0" w:line="261" w:lineRule="auto"/>
        <w:rPr>
          <w:sz w:val="20"/>
          <w:szCs w:val="20"/>
          <w:color w:val="auto"/>
        </w:rPr>
      </w:pPr>
      <w:r>
        <w:rPr>
          <w:rFonts w:ascii="Arial" w:cs="Arial" w:eastAsia="Arial" w:hAnsi="Arial"/>
          <w:sz w:val="16"/>
          <w:szCs w:val="16"/>
          <w:color w:val="auto"/>
        </w:rPr>
        <w:t>From 2002 to 2003, Clarke was Executive Vice President of Global Operations at Hewlett Packard (“HP”). In this role, he was responsible for HP's worldwide supply chain, manufacturing, procurement and internet operations. He also co-led HP's merger integration with Compaq Computer. Prior to HP, Clarke was the Chief Financial Officer of Compaq Computer, which he joined in 1998 following the merger of Compaq with Digital Equipment Corporation (“DEC”). Clarke was with DEC from 1985 to 1998, serving in management roles in international operations, finance and manufacturing.</w:t>
      </w:r>
    </w:p>
    <w:p>
      <w:pPr>
        <w:spacing w:after="0" w:line="70" w:lineRule="exact"/>
        <w:rPr>
          <w:sz w:val="20"/>
          <w:szCs w:val="20"/>
          <w:color w:val="auto"/>
        </w:rPr>
      </w:pPr>
    </w:p>
    <w:p>
      <w:pPr>
        <w:ind w:right="140"/>
        <w:spacing w:after="0" w:line="304" w:lineRule="auto"/>
        <w:rPr>
          <w:sz w:val="20"/>
          <w:szCs w:val="20"/>
          <w:color w:val="auto"/>
        </w:rPr>
      </w:pPr>
      <w:r>
        <w:rPr>
          <w:rFonts w:ascii="Arial" w:cs="Arial" w:eastAsia="Arial" w:hAnsi="Arial"/>
          <w:sz w:val="14"/>
          <w:szCs w:val="14"/>
          <w:color w:val="auto"/>
        </w:rPr>
        <w:t>In November 2017, Clarke joined the board of directors of Docker, a leading software company for building, securing and managing applications on a global container platform. He served on the board of directors of Autodesk, Inc., a 3D design, engineering and entertainment software company, from March 2016 through June 2017. Clarke was a director of Red Hat, Inc., an enterprise software company, from November 2008 through July 2016. He served as Chairman of Orbitz Worldwide, a global online travel agency, after leading the company’s IPO in July 2007, until April 2014, and was also a director for the Compuware Corporation, an enterprise software company, from November 2013 until December 2014. Clarke served on the board of directors of Utstarcom, which designs and manufactures communications equipment, from 2005 to 2010.</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Clarke earned an MBA from Northeastern University, where he serves as a Trustee. He holds a B.A. degree in Economics from SUNY Geneseo.</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David E. Bullwinkle</w:t>
      </w:r>
    </w:p>
    <w:p>
      <w:pPr>
        <w:spacing w:after="0" w:line="110" w:lineRule="exact"/>
        <w:rPr>
          <w:sz w:val="20"/>
          <w:szCs w:val="20"/>
          <w:color w:val="auto"/>
        </w:rPr>
      </w:pPr>
    </w:p>
    <w:p>
      <w:pPr>
        <w:ind w:right="320"/>
        <w:spacing w:after="0" w:line="266" w:lineRule="auto"/>
        <w:rPr>
          <w:sz w:val="20"/>
          <w:szCs w:val="20"/>
          <w:color w:val="auto"/>
        </w:rPr>
      </w:pPr>
      <w:r>
        <w:rPr>
          <w:rFonts w:ascii="Arial" w:cs="Arial" w:eastAsia="Arial" w:hAnsi="Arial"/>
          <w:sz w:val="16"/>
          <w:szCs w:val="16"/>
          <w:color w:val="auto"/>
        </w:rPr>
        <w:t>Dave Bullwinkle is the Chief Financial Officer and Senior Vice President of Kodak. The Board of Directors elected Bullwinkle to this position effective July 2016. He is responsible for Kodak’s financial strategy and all functions within Kodak’s finance organization as well as purchasing, credit and collections, and internal audit. Bullwinkle reports to Chief Executive Officer Jeff Clarke.</w:t>
      </w:r>
    </w:p>
    <w:p>
      <w:pPr>
        <w:spacing w:after="0" w:line="89"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Bullwinkle joined Kodak in 2004 and has worked in several financial management roles at the company including Worldwide BU Controller, Assistant Corporate Controller and External Reporting Manager. He served as the Director of Corporate Financial Planning and Analysis and Vice President, Finance at Kodak from November 2010 to June 2016, and Director of Investor Relations from August 2013 to June 2016.</w:t>
      </w:r>
    </w:p>
    <w:p>
      <w:pPr>
        <w:spacing w:after="0" w:line="65" w:lineRule="exact"/>
        <w:rPr>
          <w:sz w:val="20"/>
          <w:szCs w:val="20"/>
          <w:color w:val="auto"/>
        </w:rPr>
      </w:pPr>
    </w:p>
    <w:p>
      <w:pPr>
        <w:ind w:right="320"/>
        <w:spacing w:after="0" w:line="280" w:lineRule="auto"/>
        <w:rPr>
          <w:sz w:val="20"/>
          <w:szCs w:val="20"/>
          <w:color w:val="auto"/>
        </w:rPr>
      </w:pPr>
      <w:r>
        <w:rPr>
          <w:rFonts w:ascii="Arial" w:cs="Arial" w:eastAsia="Arial" w:hAnsi="Arial"/>
          <w:sz w:val="16"/>
          <w:szCs w:val="16"/>
          <w:color w:val="auto"/>
        </w:rPr>
        <w:t>Prior to joining Kodak, Bullwinkle worked as the Manager of Financial Reporting at Birds Eye Foods, Inc. and previously at PricewaterhouseCoopers from 1996 to 2002 in various roles including serving as an Assurance Manager.</w:t>
      </w:r>
    </w:p>
    <w:p>
      <w:pPr>
        <w:spacing w:after="0" w:line="54" w:lineRule="exact"/>
        <w:rPr>
          <w:sz w:val="20"/>
          <w:szCs w:val="20"/>
          <w:color w:val="auto"/>
        </w:rPr>
      </w:pPr>
    </w:p>
    <w:p>
      <w:pPr>
        <w:ind w:right="120"/>
        <w:spacing w:after="0" w:line="280" w:lineRule="auto"/>
        <w:rPr>
          <w:sz w:val="20"/>
          <w:szCs w:val="20"/>
          <w:color w:val="auto"/>
        </w:rPr>
      </w:pPr>
      <w:r>
        <w:rPr>
          <w:rFonts w:ascii="Arial" w:cs="Arial" w:eastAsia="Arial" w:hAnsi="Arial"/>
          <w:sz w:val="16"/>
          <w:szCs w:val="16"/>
          <w:color w:val="auto"/>
        </w:rPr>
        <w:t>Bullwinkle has an MBA from St. John Fisher College and Bachelor of Science in Accounting degree from SUNY Geneseo. Bullwinkle is also a Certified Public Accountant in the State of New York.</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Brad W. Kruchten</w:t>
      </w:r>
    </w:p>
    <w:p>
      <w:pPr>
        <w:spacing w:after="0" w:line="110" w:lineRule="exact"/>
        <w:rPr>
          <w:sz w:val="20"/>
          <w:szCs w:val="20"/>
          <w:color w:val="auto"/>
        </w:rPr>
      </w:pPr>
    </w:p>
    <w:p>
      <w:pPr>
        <w:ind w:right="40"/>
        <w:spacing w:after="0" w:line="315" w:lineRule="auto"/>
        <w:rPr>
          <w:sz w:val="20"/>
          <w:szCs w:val="20"/>
          <w:color w:val="auto"/>
        </w:rPr>
      </w:pPr>
      <w:r>
        <w:rPr>
          <w:rFonts w:ascii="Arial" w:cs="Arial" w:eastAsia="Arial" w:hAnsi="Arial"/>
          <w:sz w:val="15"/>
          <w:szCs w:val="15"/>
          <w:color w:val="auto"/>
        </w:rPr>
        <w:t>Effective January 1, 2015, Brad Kruchten is President of the Print Systems Division, which serves graphic arts and commercial print customers with printing plates, computer to plate imaging solutions, electrophotographic printing solutions, OEM toner, and all equipment services. He reports to Chief Executive Officer Jeff Clarke.</w:t>
      </w:r>
    </w:p>
    <w:p>
      <w:pPr>
        <w:spacing w:after="0" w:line="31"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From January 2012 to January 2015, Kruchten was President of the Graphics, Entertainment and Commercial Films business segment, and from May 2009 to January 2012, he was the President of the Film, Photofinishing &amp; Entertainment Group (“FPEG”). In this capacity, he was responsible for profit and loss for all silver halide products. The Board of Directors elected him a senior vice president in 2009.</w:t>
      </w:r>
    </w:p>
    <w:p>
      <w:pPr>
        <w:spacing w:after="0" w:line="65" w:lineRule="exact"/>
        <w:rPr>
          <w:sz w:val="20"/>
          <w:szCs w:val="20"/>
          <w:color w:val="auto"/>
        </w:rPr>
      </w:pPr>
    </w:p>
    <w:p>
      <w:pPr>
        <w:ind w:right="80"/>
        <w:spacing w:after="0" w:line="292" w:lineRule="auto"/>
        <w:rPr>
          <w:sz w:val="20"/>
          <w:szCs w:val="20"/>
          <w:color w:val="auto"/>
        </w:rPr>
      </w:pPr>
      <w:r>
        <w:rPr>
          <w:rFonts w:ascii="Arial" w:cs="Arial" w:eastAsia="Arial" w:hAnsi="Arial"/>
          <w:sz w:val="15"/>
          <w:szCs w:val="15"/>
          <w:color w:val="auto"/>
        </w:rPr>
        <w:t>Previously, Kruchten was the worldwide General Manager for Retail Printing and managed the products and services that enable retailers to offer an integrated retail solution to analog and digital photographers. These products and services included kiosks, paper, retail workflow software, service, and support. Before that, Kruchten was the General Manager for the Consumer and Professional film business. The Board of Directors elected him a corporate vice president in July 2002.</w:t>
      </w:r>
    </w:p>
    <w:p>
      <w:pPr>
        <w:spacing w:after="0" w:line="47"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Kruchten's career at Kodak began in 1982 as a Quality Engineer. In 1986, he moved into a sales position for Copy Products and over the next five years held a number of sales and marketing positions within Printer Products and Business Imaging Systems. In 1993, Kruchten became a product line manager for Business Imaging Systems. In 1998, he was named Strategic Business Unit Manager and a divisional vice president of the Capture and Services business within the Document Imaging unit. During his tenure, Kodak introduced a number of scanners which made the company the world's leading seller of high-speed production scanning. In 2000, Kruchten was named Chief Operating Officer and vice president of the Document Imaging unit. As COO, he led the acquisition of the Imaging division of Bell &amp; Howell. In 2001, Kruchten was named Site Manager, Kodak Colorado Division, and became a divisional vice president of Kodak's Global Manufacturing unit. In 2002, he was the Chief Executive Officer of Encad Inc., a wholly-owned Kodak subsidiary.</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Prior to joining Kodak, Kruchten worked as a project engineer at Inland Steel and as a tool designer for General Motors Corp.</w:t>
      </w:r>
    </w:p>
    <w:p>
      <w:pPr>
        <w:spacing w:after="0" w:line="106" w:lineRule="exact"/>
        <w:rPr>
          <w:sz w:val="20"/>
          <w:szCs w:val="20"/>
          <w:color w:val="auto"/>
        </w:rPr>
      </w:pPr>
    </w:p>
    <w:p>
      <w:pPr>
        <w:ind w:right="160"/>
        <w:spacing w:after="0" w:line="280" w:lineRule="auto"/>
        <w:rPr>
          <w:sz w:val="20"/>
          <w:szCs w:val="20"/>
          <w:color w:val="auto"/>
        </w:rPr>
      </w:pPr>
      <w:r>
        <w:rPr>
          <w:rFonts w:ascii="Arial" w:cs="Arial" w:eastAsia="Arial" w:hAnsi="Arial"/>
          <w:sz w:val="16"/>
          <w:szCs w:val="16"/>
          <w:color w:val="auto"/>
        </w:rPr>
        <w:t>Kruchten has a B.S. degree in Engineering from Michigan State University, an M.S. in Statistics and Quality Management from the Rochester Institute of Technology, and has attended the Executive Management Development program at Penn State University.</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62865</wp:posOffset>
            </wp:positionV>
            <wp:extent cx="7301865" cy="406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301865" cy="40640"/>
                    </a:xfrm>
                    <a:prstGeom prst="rect">
                      <a:avLst/>
                    </a:prstGeom>
                    <a:noFill/>
                  </pic:spPr>
                </pic:pic>
              </a:graphicData>
            </a:graphic>
          </wp:anchor>
        </w:drawing>
      </w:r>
    </w:p>
    <w:p>
      <w:pPr>
        <w:sectPr>
          <w:pgSz w:w="11900" w:h="16838" w:orient="portrait"/>
          <w:cols w:equalWidth="0" w:num="1">
            <w:col w:w="11420"/>
          </w:cols>
          <w:pgMar w:left="240" w:top="224" w:right="239" w:bottom="1440" w:gutter="0" w:footer="0" w:header="0"/>
        </w:sectPr>
      </w:pPr>
    </w:p>
    <w:bookmarkStart w:id="22" w:name="page23"/>
    <w:bookmarkEnd w:id="22"/>
    <w:p>
      <w:pPr>
        <w:spacing w:after="0"/>
        <w:rPr>
          <w:sz w:val="20"/>
          <w:szCs w:val="20"/>
          <w:color w:val="auto"/>
        </w:rPr>
      </w:pPr>
      <w:r>
        <w:rPr>
          <w:rFonts w:ascii="Arial" w:cs="Arial" w:eastAsia="Arial" w:hAnsi="Arial"/>
          <w:sz w:val="16"/>
          <w:szCs w:val="16"/>
          <w:b w:val="1"/>
          <w:bCs w:val="1"/>
          <w:color w:val="auto"/>
        </w:rPr>
        <w:t>Eric-Yves Mahe</w:t>
      </w:r>
    </w:p>
    <w:p>
      <w:pPr>
        <w:spacing w:after="0" w:line="110"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Effective January 1, 2015, Eric-Yves Mahe is President of Software and Solutions, which serves existing and future workflow software customers with software to manage digital and conventional print content from creation to output, as well as serving enterprise customers primarily in the government and financial services sectors with managed media services to assist with printing requirements and document management services, including the capture, archiving, retrieval and delivery of documents. The division also contains Kodakit, which is a platform that connects businesses with professional photographers to cater to their photography needs. He reports to Chief Executive Officer Jeff Clarke.</w:t>
      </w:r>
    </w:p>
    <w:p>
      <w:pPr>
        <w:spacing w:after="0" w:line="71" w:lineRule="exact"/>
        <w:rPr>
          <w:sz w:val="20"/>
          <w:szCs w:val="20"/>
          <w:color w:val="auto"/>
        </w:rPr>
      </w:pPr>
    </w:p>
    <w:p>
      <w:pPr>
        <w:ind w:right="300"/>
        <w:spacing w:after="0" w:line="321" w:lineRule="auto"/>
        <w:rPr>
          <w:sz w:val="20"/>
          <w:szCs w:val="20"/>
          <w:color w:val="auto"/>
        </w:rPr>
      </w:pPr>
      <w:r>
        <w:rPr>
          <w:rFonts w:ascii="Arial" w:cs="Arial" w:eastAsia="Arial" w:hAnsi="Arial"/>
          <w:sz w:val="14"/>
          <w:szCs w:val="14"/>
          <w:color w:val="auto"/>
        </w:rPr>
        <w:t>Beginning April 2014, Mahe was Senior Vice President Kodak Technology Solutions, Sales Strategy and Sales Operations. In that capacity, Mahe was responsible for formulating a strategy to drive and measure sales of Kodak’s unique and innovative portfolio of hardware, consumables, software and services. Mahe also advised Kodak’s senior management team on software, OEM partnerships and the sale of complex solutions. In April 2014, the Board of Directors elected Mahe a senior vice president.</w:t>
      </w:r>
    </w:p>
    <w:p>
      <w:pPr>
        <w:spacing w:after="0" w:line="31"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Mahe has more than 25 years of experience in the IT industry with several multinational companies. Prior to joining Kodak, he was based in Singapore with Pitney Bowes Inc., most recently as President, Global Growth Markets, with responsibility for the company’s operations in Latin America, Asia Pacific, Middle East, Africa and emerging markets, from July 2010 until March 2014. Mahe managed this innovation-centered business from inception, and in two years, it became Pitney Bowes’s best performing operation worldwide. Mahe joined Pitney Bowes in 2007 as President, Asia Pacific, Middle East and Africa.</w:t>
      </w:r>
    </w:p>
    <w:p>
      <w:pPr>
        <w:spacing w:after="0" w:line="70"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Previously, Mahe was Vice President and General Manager of Asia North for CA, Inc. (now called CA Technologies), with responsibility for business operations and enterprise sales in China, Hong Kong and Taiwan. He also has held sales management positions with Sun Microsystems, where he focused on OEM partnerships, Siemens Nixdorf and Xerox.</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color w:val="auto"/>
        </w:rPr>
        <w:t>Mahe earned his MBA in Marketing and International Trade from Ecole Superieure de Commerce et d’Administration des Enterprises in Bretagne, France.</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John O’Grady</w:t>
      </w:r>
    </w:p>
    <w:p>
      <w:pPr>
        <w:spacing w:after="0" w:line="110" w:lineRule="exact"/>
        <w:rPr>
          <w:sz w:val="20"/>
          <w:szCs w:val="20"/>
          <w:color w:val="auto"/>
        </w:rPr>
      </w:pPr>
    </w:p>
    <w:p>
      <w:pPr>
        <w:ind w:right="100"/>
        <w:spacing w:after="0" w:line="354" w:lineRule="auto"/>
        <w:rPr>
          <w:sz w:val="20"/>
          <w:szCs w:val="20"/>
          <w:color w:val="auto"/>
        </w:rPr>
      </w:pPr>
      <w:r>
        <w:rPr>
          <w:rFonts w:ascii="Arial" w:cs="Arial" w:eastAsia="Arial" w:hAnsi="Arial"/>
          <w:sz w:val="14"/>
          <w:szCs w:val="14"/>
          <w:color w:val="auto"/>
        </w:rPr>
        <w:t>Effective December 1, 2017, John O’Grady is President, Consumer and Film Division, which is Kodak’s most consumer-facing division, with responsibility for motion picture and commercial films, synthetic chemicals, and consumer products, including products from Kodak brand licensees. He reports to Chief Executive Officer Jeff Clarke.</w:t>
      </w:r>
    </w:p>
    <w:p>
      <w:pPr>
        <w:spacing w:after="0" w:line="9" w:lineRule="exact"/>
        <w:rPr>
          <w:sz w:val="20"/>
          <w:szCs w:val="20"/>
          <w:color w:val="auto"/>
        </w:rPr>
      </w:pPr>
    </w:p>
    <w:p>
      <w:pPr>
        <w:ind w:right="240"/>
        <w:spacing w:after="0" w:line="278" w:lineRule="auto"/>
        <w:rPr>
          <w:sz w:val="20"/>
          <w:szCs w:val="20"/>
          <w:color w:val="auto"/>
        </w:rPr>
      </w:pPr>
      <w:r>
        <w:rPr>
          <w:rFonts w:ascii="Arial" w:cs="Arial" w:eastAsia="Arial" w:hAnsi="Arial"/>
          <w:sz w:val="15"/>
          <w:szCs w:val="15"/>
          <w:color w:val="auto"/>
        </w:rPr>
        <w:t>From January 2016 to December 2017, O’Grady was General Manager, Worldwide Sales, Print Systems Division. In this role, he managed the sales, service and regional marketing for the Print Systems Division on a worldwide basis in addition to the go-to-market back office operations for Kodak. From January 2015 to December 2015, O’Grady was Managing Director of the Europe, United States and Canada, Australia and New Zealand (EUCAN) Region. From December 2010 to December 2014, he was Managing Director, U.S. &amp; Canada Region. From December 2008 to December 2010, O’Grady was Regional Managing Director, Europe, Africa and Middle East Region (EAMER) and Chairman Eastman Kodak Sàrl, and from May 2007 to December 2008, he was Managing Director, EAMER, Consumer Businesses. The Board of Directors elected him a corporate vice president in March 2007, and a senior vice president in August 2016.</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color w:val="auto"/>
        </w:rPr>
        <w:t>O’Grady joined Kodak in 1997, and has held key business development and regional management positions in Kodak’s digital imaging businesses.</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Prior to joining Kodak, O’Grady had a 12-year career at Verbatim.</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O’Grady graduated from the University of Limerick in Ireland with a B.S. degree in Electronics.</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Steven Overman</w:t>
      </w:r>
    </w:p>
    <w:p>
      <w:pPr>
        <w:spacing w:after="0" w:line="110"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Steven Overman has served as Kodak’s Chief Marketing Officer since October 1, 2014. In this capacity, Overman is responsible for leading a global, company-wide renewal of the Kodak brand to increase its power, relevance and value. He leads the strategic development and coordination of Kodak‘s brand identity, global marketing programs and activities and communication of Kodak’s vision, strategy and progress in an integrated way to all the company’s stakeholders. Overman reports to Chief Executive Officer Jeff Clarke.</w:t>
      </w:r>
    </w:p>
    <w:p>
      <w:pPr>
        <w:spacing w:after="0" w:line="70" w:lineRule="exact"/>
        <w:rPr>
          <w:sz w:val="20"/>
          <w:szCs w:val="20"/>
          <w:color w:val="auto"/>
        </w:rPr>
      </w:pPr>
    </w:p>
    <w:p>
      <w:pPr>
        <w:ind w:right="460"/>
        <w:spacing w:after="0" w:line="280" w:lineRule="auto"/>
        <w:rPr>
          <w:sz w:val="20"/>
          <w:szCs w:val="20"/>
          <w:color w:val="auto"/>
        </w:rPr>
      </w:pPr>
      <w:r>
        <w:rPr>
          <w:rFonts w:ascii="Arial" w:cs="Arial" w:eastAsia="Arial" w:hAnsi="Arial"/>
          <w:sz w:val="16"/>
          <w:szCs w:val="16"/>
          <w:color w:val="auto"/>
        </w:rPr>
        <w:t>From January 2015 to November 2017, Overman was President of the Consumer and Film Division. The Board of Directors elected him a senior vice president effective January 2015.</w:t>
      </w:r>
    </w:p>
    <w:p>
      <w:pPr>
        <w:spacing w:after="0" w:line="54" w:lineRule="exact"/>
        <w:rPr>
          <w:sz w:val="20"/>
          <w:szCs w:val="20"/>
          <w:color w:val="auto"/>
        </w:rPr>
      </w:pPr>
    </w:p>
    <w:p>
      <w:pPr>
        <w:ind w:right="280"/>
        <w:spacing w:after="0" w:line="297" w:lineRule="auto"/>
        <w:rPr>
          <w:sz w:val="20"/>
          <w:szCs w:val="20"/>
          <w:color w:val="auto"/>
        </w:rPr>
      </w:pPr>
      <w:r>
        <w:rPr>
          <w:rFonts w:ascii="Arial" w:cs="Arial" w:eastAsia="Arial" w:hAnsi="Arial"/>
          <w:sz w:val="14"/>
          <w:szCs w:val="14"/>
          <w:color w:val="auto"/>
        </w:rPr>
        <w:t>Prior to joining Kodak, Overman served as vice president and global head of brand strategy and marketing creation for Nokia from June 2010 until April 2013. He founded Match &amp; Candle, a consultancy supporting startups and marketing service agencies with brand strategy development in September 2013 and was there until October</w:t>
      </w:r>
    </w:p>
    <w:p>
      <w:pPr>
        <w:ind w:right="40"/>
        <w:spacing w:after="0" w:line="258" w:lineRule="auto"/>
        <w:rPr>
          <w:sz w:val="20"/>
          <w:szCs w:val="20"/>
          <w:color w:val="auto"/>
        </w:rPr>
      </w:pPr>
      <w:r>
        <w:rPr>
          <w:rFonts w:ascii="Arial" w:cs="Arial" w:eastAsia="Arial" w:hAnsi="Arial"/>
          <w:sz w:val="16"/>
          <w:szCs w:val="16"/>
          <w:color w:val="auto"/>
        </w:rPr>
        <w:t xml:space="preserve">2014. During his career, Overman held several different leadership roles in technology companies and marketing services agencies. In those roles, his responsibilities included corporate brand strategy and execution, product and service innovation, corporate strategic initiatives, product launches and sales development. Overman was among the first employees at </w:t>
      </w:r>
      <w:r>
        <w:rPr>
          <w:rFonts w:ascii="Arial" w:cs="Arial" w:eastAsia="Arial" w:hAnsi="Arial"/>
          <w:sz w:val="16"/>
          <w:szCs w:val="16"/>
          <w:i w:val="1"/>
          <w:iCs w:val="1"/>
          <w:color w:val="auto"/>
        </w:rPr>
        <w:t>Wired.</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Overman is a graduate of the Rhode Island School of Design.</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Christopher J. Payne</w:t>
      </w: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62865</wp:posOffset>
            </wp:positionV>
            <wp:extent cx="7301865" cy="406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301865" cy="40640"/>
                    </a:xfrm>
                    <a:prstGeom prst="rect">
                      <a:avLst/>
                    </a:prstGeom>
                    <a:noFill/>
                  </pic:spPr>
                </pic:pic>
              </a:graphicData>
            </a:graphic>
          </wp:anchor>
        </w:drawing>
      </w:r>
    </w:p>
    <w:p>
      <w:pPr>
        <w:sectPr>
          <w:pgSz w:w="11900" w:h="16838" w:orient="portrait"/>
          <w:cols w:equalWidth="0" w:num="1">
            <w:col w:w="11380"/>
          </w:cols>
          <w:pgMar w:left="240" w:top="316" w:right="279" w:bottom="1440" w:gutter="0" w:footer="0" w:header="0"/>
        </w:sectPr>
      </w:pPr>
    </w:p>
    <w:bookmarkStart w:id="23" w:name="page24"/>
    <w:bookmarkEnd w:id="23"/>
    <w:p>
      <w:pPr>
        <w:ind w:right="340"/>
        <w:spacing w:after="0" w:line="280" w:lineRule="auto"/>
        <w:rPr>
          <w:sz w:val="20"/>
          <w:szCs w:val="20"/>
          <w:color w:val="auto"/>
        </w:rPr>
      </w:pPr>
      <w:r>
        <w:rPr>
          <w:rFonts w:ascii="Arial" w:cs="Arial" w:eastAsia="Arial" w:hAnsi="Arial"/>
          <w:sz w:val="16"/>
          <w:szCs w:val="16"/>
          <w:color w:val="auto"/>
        </w:rPr>
        <w:t>Effective May 1, 2017, Christopher Payne is President of the Flexographic Packaging Division, which provides solutions and services for the Flexo Packaging industry that drive differentiation across the value chain from brand owners to printers. He reports to Chief Executive Officer Jeff Clarke.</w:t>
      </w:r>
    </w:p>
    <w:p>
      <w:pPr>
        <w:spacing w:after="0" w:line="54"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From January 2015 to May 2017, Payne was General Manager of the Flexographic Packaging Solutions business. From May 2009 through December 2014, he was the Director and Vice President, Marketing, Commercial Imaging Business, responsible for marketing and strategic planning for Kodak’s print businesses, and from April 1999 to April 2009, he held senior marketing roles in Kodak’s Graphic Communication Group and at NexPress Solutions LLC, which at the time was a joint venture between Kodak and Heidelberg. The Board of Directors elected Payne a vice president effective May 1, 2017.</w:t>
      </w:r>
    </w:p>
    <w:p>
      <w:pPr>
        <w:spacing w:after="0" w:line="70" w:lineRule="exact"/>
        <w:rPr>
          <w:sz w:val="20"/>
          <w:szCs w:val="20"/>
          <w:color w:val="auto"/>
        </w:rPr>
      </w:pPr>
    </w:p>
    <w:p>
      <w:pPr>
        <w:ind w:right="360"/>
        <w:spacing w:after="0" w:line="280" w:lineRule="auto"/>
        <w:rPr>
          <w:sz w:val="20"/>
          <w:szCs w:val="20"/>
          <w:color w:val="auto"/>
        </w:rPr>
      </w:pPr>
      <w:r>
        <w:rPr>
          <w:rFonts w:ascii="Arial" w:cs="Arial" w:eastAsia="Arial" w:hAnsi="Arial"/>
          <w:sz w:val="16"/>
          <w:szCs w:val="16"/>
          <w:color w:val="auto"/>
        </w:rPr>
        <w:t>Prior to joining Kodak, Payne served as Director of Marketing at Xeikon N.V. and Vice President of Marketing for Xeikon North America Inc. Earlier in his career, he was employed by prepress equipment manufacturer Crosfield Electronics Ltd.</w:t>
      </w:r>
    </w:p>
    <w:p>
      <w:pPr>
        <w:spacing w:after="0" w:line="54" w:lineRule="exact"/>
        <w:rPr>
          <w:sz w:val="20"/>
          <w:szCs w:val="20"/>
          <w:color w:val="auto"/>
        </w:rPr>
      </w:pPr>
    </w:p>
    <w:p>
      <w:pPr>
        <w:ind w:right="20"/>
        <w:spacing w:after="0" w:line="280" w:lineRule="auto"/>
        <w:rPr>
          <w:sz w:val="20"/>
          <w:szCs w:val="20"/>
          <w:color w:val="auto"/>
        </w:rPr>
      </w:pPr>
      <w:r>
        <w:rPr>
          <w:rFonts w:ascii="Arial" w:cs="Arial" w:eastAsia="Arial" w:hAnsi="Arial"/>
          <w:sz w:val="16"/>
          <w:szCs w:val="16"/>
          <w:color w:val="auto"/>
        </w:rPr>
        <w:t>Payne has been a full member of the Chartered Institute of Marketing (UK) since 1995, and is a past chair of The Association for Print Technologies (formerly known as NPES), a trade association supporting the commercial printing value chain.</w:t>
      </w:r>
    </w:p>
    <w:p>
      <w:pPr>
        <w:spacing w:after="0" w:line="54" w:lineRule="exact"/>
        <w:rPr>
          <w:sz w:val="20"/>
          <w:szCs w:val="20"/>
          <w:color w:val="auto"/>
        </w:rPr>
      </w:pPr>
    </w:p>
    <w:p>
      <w:pPr>
        <w:spacing w:after="0"/>
        <w:rPr>
          <w:sz w:val="20"/>
          <w:szCs w:val="20"/>
          <w:color w:val="auto"/>
        </w:rPr>
      </w:pPr>
      <w:r>
        <w:rPr>
          <w:rFonts w:ascii="Arial" w:cs="Arial" w:eastAsia="Arial" w:hAnsi="Arial"/>
          <w:sz w:val="16"/>
          <w:szCs w:val="16"/>
          <w:color w:val="auto"/>
        </w:rPr>
        <w:t>Payne graduated from Napier College, Edinburgh, where he studied printing, administration and production.</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Eric H. Samuels</w:t>
      </w:r>
    </w:p>
    <w:p>
      <w:pPr>
        <w:spacing w:after="0" w:line="110"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color w:val="auto"/>
        </w:rPr>
        <w:t>Eric Samuels was appointed Corporate Controller and Chief Accounting Officer in July 2009. Samuels previously served as the Company’s Assistant Corporate Controller and brings to his position more than 20 years of leadership experience in corporate finance and public accounting. He joined Kodak in 2004 as Director, Accounting Research and Policy. Samuels reports to Chief Financial Officer David Bullwinkle.</w:t>
      </w:r>
    </w:p>
    <w:p>
      <w:pPr>
        <w:spacing w:after="0" w:line="65" w:lineRule="exact"/>
        <w:rPr>
          <w:sz w:val="20"/>
          <w:szCs w:val="20"/>
          <w:color w:val="auto"/>
        </w:rPr>
      </w:pPr>
    </w:p>
    <w:p>
      <w:pPr>
        <w:ind w:right="320"/>
        <w:spacing w:after="0" w:line="280" w:lineRule="auto"/>
        <w:rPr>
          <w:sz w:val="20"/>
          <w:szCs w:val="20"/>
          <w:color w:val="auto"/>
        </w:rPr>
      </w:pPr>
      <w:r>
        <w:rPr>
          <w:rFonts w:ascii="Arial" w:cs="Arial" w:eastAsia="Arial" w:hAnsi="Arial"/>
          <w:sz w:val="16"/>
          <w:szCs w:val="16"/>
          <w:color w:val="auto"/>
        </w:rPr>
        <w:t>Prior to joining Kodak, Samuels had a 14-year career in public accounting during which he served as a senior manager at KPMG LLP's Department of Professional Practice (National Office) in New York City. Prior to joining KPMG in 1996, he worked in Ernst &amp; Young's New York City office.</w:t>
      </w:r>
    </w:p>
    <w:p>
      <w:pPr>
        <w:spacing w:after="0" w:line="54" w:lineRule="exact"/>
        <w:rPr>
          <w:sz w:val="20"/>
          <w:szCs w:val="20"/>
          <w:color w:val="auto"/>
        </w:rPr>
      </w:pPr>
    </w:p>
    <w:p>
      <w:pPr>
        <w:spacing w:after="0" w:line="280" w:lineRule="auto"/>
        <w:rPr>
          <w:sz w:val="20"/>
          <w:szCs w:val="20"/>
          <w:color w:val="auto"/>
        </w:rPr>
      </w:pPr>
      <w:r>
        <w:rPr>
          <w:rFonts w:ascii="Arial" w:cs="Arial" w:eastAsia="Arial" w:hAnsi="Arial"/>
          <w:sz w:val="16"/>
          <w:szCs w:val="16"/>
          <w:color w:val="auto"/>
        </w:rPr>
        <w:t>Samuels has a B.S. degree in business economics from the State University of New York College at Oneonta. He is a Certified Public Accountant in New York and a member of the American Institute of Certified Public Accountants.</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Terry R. Taber, PhD</w:t>
      </w:r>
    </w:p>
    <w:p>
      <w:pPr>
        <w:spacing w:after="0" w:line="110" w:lineRule="exact"/>
        <w:rPr>
          <w:sz w:val="20"/>
          <w:szCs w:val="20"/>
          <w:color w:val="auto"/>
        </w:rPr>
      </w:pPr>
    </w:p>
    <w:p>
      <w:pPr>
        <w:ind w:right="160"/>
        <w:spacing w:after="0" w:line="261" w:lineRule="auto"/>
        <w:rPr>
          <w:sz w:val="20"/>
          <w:szCs w:val="20"/>
          <w:color w:val="auto"/>
        </w:rPr>
      </w:pPr>
      <w:r>
        <w:rPr>
          <w:rFonts w:ascii="Arial" w:cs="Arial" w:eastAsia="Arial" w:hAnsi="Arial"/>
          <w:sz w:val="16"/>
          <w:szCs w:val="16"/>
          <w:color w:val="auto"/>
        </w:rPr>
        <w:t>Terry Taber has served as Kodak’s Chief Technical Officer since January 2009. Effective May 1, 2017, he was named President of the Advanced Materials and 3D Printing Technology Division which contains the research laboratories and includes licensing as well as new business development activities related to Kodak’s patents and proprietary technology, and focuses on opportunities in smart material applications, printed electronics markets and 3D printing materials. Taber reports to Chief Executive Officer Jeff Clarke.</w:t>
      </w:r>
    </w:p>
    <w:p>
      <w:pPr>
        <w:spacing w:after="0" w:line="70"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auto"/>
        </w:rPr>
        <w:t>From January 1, 2015 to May 1, 2017, Taber was President of the Intellectual Property Solutions Division. From January 2007 to December 2008 he was the Chief Operating Officer of Kodak’s Image Sensor Solutions (“ISS”) business, a leading developer of advanced CCD and CMOS sensors serving imaging and industrial markets, and prior to Terry’s role with ISS, he held a series of senior positions in Kodak’s research and development and product organizations. The Board of Directors elected Taber a vice president in December 2008 and a senior vice president in December 2010.</w:t>
      </w:r>
    </w:p>
    <w:p>
      <w:pPr>
        <w:spacing w:after="0" w:line="70" w:lineRule="exact"/>
        <w:rPr>
          <w:sz w:val="20"/>
          <w:szCs w:val="20"/>
          <w:color w:val="auto"/>
        </w:rPr>
      </w:pPr>
    </w:p>
    <w:p>
      <w:pPr>
        <w:ind w:right="320"/>
        <w:spacing w:after="0" w:line="321" w:lineRule="auto"/>
        <w:rPr>
          <w:sz w:val="20"/>
          <w:szCs w:val="20"/>
          <w:color w:val="auto"/>
        </w:rPr>
      </w:pPr>
      <w:r>
        <w:rPr>
          <w:rFonts w:ascii="Arial" w:cs="Arial" w:eastAsia="Arial" w:hAnsi="Arial"/>
          <w:sz w:val="14"/>
          <w:szCs w:val="14"/>
          <w:color w:val="auto"/>
        </w:rPr>
        <w:t>During his more than 35 years at Kodak, Taber has been involved in new materials research, product development and commercialization, manufacturing, and executive positions in R&amp;D and business management. Taber’s early responsibilities included research on new synthetic materials, an area in which he holds several patents, program manager for several film products, worldwide consumer film business product manager, Associate Director of R&amp;D and director of Materials &amp; Media R&amp;D.</w:t>
      </w:r>
    </w:p>
    <w:p>
      <w:pPr>
        <w:spacing w:after="0" w:line="31" w:lineRule="exact"/>
        <w:rPr>
          <w:sz w:val="20"/>
          <w:szCs w:val="20"/>
          <w:color w:val="auto"/>
        </w:rPr>
      </w:pPr>
    </w:p>
    <w:p>
      <w:pPr>
        <w:ind w:right="180"/>
        <w:spacing w:after="0" w:line="261" w:lineRule="auto"/>
        <w:rPr>
          <w:sz w:val="20"/>
          <w:szCs w:val="20"/>
          <w:color w:val="auto"/>
        </w:rPr>
      </w:pPr>
      <w:r>
        <w:rPr>
          <w:rFonts w:ascii="Arial" w:cs="Arial" w:eastAsia="Arial" w:hAnsi="Arial"/>
          <w:sz w:val="16"/>
          <w:szCs w:val="16"/>
          <w:color w:val="auto"/>
        </w:rPr>
        <w:t>Taber received a B.S. degree in Chemistry from Purdue University and a Ph.D. in Organic Chemistry from the California Institute of Technology. He also received an M.S. in General Management from MIT as a Kodak Sloan Fellow. He was a Board Member of the Innovation &amp; Material Sciences Institute and served on the Executive Advisory Board of FIRST Rochester (For Inspiration and Recognition of Science and Technology). He also serves on the Executive Committee of the Greater Rochester Chamber of Commerce and on the Board of Trustees for Roberts Wesleyan College and Northeastern Seminary.</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Sharon E. Underberg</w:t>
      </w:r>
    </w:p>
    <w:p>
      <w:pPr>
        <w:spacing w:after="0" w:line="110" w:lineRule="exact"/>
        <w:rPr>
          <w:sz w:val="20"/>
          <w:szCs w:val="20"/>
          <w:color w:val="auto"/>
        </w:rPr>
      </w:pPr>
    </w:p>
    <w:p>
      <w:pPr>
        <w:ind w:right="200"/>
        <w:spacing w:after="0" w:line="280" w:lineRule="auto"/>
        <w:rPr>
          <w:sz w:val="20"/>
          <w:szCs w:val="20"/>
          <w:color w:val="auto"/>
        </w:rPr>
      </w:pPr>
      <w:r>
        <w:rPr>
          <w:rFonts w:ascii="Arial" w:cs="Arial" w:eastAsia="Arial" w:hAnsi="Arial"/>
          <w:sz w:val="16"/>
          <w:szCs w:val="16"/>
          <w:color w:val="auto"/>
        </w:rPr>
        <w:t>Sharon Underberg has served as General Counsel, Secretary and Senior Vice President since January 2015. She is responsible for leading the company's global legal function and for providing legal guidance to senior leadership and the Board of Directors. Underberg reports to Chief Executive Officer Jeff Clarke.</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62865</wp:posOffset>
            </wp:positionV>
            <wp:extent cx="7301865" cy="406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301865" cy="40640"/>
                    </a:xfrm>
                    <a:prstGeom prst="rect">
                      <a:avLst/>
                    </a:prstGeom>
                    <a:noFill/>
                  </pic:spPr>
                </pic:pic>
              </a:graphicData>
            </a:graphic>
          </wp:anchor>
        </w:drawing>
      </w:r>
    </w:p>
    <w:p>
      <w:pPr>
        <w:sectPr>
          <w:pgSz w:w="11900" w:h="16838" w:orient="portrait"/>
          <w:cols w:equalWidth="0" w:num="1">
            <w:col w:w="11420"/>
          </w:cols>
          <w:pgMar w:left="240" w:top="224" w:right="239" w:bottom="1440" w:gutter="0" w:footer="0" w:header="0"/>
        </w:sectPr>
      </w:pPr>
    </w:p>
    <w:bookmarkStart w:id="24" w:name="page25"/>
    <w:bookmarkEnd w:id="24"/>
    <w:p>
      <w:pPr>
        <w:ind w:right="120"/>
        <w:spacing w:after="0" w:line="256" w:lineRule="auto"/>
        <w:rPr>
          <w:sz w:val="20"/>
          <w:szCs w:val="20"/>
          <w:color w:val="auto"/>
        </w:rPr>
      </w:pPr>
      <w:r>
        <w:rPr>
          <w:rFonts w:ascii="Arial" w:cs="Arial" w:eastAsia="Arial" w:hAnsi="Arial"/>
          <w:sz w:val="16"/>
          <w:szCs w:val="16"/>
          <w:color w:val="auto"/>
        </w:rPr>
        <w:t>Underberg joined Kodak in 1989. She was Deputy General Counsel and Vice President, Legal Department from September 2014 to January 2015, and Assistant General Counsel and Vice President, Legal Department, from June 2006 until September 2014. For much of her tenure with Kodak, Underberg has specialized in global commercial transactions, particularly acquisitions, divestitures, joint ventures and corporate financings. She led the legal team on numerous deals, including the completion of the acquisitions of the Kodak Polychrome Graphics and NexPress joint ventures, the divestiture of the Health Imaging business, and the spinoff of the PI / DI Business, and she has advised on every major financing transaction the Company has completed in the past 15-plus years. In addition, Underberg was an instrumental part of the team that led the Company through its chapter 11 restructuring, providing advice on a wide range of contractual, litigation, financing, and divestiture activities. The Board of Directors elected her to Senior Vice President and Secretary in January 2015.</w:t>
      </w:r>
    </w:p>
    <w:p>
      <w:pPr>
        <w:spacing w:after="0" w:line="77" w:lineRule="exact"/>
        <w:rPr>
          <w:sz w:val="20"/>
          <w:szCs w:val="20"/>
          <w:color w:val="auto"/>
        </w:rPr>
      </w:pPr>
    </w:p>
    <w:p>
      <w:pPr>
        <w:ind w:right="140"/>
        <w:spacing w:after="0" w:line="266" w:lineRule="auto"/>
        <w:rPr>
          <w:sz w:val="20"/>
          <w:szCs w:val="20"/>
          <w:color w:val="auto"/>
        </w:rPr>
      </w:pPr>
      <w:r>
        <w:rPr>
          <w:rFonts w:ascii="Arial" w:cs="Arial" w:eastAsia="Arial" w:hAnsi="Arial"/>
          <w:sz w:val="16"/>
          <w:szCs w:val="16"/>
          <w:color w:val="auto"/>
        </w:rPr>
        <w:t>Underberg has been a manager in the Legal Department since 2006. During this time, she led legal teams in a wide variety of substantive areas, including corporate, transactional and commercial matters worldwide. From 2004 to 2006, Underberg served as Assistant Secretary, working with the Board of Directors and senior management on matters related to corporate governance, executive compensation, and SEC reporting and disclosure.</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color w:val="auto"/>
        </w:rPr>
        <w:t>Prior to joining Kodak, Underberg was an attorney in the New York City office of international law firm Fulbright &amp; Jaworski (currently Norton Rose Fulbright).</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Underberg received a B.A. degree in political science from Brandeis University and a J.D. from the University of Pennsylvania School of Law.</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Randy D. Vandagriff</w:t>
      </w:r>
    </w:p>
    <w:p>
      <w:pPr>
        <w:spacing w:after="0" w:line="195" w:lineRule="exact"/>
        <w:rPr>
          <w:sz w:val="20"/>
          <w:szCs w:val="20"/>
          <w:color w:val="auto"/>
        </w:rPr>
      </w:pPr>
    </w:p>
    <w:p>
      <w:pPr>
        <w:ind w:right="160"/>
        <w:spacing w:after="0" w:line="236" w:lineRule="auto"/>
        <w:rPr>
          <w:sz w:val="20"/>
          <w:szCs w:val="20"/>
          <w:color w:val="auto"/>
        </w:rPr>
      </w:pPr>
      <w:r>
        <w:rPr>
          <w:rFonts w:ascii="Arial" w:cs="Arial" w:eastAsia="Arial" w:hAnsi="Arial"/>
          <w:sz w:val="16"/>
          <w:szCs w:val="16"/>
          <w:color w:val="auto"/>
        </w:rPr>
        <w:t>Effective May 1, 2017, Randy D. Vandagriff is President, Enterprise Inkjet Systems Division, responsible for delivering commercial inkjet technology, printers and solutions to the market. He reports to Chief Executive Officer Jeff Clarke.</w:t>
      </w:r>
    </w:p>
    <w:p>
      <w:pPr>
        <w:spacing w:after="0" w:line="182" w:lineRule="exact"/>
        <w:rPr>
          <w:sz w:val="20"/>
          <w:szCs w:val="20"/>
          <w:color w:val="auto"/>
        </w:rPr>
      </w:pPr>
    </w:p>
    <w:p>
      <w:pPr>
        <w:ind w:right="200"/>
        <w:spacing w:after="0" w:line="284" w:lineRule="auto"/>
        <w:rPr>
          <w:sz w:val="20"/>
          <w:szCs w:val="20"/>
          <w:color w:val="auto"/>
        </w:rPr>
      </w:pPr>
      <w:r>
        <w:rPr>
          <w:rFonts w:ascii="Arial" w:cs="Arial" w:eastAsia="Arial" w:hAnsi="Arial"/>
          <w:sz w:val="15"/>
          <w:szCs w:val="15"/>
          <w:color w:val="auto"/>
        </w:rPr>
        <w:t>Vandagriff has spent his 35-year career innovating inkjet technology for the printing market. From January 2004 to August 2012, Vandagriff was Vice President, Research and Development for Kodak Versamark, responsible for leading a worldwide R&amp;D organization responsible for developing four generations of inkjet technologies and delivering industry-leading performance, including Kodak Stream and ULTRASTREAM inkjet technologies. From January 2015 to May 2017, Vandagriff led the Kodak Creo Server business located in Tel Aviv, Israel. The Board of Directors elected him a vice president effective May 1, 2017.</w:t>
      </w:r>
    </w:p>
    <w:p>
      <w:pPr>
        <w:spacing w:after="0" w:line="175" w:lineRule="exact"/>
        <w:rPr>
          <w:sz w:val="20"/>
          <w:szCs w:val="20"/>
          <w:color w:val="auto"/>
        </w:rPr>
      </w:pPr>
    </w:p>
    <w:p>
      <w:pPr>
        <w:ind w:right="300"/>
        <w:spacing w:after="0" w:line="266" w:lineRule="auto"/>
        <w:rPr>
          <w:sz w:val="20"/>
          <w:szCs w:val="20"/>
          <w:color w:val="auto"/>
        </w:rPr>
      </w:pPr>
      <w:r>
        <w:rPr>
          <w:rFonts w:ascii="Arial" w:cs="Arial" w:eastAsia="Arial" w:hAnsi="Arial"/>
          <w:sz w:val="16"/>
          <w:szCs w:val="16"/>
          <w:color w:val="auto"/>
        </w:rPr>
        <w:t>In addition to his strong product development capabilities, Vandagriff has traveled internationally, working with key Kodak customers to successfully implement commercial inkjet into their production processes. His respected knowledge, broad background, and deep industry network has contributed to making Kodak the world’s leader in high volume variable printing 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-379730</wp:posOffset>
            </wp:positionV>
            <wp:extent cx="7261225" cy="6140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1225" cy="614045"/>
                    </a:xfrm>
                    <a:prstGeom prst="rect">
                      <a:avLst/>
                    </a:prstGeom>
                    <a:noFill/>
                  </pic:spPr>
                </pic:pic>
              </a:graphicData>
            </a:graphic>
          </wp:anchor>
        </w:drawing>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Vandagriff holds an MBA degree from the University of Phoenix and a Bachelor of Science in Mechanical Engineering from Wright State University.</w:t>
      </w:r>
    </w:p>
    <w:p>
      <w:pPr>
        <w:spacing w:after="0" w:line="223"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u w:val="single" w:color="auto"/>
          <w:color w:val="auto"/>
        </w:rPr>
        <w:t>PART II</w:t>
      </w:r>
    </w:p>
    <w:p>
      <w:pPr>
        <w:spacing w:after="0" w:line="203" w:lineRule="exact"/>
        <w:rPr>
          <w:sz w:val="20"/>
          <w:szCs w:val="20"/>
          <w:color w:val="auto"/>
        </w:rPr>
      </w:pPr>
    </w:p>
    <w:p>
      <w:pPr>
        <w:ind w:left="1020" w:right="660" w:hanging="1027"/>
        <w:spacing w:after="0" w:line="285" w:lineRule="auto"/>
        <w:tabs>
          <w:tab w:leader="none" w:pos="1000" w:val="left"/>
        </w:tabs>
        <w:rPr>
          <w:sz w:val="20"/>
          <w:szCs w:val="20"/>
          <w:color w:val="auto"/>
        </w:rPr>
      </w:pPr>
      <w:r>
        <w:rPr>
          <w:rFonts w:ascii="Arial" w:cs="Arial" w:eastAsia="Arial" w:hAnsi="Arial"/>
          <w:sz w:val="16"/>
          <w:szCs w:val="16"/>
          <w:b w:val="1"/>
          <w:bCs w:val="1"/>
          <w:color w:val="auto"/>
        </w:rPr>
        <w:t>ITEM 5.</w:t>
      </w:r>
      <w:r>
        <w:rPr>
          <w:sz w:val="20"/>
          <w:szCs w:val="20"/>
          <w:color w:val="auto"/>
        </w:rPr>
        <w:tab/>
      </w:r>
      <w:r>
        <w:rPr>
          <w:rFonts w:ascii="Arial" w:cs="Arial" w:eastAsia="Arial" w:hAnsi="Arial"/>
          <w:sz w:val="16"/>
          <w:szCs w:val="16"/>
          <w:b w:val="1"/>
          <w:bCs w:val="1"/>
          <w:color w:val="auto"/>
        </w:rPr>
        <w:t>MARKET FOR REGISTRANT’S COMMON EQUITY, RELATED STOCKHOLDER MATTERS AND ISSUER PURCHASES OF EQUITY SECURITIES</w:t>
      </w:r>
    </w:p>
    <w:p>
      <w:pPr>
        <w:spacing w:after="0" w:line="51" w:lineRule="exact"/>
        <w:rPr>
          <w:sz w:val="20"/>
          <w:szCs w:val="20"/>
          <w:color w:val="auto"/>
        </w:rPr>
      </w:pPr>
    </w:p>
    <w:p>
      <w:pPr>
        <w:ind w:right="540"/>
        <w:spacing w:after="0" w:line="315" w:lineRule="auto"/>
        <w:rPr>
          <w:sz w:val="20"/>
          <w:szCs w:val="20"/>
          <w:color w:val="auto"/>
        </w:rPr>
      </w:pPr>
      <w:r>
        <w:rPr>
          <w:rFonts w:ascii="Arial" w:cs="Arial" w:eastAsia="Arial" w:hAnsi="Arial"/>
          <w:sz w:val="15"/>
          <w:szCs w:val="15"/>
          <w:color w:val="auto"/>
        </w:rPr>
        <w:t>The Company’s common stock is listed on the New York Stock Exchange (NYSE) under the symbol “KODK” and has been trading since September 23, 2013, following emergence from bankruptcy on September 3, 2013 after confirmation of the revised First Amended Joint Chapter 11 Plan of Reorganization.</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There were 2,903 shareholders of record of common stock on December 31, 2017.</w:t>
      </w:r>
    </w:p>
    <w:p>
      <w:pPr>
        <w:spacing w:after="0" w:line="227" w:lineRule="exact"/>
        <w:rPr>
          <w:sz w:val="20"/>
          <w:szCs w:val="20"/>
          <w:color w:val="auto"/>
        </w:rPr>
      </w:pPr>
    </w:p>
    <w:p>
      <w:pPr>
        <w:ind w:right="600"/>
        <w:spacing w:after="0" w:line="280" w:lineRule="auto"/>
        <w:rPr>
          <w:sz w:val="20"/>
          <w:szCs w:val="20"/>
          <w:color w:val="auto"/>
        </w:rPr>
      </w:pPr>
      <w:r>
        <w:rPr>
          <w:rFonts w:ascii="Arial" w:cs="Arial" w:eastAsia="Arial" w:hAnsi="Arial"/>
          <w:sz w:val="16"/>
          <w:szCs w:val="16"/>
          <w:color w:val="auto"/>
        </w:rPr>
        <w:t>Information regarding securities authorized for issuance under equity compensation plans is included in Item 12. “Security Ownership of Certain Beneficial Owners and Management and Related Stockholder Matters” under the caption “Equity Compensation Plan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MARKET PRICE DATA</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The market price data below reflects the high and low sales price of the Company’s stock.</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500" w:type="dxa"/>
            <w:vAlign w:val="bottom"/>
            <w:gridSpan w:val="2"/>
            <w:vMerge w:val="restart"/>
          </w:tcPr>
          <w:p>
            <w:pPr>
              <w:ind w:left="580"/>
              <w:spacing w:after="0"/>
              <w:rPr>
                <w:sz w:val="20"/>
                <w:szCs w:val="20"/>
                <w:color w:val="auto"/>
              </w:rPr>
            </w:pPr>
            <w:r>
              <w:rPr>
                <w:rFonts w:ascii="Arial" w:cs="Arial" w:eastAsia="Arial" w:hAnsi="Arial"/>
                <w:sz w:val="13"/>
                <w:szCs w:val="13"/>
                <w:color w:val="auto"/>
              </w:rPr>
              <w:t>Price per share:</w:t>
            </w:r>
          </w:p>
        </w:tc>
        <w:tc>
          <w:tcPr>
            <w:tcW w:w="24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2"/>
          </w:tcPr>
          <w:p>
            <w:pPr>
              <w:jc w:val="right"/>
              <w:ind w:right="119"/>
              <w:spacing w:after="0"/>
              <w:rPr>
                <w:sz w:val="20"/>
                <w:szCs w:val="20"/>
                <w:color w:val="auto"/>
              </w:rPr>
            </w:pPr>
            <w:r>
              <w:rPr>
                <w:rFonts w:ascii="Arial" w:cs="Arial" w:eastAsia="Arial" w:hAnsi="Arial"/>
                <w:sz w:val="13"/>
                <w:szCs w:val="13"/>
                <w:b w:val="1"/>
                <w:bCs w:val="1"/>
                <w:color w:val="auto"/>
              </w:rPr>
              <w:t>2017</w:t>
            </w:r>
          </w:p>
        </w:tc>
        <w:tc>
          <w:tcPr>
            <w:tcW w:w="82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2"/>
          </w:tcPr>
          <w:p>
            <w:pPr>
              <w:jc w:val="right"/>
              <w:ind w:right="139"/>
              <w:spacing w:after="0"/>
              <w:rPr>
                <w:sz w:val="20"/>
                <w:szCs w:val="20"/>
                <w:color w:val="auto"/>
              </w:rPr>
            </w:pPr>
            <w:r>
              <w:rPr>
                <w:rFonts w:ascii="Arial" w:cs="Arial" w:eastAsia="Arial" w:hAnsi="Arial"/>
                <w:sz w:val="13"/>
                <w:szCs w:val="13"/>
                <w:b w:val="1"/>
                <w:bCs w:val="1"/>
                <w:color w:val="auto"/>
              </w:rPr>
              <w:t>2016</w:t>
            </w:r>
          </w:p>
        </w:tc>
        <w:tc>
          <w:tcPr>
            <w:tcW w:w="8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3500" w:type="dxa"/>
            <w:vAlign w:val="bottom"/>
            <w:gridSpan w:val="2"/>
            <w:vMerge w:val="continue"/>
          </w:tcPr>
          <w:p>
            <w:pPr>
              <w:spacing w:after="0"/>
              <w:rPr>
                <w:sz w:val="11"/>
                <w:szCs w:val="11"/>
                <w:color w:val="auto"/>
              </w:rPr>
            </w:pPr>
          </w:p>
        </w:tc>
        <w:tc>
          <w:tcPr>
            <w:tcW w:w="2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jc w:val="right"/>
              <w:ind w:right="425"/>
              <w:spacing w:after="0" w:line="138" w:lineRule="exact"/>
              <w:rPr>
                <w:sz w:val="20"/>
                <w:szCs w:val="20"/>
                <w:color w:val="auto"/>
              </w:rPr>
            </w:pPr>
            <w:r>
              <w:rPr>
                <w:rFonts w:ascii="Arial" w:cs="Arial" w:eastAsia="Arial" w:hAnsi="Arial"/>
                <w:sz w:val="13"/>
                <w:szCs w:val="13"/>
                <w:b w:val="1"/>
                <w:bCs w:val="1"/>
                <w:color w:val="auto"/>
              </w:rPr>
              <w:t>High</w:t>
            </w:r>
          </w:p>
        </w:tc>
        <w:tc>
          <w:tcPr>
            <w:tcW w:w="340" w:type="dxa"/>
            <w:vAlign w:val="bottom"/>
          </w:tcPr>
          <w:p>
            <w:pPr>
              <w:spacing w:after="0"/>
              <w:rPr>
                <w:sz w:val="11"/>
                <w:szCs w:val="11"/>
                <w:color w:val="auto"/>
              </w:rPr>
            </w:pPr>
          </w:p>
        </w:tc>
        <w:tc>
          <w:tcPr>
            <w:tcW w:w="820" w:type="dxa"/>
            <w:vAlign w:val="bottom"/>
          </w:tcPr>
          <w:p>
            <w:pPr>
              <w:jc w:val="right"/>
              <w:ind w:right="323"/>
              <w:spacing w:after="0" w:line="138" w:lineRule="exact"/>
              <w:rPr>
                <w:sz w:val="20"/>
                <w:szCs w:val="20"/>
                <w:color w:val="auto"/>
              </w:rPr>
            </w:pPr>
            <w:r>
              <w:rPr>
                <w:rFonts w:ascii="Arial" w:cs="Arial" w:eastAsia="Arial" w:hAnsi="Arial"/>
                <w:sz w:val="13"/>
                <w:szCs w:val="13"/>
                <w:b w:val="1"/>
                <w:bCs w:val="1"/>
                <w:color w:val="auto"/>
              </w:rPr>
              <w:t>Low</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jc w:val="right"/>
              <w:ind w:right="425"/>
              <w:spacing w:after="0" w:line="138" w:lineRule="exact"/>
              <w:rPr>
                <w:sz w:val="20"/>
                <w:szCs w:val="20"/>
                <w:color w:val="auto"/>
              </w:rPr>
            </w:pPr>
            <w:r>
              <w:rPr>
                <w:rFonts w:ascii="Arial" w:cs="Arial" w:eastAsia="Arial" w:hAnsi="Arial"/>
                <w:sz w:val="13"/>
                <w:szCs w:val="13"/>
                <w:b w:val="1"/>
                <w:bCs w:val="1"/>
                <w:color w:val="auto"/>
              </w:rPr>
              <w:t>High</w:t>
            </w:r>
          </w:p>
        </w:tc>
        <w:tc>
          <w:tcPr>
            <w:tcW w:w="340" w:type="dxa"/>
            <w:vAlign w:val="bottom"/>
          </w:tcPr>
          <w:p>
            <w:pPr>
              <w:spacing w:after="0"/>
              <w:rPr>
                <w:sz w:val="11"/>
                <w:szCs w:val="11"/>
                <w:color w:val="auto"/>
              </w:rPr>
            </w:pPr>
          </w:p>
        </w:tc>
        <w:tc>
          <w:tcPr>
            <w:tcW w:w="820" w:type="dxa"/>
            <w:vAlign w:val="bottom"/>
          </w:tcPr>
          <w:p>
            <w:pPr>
              <w:jc w:val="right"/>
              <w:ind w:right="323"/>
              <w:spacing w:after="0" w:line="138" w:lineRule="exact"/>
              <w:rPr>
                <w:sz w:val="20"/>
                <w:szCs w:val="20"/>
                <w:color w:val="auto"/>
              </w:rPr>
            </w:pPr>
            <w:r>
              <w:rPr>
                <w:rFonts w:ascii="Arial" w:cs="Arial" w:eastAsia="Arial" w:hAnsi="Arial"/>
                <w:sz w:val="13"/>
                <w:szCs w:val="13"/>
                <w:b w:val="1"/>
                <w:bCs w:val="1"/>
                <w:color w:val="auto"/>
              </w:rPr>
              <w:t>Low</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5"/>
        </w:trPr>
        <w:tc>
          <w:tcPr>
            <w:tcW w:w="580" w:type="dxa"/>
            <w:vAlign w:val="bottom"/>
          </w:tcPr>
          <w:p>
            <w:pPr>
              <w:spacing w:after="0"/>
              <w:rPr>
                <w:sz w:val="17"/>
                <w:szCs w:val="17"/>
                <w:color w:val="auto"/>
              </w:rPr>
            </w:pPr>
          </w:p>
        </w:tc>
        <w:tc>
          <w:tcPr>
            <w:tcW w:w="2920" w:type="dxa"/>
            <w:vAlign w:val="bottom"/>
            <w:shd w:val="clear" w:color="auto" w:fill="CFF0FC"/>
          </w:tcPr>
          <w:p>
            <w:pPr>
              <w:spacing w:after="0"/>
              <w:rPr>
                <w:sz w:val="20"/>
                <w:szCs w:val="20"/>
                <w:color w:val="auto"/>
              </w:rPr>
            </w:pPr>
            <w:r>
              <w:rPr>
                <w:rFonts w:ascii="Arial" w:cs="Arial" w:eastAsia="Arial" w:hAnsi="Arial"/>
                <w:sz w:val="16"/>
                <w:szCs w:val="16"/>
                <w:color w:val="auto"/>
              </w:rPr>
              <w:t>1st Quarter</w:t>
            </w:r>
          </w:p>
        </w:tc>
        <w:tc>
          <w:tcPr>
            <w:tcW w:w="26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ind w:right="45"/>
              <w:spacing w:after="0"/>
              <w:rPr>
                <w:sz w:val="20"/>
                <w:szCs w:val="20"/>
                <w:color w:val="auto"/>
              </w:rPr>
            </w:pPr>
            <w:r>
              <w:rPr>
                <w:rFonts w:ascii="Arial" w:cs="Arial" w:eastAsia="Arial" w:hAnsi="Arial"/>
                <w:sz w:val="16"/>
                <w:szCs w:val="16"/>
                <w:color w:val="auto"/>
              </w:rPr>
              <w:t>16.50</w:t>
            </w:r>
          </w:p>
        </w:tc>
        <w:tc>
          <w:tcPr>
            <w:tcW w:w="3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10.30</w:t>
            </w:r>
          </w:p>
        </w:tc>
        <w:tc>
          <w:tcPr>
            <w:tcW w:w="4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ind w:right="45"/>
              <w:spacing w:after="0"/>
              <w:rPr>
                <w:sz w:val="20"/>
                <w:szCs w:val="20"/>
                <w:color w:val="auto"/>
              </w:rPr>
            </w:pPr>
            <w:r>
              <w:rPr>
                <w:rFonts w:ascii="Arial" w:cs="Arial" w:eastAsia="Arial" w:hAnsi="Arial"/>
                <w:sz w:val="16"/>
                <w:szCs w:val="16"/>
                <w:color w:val="auto"/>
              </w:rPr>
              <w:t>12.47</w:t>
            </w:r>
          </w:p>
        </w:tc>
        <w:tc>
          <w:tcPr>
            <w:tcW w:w="34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7.56</w:t>
            </w:r>
          </w:p>
        </w:tc>
        <w:tc>
          <w:tcPr>
            <w:tcW w:w="100" w:type="dxa"/>
            <w:vAlign w:val="bottom"/>
            <w:shd w:val="clear" w:color="auto" w:fill="CFF0FC"/>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80" w:type="dxa"/>
            <w:vAlign w:val="bottom"/>
          </w:tcPr>
          <w:p>
            <w:pPr>
              <w:spacing w:after="0"/>
              <w:rPr>
                <w:sz w:val="17"/>
                <w:szCs w:val="17"/>
                <w:color w:val="auto"/>
              </w:rPr>
            </w:pPr>
          </w:p>
        </w:tc>
        <w:tc>
          <w:tcPr>
            <w:tcW w:w="2920" w:type="dxa"/>
            <w:vAlign w:val="bottom"/>
          </w:tcPr>
          <w:p>
            <w:pPr>
              <w:spacing w:after="0"/>
              <w:rPr>
                <w:sz w:val="20"/>
                <w:szCs w:val="20"/>
                <w:color w:val="auto"/>
              </w:rPr>
            </w:pPr>
            <w:r>
              <w:rPr>
                <w:rFonts w:ascii="Arial" w:cs="Arial" w:eastAsia="Arial" w:hAnsi="Arial"/>
                <w:sz w:val="16"/>
                <w:szCs w:val="16"/>
                <w:color w:val="auto"/>
              </w:rPr>
              <w:t>2nd Quarter</w:t>
            </w:r>
          </w:p>
        </w:tc>
        <w:tc>
          <w:tcPr>
            <w:tcW w:w="26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5"/>
              <w:spacing w:after="0"/>
              <w:rPr>
                <w:sz w:val="20"/>
                <w:szCs w:val="20"/>
                <w:color w:val="auto"/>
              </w:rPr>
            </w:pPr>
            <w:r>
              <w:rPr>
                <w:rFonts w:ascii="Arial" w:cs="Arial" w:eastAsia="Arial" w:hAnsi="Arial"/>
                <w:sz w:val="16"/>
                <w:szCs w:val="16"/>
                <w:color w:val="auto"/>
              </w:rPr>
              <w:t>11.68</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8.75</w:t>
            </w:r>
          </w:p>
        </w:tc>
        <w:tc>
          <w:tcPr>
            <w:tcW w:w="4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5"/>
              <w:spacing w:after="0"/>
              <w:rPr>
                <w:sz w:val="20"/>
                <w:szCs w:val="20"/>
                <w:color w:val="auto"/>
              </w:rPr>
            </w:pPr>
            <w:r>
              <w:rPr>
                <w:rFonts w:ascii="Arial" w:cs="Arial" w:eastAsia="Arial" w:hAnsi="Arial"/>
                <w:sz w:val="16"/>
                <w:szCs w:val="16"/>
                <w:color w:val="auto"/>
              </w:rPr>
              <w:t>16.80</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80" w:type="dxa"/>
            <w:vAlign w:val="bottom"/>
          </w:tcPr>
          <w:p>
            <w:pPr>
              <w:spacing w:after="0"/>
              <w:rPr>
                <w:sz w:val="17"/>
                <w:szCs w:val="17"/>
                <w:color w:val="auto"/>
              </w:rPr>
            </w:pPr>
          </w:p>
        </w:tc>
        <w:tc>
          <w:tcPr>
            <w:tcW w:w="2920" w:type="dxa"/>
            <w:vAlign w:val="bottom"/>
            <w:shd w:val="clear" w:color="auto" w:fill="CFF0FC"/>
          </w:tcPr>
          <w:p>
            <w:pPr>
              <w:spacing w:after="0"/>
              <w:rPr>
                <w:sz w:val="20"/>
                <w:szCs w:val="20"/>
                <w:color w:val="auto"/>
              </w:rPr>
            </w:pPr>
            <w:r>
              <w:rPr>
                <w:rFonts w:ascii="Arial" w:cs="Arial" w:eastAsia="Arial" w:hAnsi="Arial"/>
                <w:sz w:val="16"/>
                <w:szCs w:val="16"/>
                <w:color w:val="auto"/>
              </w:rPr>
              <w:t>3rd Quarter</w:t>
            </w:r>
          </w:p>
        </w:tc>
        <w:tc>
          <w:tcPr>
            <w:tcW w:w="26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ind w:right="45"/>
              <w:spacing w:after="0"/>
              <w:rPr>
                <w:sz w:val="20"/>
                <w:szCs w:val="20"/>
                <w:color w:val="auto"/>
              </w:rPr>
            </w:pPr>
            <w:r>
              <w:rPr>
                <w:rFonts w:ascii="Arial" w:cs="Arial" w:eastAsia="Arial" w:hAnsi="Arial"/>
                <w:sz w:val="16"/>
                <w:szCs w:val="16"/>
                <w:color w:val="auto"/>
              </w:rPr>
              <w:t>9.82</w:t>
            </w:r>
          </w:p>
        </w:tc>
        <w:tc>
          <w:tcPr>
            <w:tcW w:w="3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6.65</w:t>
            </w:r>
          </w:p>
        </w:tc>
        <w:tc>
          <w:tcPr>
            <w:tcW w:w="4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ind w:right="45"/>
              <w:spacing w:after="0"/>
              <w:rPr>
                <w:sz w:val="20"/>
                <w:szCs w:val="20"/>
                <w:color w:val="auto"/>
              </w:rPr>
            </w:pPr>
            <w:r>
              <w:rPr>
                <w:rFonts w:ascii="Arial" w:cs="Arial" w:eastAsia="Arial" w:hAnsi="Arial"/>
                <w:sz w:val="16"/>
                <w:szCs w:val="16"/>
                <w:color w:val="auto"/>
              </w:rPr>
              <w:t>17.29</w:t>
            </w:r>
          </w:p>
        </w:tc>
        <w:tc>
          <w:tcPr>
            <w:tcW w:w="34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14.01</w:t>
            </w:r>
          </w:p>
        </w:tc>
        <w:tc>
          <w:tcPr>
            <w:tcW w:w="100" w:type="dxa"/>
            <w:vAlign w:val="bottom"/>
            <w:shd w:val="clear" w:color="auto" w:fill="CFF0FC"/>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80" w:type="dxa"/>
            <w:vAlign w:val="bottom"/>
          </w:tcPr>
          <w:p>
            <w:pPr>
              <w:spacing w:after="0"/>
              <w:rPr>
                <w:sz w:val="17"/>
                <w:szCs w:val="17"/>
                <w:color w:val="auto"/>
              </w:rPr>
            </w:pPr>
          </w:p>
        </w:tc>
        <w:tc>
          <w:tcPr>
            <w:tcW w:w="2920" w:type="dxa"/>
            <w:vAlign w:val="bottom"/>
          </w:tcPr>
          <w:p>
            <w:pPr>
              <w:spacing w:after="0"/>
              <w:rPr>
                <w:sz w:val="20"/>
                <w:szCs w:val="20"/>
                <w:color w:val="auto"/>
              </w:rPr>
            </w:pPr>
            <w:r>
              <w:rPr>
                <w:rFonts w:ascii="Arial" w:cs="Arial" w:eastAsia="Arial" w:hAnsi="Arial"/>
                <w:sz w:val="16"/>
                <w:szCs w:val="16"/>
                <w:color w:val="auto"/>
              </w:rPr>
              <w:t>4th Quarter</w:t>
            </w:r>
          </w:p>
        </w:tc>
        <w:tc>
          <w:tcPr>
            <w:tcW w:w="26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5"/>
              <w:spacing w:after="0"/>
              <w:rPr>
                <w:sz w:val="20"/>
                <w:szCs w:val="20"/>
                <w:color w:val="auto"/>
              </w:rPr>
            </w:pPr>
            <w:r>
              <w:rPr>
                <w:rFonts w:ascii="Arial" w:cs="Arial" w:eastAsia="Arial" w:hAnsi="Arial"/>
                <w:sz w:val="16"/>
                <w:szCs w:val="16"/>
                <w:color w:val="auto"/>
              </w:rPr>
              <w:t>7.45</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2.95</w:t>
            </w:r>
          </w:p>
        </w:tc>
        <w:tc>
          <w:tcPr>
            <w:tcW w:w="4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5"/>
              <w:spacing w:after="0"/>
              <w:rPr>
                <w:sz w:val="20"/>
                <w:szCs w:val="20"/>
                <w:color w:val="auto"/>
              </w:rPr>
            </w:pPr>
            <w:r>
              <w:rPr>
                <w:rFonts w:ascii="Arial" w:cs="Arial" w:eastAsia="Arial" w:hAnsi="Arial"/>
                <w:sz w:val="16"/>
                <w:szCs w:val="16"/>
                <w:color w:val="auto"/>
              </w:rPr>
              <w:t>17.30</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13.87</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4"/>
        </w:trPr>
        <w:tc>
          <w:tcPr>
            <w:tcW w:w="58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2420" w:type="dxa"/>
            <w:vAlign w:val="bottom"/>
          </w:tcPr>
          <w:p>
            <w:pPr>
              <w:jc w:val="right"/>
              <w:ind w:right="39"/>
              <w:spacing w:after="0"/>
              <w:rPr>
                <w:sz w:val="20"/>
                <w:szCs w:val="20"/>
                <w:color w:val="auto"/>
              </w:rPr>
            </w:pPr>
            <w:r>
              <w:rPr>
                <w:rFonts w:ascii="Arial" w:cs="Arial" w:eastAsia="Arial" w:hAnsi="Arial"/>
                <w:sz w:val="16"/>
                <w:szCs w:val="16"/>
                <w:color w:val="auto"/>
              </w:rPr>
              <w:t>25</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580" w:type="dxa"/>
            <w:vAlign w:val="bottom"/>
            <w:tcBorders>
              <w:bottom w:val="single" w:sz="8" w:color="9A9A9A"/>
            </w:tcBorders>
          </w:tcPr>
          <w:p>
            <w:pPr>
              <w:spacing w:after="0"/>
              <w:rPr>
                <w:sz w:val="8"/>
                <w:szCs w:val="8"/>
                <w:color w:val="auto"/>
              </w:rPr>
            </w:pPr>
          </w:p>
        </w:tc>
        <w:tc>
          <w:tcPr>
            <w:tcW w:w="2920" w:type="dxa"/>
            <w:vAlign w:val="bottom"/>
            <w:tcBorders>
              <w:bottom w:val="single" w:sz="8" w:color="9A9A9A"/>
            </w:tcBorders>
          </w:tcPr>
          <w:p>
            <w:pPr>
              <w:spacing w:after="0"/>
              <w:rPr>
                <w:sz w:val="8"/>
                <w:szCs w:val="8"/>
                <w:color w:val="auto"/>
              </w:rPr>
            </w:pPr>
          </w:p>
        </w:tc>
        <w:tc>
          <w:tcPr>
            <w:tcW w:w="24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7253605</wp:posOffset>
            </wp:positionH>
            <wp:positionV relativeFrom="paragraph">
              <wp:posOffset>-27305</wp:posOffset>
            </wp:positionV>
            <wp:extent cx="33020" cy="406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-27305</wp:posOffset>
            </wp:positionV>
            <wp:extent cx="33020" cy="406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460"/>
          </w:cols>
          <w:pgMar w:left="240" w:top="224" w:right="199" w:bottom="1440" w:gutter="0" w:footer="0" w:header="0"/>
        </w:sectPr>
      </w:pPr>
    </w:p>
    <w:bookmarkStart w:id="25" w:name="page26"/>
    <w:bookmarkEnd w:id="25"/>
    <w:p>
      <w:pPr>
        <w:spacing w:after="0"/>
        <w:rPr>
          <w:sz w:val="20"/>
          <w:szCs w:val="20"/>
          <w:color w:val="auto"/>
        </w:rPr>
      </w:pPr>
      <w:r>
        <w:rPr>
          <w:rFonts w:ascii="Arial" w:cs="Arial" w:eastAsia="Arial" w:hAnsi="Arial"/>
          <w:sz w:val="16"/>
          <w:szCs w:val="16"/>
          <w:b w:val="1"/>
          <w:bCs w:val="1"/>
          <w:color w:val="auto"/>
        </w:rPr>
        <w:t>DIVIDEND INFORMATION</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No dividends on common stock were declared or paid during 2017 or 2016.</w:t>
      </w:r>
    </w:p>
    <w:p>
      <w:pPr>
        <w:spacing w:after="0" w:line="203" w:lineRule="exact"/>
        <w:rPr>
          <w:sz w:val="20"/>
          <w:szCs w:val="20"/>
          <w:color w:val="auto"/>
        </w:rPr>
      </w:pPr>
    </w:p>
    <w:p>
      <w:pPr>
        <w:spacing w:after="0" w:line="280" w:lineRule="auto"/>
        <w:rPr>
          <w:sz w:val="20"/>
          <w:szCs w:val="20"/>
          <w:color w:val="auto"/>
        </w:rPr>
      </w:pPr>
      <w:r>
        <w:rPr>
          <w:rFonts w:ascii="Arial" w:cs="Arial" w:eastAsia="Arial" w:hAnsi="Arial"/>
          <w:sz w:val="16"/>
          <w:szCs w:val="16"/>
          <w:color w:val="auto"/>
        </w:rPr>
        <w:t>Dividends for common shareholders may be restricted under Kodak’s Credit Agreements and the Series A Preferred Stock Agreement. Refer to Note 8, “Debt and Capital Leases,” and Note 9, “Redeemable, Convertible Series A Preferred Stock” in the Notes to Financial Statements.</w:t>
      </w:r>
    </w:p>
    <w:p>
      <w:pPr>
        <w:spacing w:after="0" w:line="151" w:lineRule="exact"/>
        <w:rPr>
          <w:sz w:val="20"/>
          <w:szCs w:val="20"/>
          <w:color w:val="auto"/>
        </w:rPr>
      </w:pPr>
    </w:p>
    <w:p>
      <w:pPr>
        <w:jc w:val="center"/>
        <w:ind w:right="-4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62865</wp:posOffset>
            </wp:positionV>
            <wp:extent cx="7301865" cy="406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301865" cy="40640"/>
                    </a:xfrm>
                    <a:prstGeom prst="rect">
                      <a:avLst/>
                    </a:prstGeom>
                    <a:noFill/>
                  </pic:spPr>
                </pic:pic>
              </a:graphicData>
            </a:graphic>
          </wp:anchor>
        </w:drawing>
      </w:r>
    </w:p>
    <w:p>
      <w:pPr>
        <w:sectPr>
          <w:pgSz w:w="11900" w:h="16838" w:orient="portrait"/>
          <w:cols w:equalWidth="0" w:num="1">
            <w:col w:w="11000"/>
          </w:cols>
          <w:pgMar w:left="240" w:top="256" w:right="659" w:bottom="1440" w:gutter="0" w:footer="0" w:header="0"/>
        </w:sectPr>
      </w:pPr>
    </w:p>
    <w:bookmarkStart w:id="26" w:name="page27"/>
    <w:bookmarkEnd w:id="26"/>
    <w:p>
      <w:pPr>
        <w:spacing w:after="0"/>
        <w:rPr>
          <w:sz w:val="20"/>
          <w:szCs w:val="20"/>
          <w:color w:val="auto"/>
        </w:rPr>
      </w:pPr>
      <w:r>
        <w:rPr>
          <w:rFonts w:ascii="Arial" w:cs="Arial" w:eastAsia="Arial" w:hAnsi="Arial"/>
          <w:sz w:val="16"/>
          <w:szCs w:val="16"/>
          <w:b w:val="1"/>
          <w:bCs w:val="1"/>
          <w:color w:val="auto"/>
        </w:rPr>
        <w:t>PERFORMANCE GRAPH - SHAREHOLDER RETURN</w:t>
      </w:r>
    </w:p>
    <w:p>
      <w:pPr>
        <w:spacing w:after="0" w:line="231" w:lineRule="exact"/>
        <w:rPr>
          <w:sz w:val="20"/>
          <w:szCs w:val="20"/>
          <w:color w:val="auto"/>
        </w:rPr>
      </w:pPr>
    </w:p>
    <w:p>
      <w:pPr>
        <w:ind w:right="140"/>
        <w:spacing w:after="0" w:line="266" w:lineRule="auto"/>
        <w:rPr>
          <w:sz w:val="20"/>
          <w:szCs w:val="20"/>
          <w:color w:val="auto"/>
        </w:rPr>
      </w:pPr>
      <w:r>
        <w:rPr>
          <w:rFonts w:ascii="Arial" w:cs="Arial" w:eastAsia="Arial" w:hAnsi="Arial"/>
          <w:sz w:val="16"/>
          <w:szCs w:val="16"/>
          <w:color w:val="auto"/>
        </w:rPr>
        <w:t>The following graph compares the performance of the Company's common stock with the performance of the Standard &amp; Poor's (S&amp;P) Small Cap 600 Information Technology Index, and the Russell 2000 Index (in which the Company is currently included), by measuring the quarterly changes in common stock prices from September 23, 2013, plus reinvested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873125</wp:posOffset>
            </wp:positionH>
            <wp:positionV relativeFrom="paragraph">
              <wp:posOffset>126365</wp:posOffset>
            </wp:positionV>
            <wp:extent cx="5518785" cy="36766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518785" cy="3676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4260" w:type="dxa"/>
            <w:vAlign w:val="bottom"/>
            <w:tcBorders>
              <w:top w:val="single" w:sz="8" w:color="auto"/>
              <w:bottom w:val="single" w:sz="8" w:color="auto"/>
            </w:tcBorders>
          </w:tcPr>
          <w:p>
            <w:pPr>
              <w:spacing w:after="0"/>
              <w:rPr>
                <w:sz w:val="18"/>
                <w:szCs w:val="18"/>
                <w:color w:val="auto"/>
              </w:rPr>
            </w:pPr>
          </w:p>
        </w:tc>
        <w:tc>
          <w:tcPr>
            <w:tcW w:w="2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12/13</w:t>
            </w:r>
          </w:p>
        </w:tc>
        <w:tc>
          <w:tcPr>
            <w:tcW w:w="10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12/14</w:t>
            </w:r>
          </w:p>
        </w:tc>
        <w:tc>
          <w:tcPr>
            <w:tcW w:w="10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12/15</w:t>
            </w:r>
          </w:p>
        </w:tc>
        <w:tc>
          <w:tcPr>
            <w:tcW w:w="10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12/16</w:t>
            </w:r>
          </w:p>
        </w:tc>
        <w:tc>
          <w:tcPr>
            <w:tcW w:w="12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12/17</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426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4260" w:type="dxa"/>
            <w:vAlign w:val="bottom"/>
            <w:shd w:val="clear" w:color="auto" w:fill="CFF0FC"/>
          </w:tcPr>
          <w:p>
            <w:pPr>
              <w:spacing w:after="0"/>
              <w:rPr>
                <w:sz w:val="20"/>
                <w:szCs w:val="20"/>
                <w:color w:val="auto"/>
              </w:rPr>
            </w:pPr>
            <w:r>
              <w:rPr>
                <w:rFonts w:ascii="Arial" w:cs="Arial" w:eastAsia="Arial" w:hAnsi="Arial"/>
                <w:sz w:val="16"/>
                <w:szCs w:val="16"/>
                <w:color w:val="auto"/>
              </w:rPr>
              <w:t>Eastman Kodak Company</w:t>
            </w:r>
          </w:p>
        </w:tc>
        <w:tc>
          <w:tcPr>
            <w:tcW w:w="2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178.92</w:t>
            </w:r>
          </w:p>
        </w:tc>
        <w:tc>
          <w:tcPr>
            <w:tcW w:w="10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111.91</w:t>
            </w:r>
          </w:p>
        </w:tc>
        <w:tc>
          <w:tcPr>
            <w:tcW w:w="10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64.64</w:t>
            </w:r>
          </w:p>
        </w:tc>
        <w:tc>
          <w:tcPr>
            <w:tcW w:w="10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79.90</w:t>
            </w: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15.98</w:t>
            </w:r>
          </w:p>
        </w:tc>
        <w:tc>
          <w:tcPr>
            <w:tcW w:w="12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260" w:type="dxa"/>
            <w:vAlign w:val="bottom"/>
          </w:tcPr>
          <w:p>
            <w:pPr>
              <w:spacing w:after="0"/>
              <w:rPr>
                <w:sz w:val="20"/>
                <w:szCs w:val="20"/>
                <w:color w:val="auto"/>
              </w:rPr>
            </w:pPr>
            <w:r>
              <w:rPr>
                <w:rFonts w:ascii="Arial" w:cs="Arial" w:eastAsia="Arial" w:hAnsi="Arial"/>
                <w:sz w:val="16"/>
                <w:szCs w:val="16"/>
                <w:color w:val="auto"/>
              </w:rPr>
              <w:t>Russell 2000</w:t>
            </w:r>
          </w:p>
        </w:tc>
        <w:tc>
          <w:tcPr>
            <w:tcW w:w="2060" w:type="dxa"/>
            <w:vAlign w:val="bottom"/>
          </w:tcPr>
          <w:p>
            <w:pPr>
              <w:jc w:val="right"/>
              <w:spacing w:after="0"/>
              <w:rPr>
                <w:sz w:val="20"/>
                <w:szCs w:val="20"/>
                <w:color w:val="auto"/>
              </w:rPr>
            </w:pPr>
            <w:r>
              <w:rPr>
                <w:rFonts w:ascii="Arial" w:cs="Arial" w:eastAsia="Arial" w:hAnsi="Arial"/>
                <w:sz w:val="16"/>
                <w:szCs w:val="16"/>
                <w:color w:val="auto"/>
              </w:rPr>
              <w:t>115.66</w:t>
            </w: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121.32</w:t>
            </w: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115.96</w:t>
            </w: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140.67</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161.28</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260" w:type="dxa"/>
            <w:vAlign w:val="bottom"/>
            <w:shd w:val="clear" w:color="auto" w:fill="CFF0FC"/>
          </w:tcPr>
          <w:p>
            <w:pPr>
              <w:spacing w:after="0"/>
              <w:rPr>
                <w:sz w:val="20"/>
                <w:szCs w:val="20"/>
                <w:color w:val="auto"/>
              </w:rPr>
            </w:pPr>
            <w:r>
              <w:rPr>
                <w:rFonts w:ascii="Arial" w:cs="Arial" w:eastAsia="Arial" w:hAnsi="Arial"/>
                <w:sz w:val="16"/>
                <w:szCs w:val="16"/>
                <w:color w:val="auto"/>
              </w:rPr>
              <w:t>S&amp;P Small Cap 600 Information Technology</w:t>
            </w:r>
          </w:p>
        </w:tc>
        <w:tc>
          <w:tcPr>
            <w:tcW w:w="2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114.95</w:t>
            </w:r>
          </w:p>
        </w:tc>
        <w:tc>
          <w:tcPr>
            <w:tcW w:w="10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118.81</w:t>
            </w:r>
          </w:p>
        </w:tc>
        <w:tc>
          <w:tcPr>
            <w:tcW w:w="10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109.97</w:t>
            </w:r>
          </w:p>
        </w:tc>
        <w:tc>
          <w:tcPr>
            <w:tcW w:w="10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140.13</w:t>
            </w: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151.99</w:t>
            </w:r>
          </w:p>
        </w:tc>
        <w:tc>
          <w:tcPr>
            <w:tcW w:w="12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4"/>
        </w:trPr>
        <w:tc>
          <w:tcPr>
            <w:tcW w:w="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2060" w:type="dxa"/>
            <w:vAlign w:val="bottom"/>
          </w:tcPr>
          <w:p>
            <w:pPr>
              <w:jc w:val="right"/>
              <w:ind w:right="459"/>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4260" w:type="dxa"/>
            <w:vAlign w:val="bottom"/>
            <w:tcBorders>
              <w:bottom w:val="single" w:sz="8" w:color="9A9A9A"/>
            </w:tcBorders>
          </w:tcPr>
          <w:p>
            <w:pPr>
              <w:spacing w:after="0"/>
              <w:rPr>
                <w:sz w:val="8"/>
                <w:szCs w:val="8"/>
                <w:color w:val="auto"/>
              </w:rPr>
            </w:pPr>
          </w:p>
        </w:tc>
        <w:tc>
          <w:tcPr>
            <w:tcW w:w="20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7253605</wp:posOffset>
            </wp:positionH>
            <wp:positionV relativeFrom="paragraph">
              <wp:posOffset>-27305</wp:posOffset>
            </wp:positionV>
            <wp:extent cx="33020" cy="406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-27305</wp:posOffset>
            </wp:positionV>
            <wp:extent cx="33020" cy="406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460"/>
          </w:cols>
          <w:pgMar w:left="240" w:top="123" w:right="199" w:bottom="1440" w:gutter="0" w:footer="0" w:header="0"/>
        </w:sectPr>
      </w:pPr>
    </w:p>
    <w:bookmarkStart w:id="27" w:name="page28"/>
    <w:bookmarkEnd w:id="27"/>
    <w:p>
      <w:pPr>
        <w:spacing w:after="0"/>
        <w:rPr>
          <w:sz w:val="20"/>
          <w:szCs w:val="20"/>
          <w:color w:val="auto"/>
        </w:rPr>
      </w:pPr>
      <w:r>
        <w:rPr>
          <w:rFonts w:ascii="Arial" w:cs="Arial" w:eastAsia="Arial" w:hAnsi="Arial"/>
          <w:sz w:val="16"/>
          <w:szCs w:val="16"/>
          <w:b w:val="1"/>
          <w:bCs w:val="1"/>
          <w:color w:val="auto"/>
        </w:rPr>
        <w:t>ISSUER PURCHASES OF EQUITY SECURITIES DURING THE QUARTER ENDED DECEMBER 31, 2017 (1)</w:t>
      </w:r>
    </w:p>
    <w:p>
      <w:pPr>
        <w:spacing w:after="0" w:line="219" w:lineRule="exact"/>
        <w:rPr>
          <w:sz w:val="20"/>
          <w:szCs w:val="20"/>
          <w:color w:val="auto"/>
        </w:rPr>
      </w:pPr>
    </w:p>
    <w:tbl>
      <w:tblPr>
        <w:tblLayout w:type="fixed"/>
        <w:tblInd w:w="580" w:type="dxa"/>
        <w:tblCellMar>
          <w:top w:w="0" w:type="dxa"/>
          <w:left w:w="0" w:type="dxa"/>
          <w:bottom w:w="0" w:type="dxa"/>
          <w:right w:w="0" w:type="dxa"/>
        </w:tblCellMar>
      </w:tblPr>
      <w:tr>
        <w:trPr>
          <w:trHeight w:val="149"/>
        </w:trPr>
        <w:tc>
          <w:tcPr>
            <w:tcW w:w="4260" w:type="dxa"/>
            <w:vAlign w:val="bottom"/>
          </w:tcPr>
          <w:p>
            <w:pPr>
              <w:spacing w:after="0"/>
              <w:rPr>
                <w:sz w:val="13"/>
                <w:szCs w:val="13"/>
                <w:color w:val="auto"/>
              </w:rPr>
            </w:pPr>
          </w:p>
        </w:tc>
        <w:tc>
          <w:tcPr>
            <w:tcW w:w="152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93"/>
              </w:rPr>
              <w:t>Total Number</w:t>
            </w:r>
          </w:p>
        </w:tc>
        <w:tc>
          <w:tcPr>
            <w:tcW w:w="13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5"/>
              </w:rPr>
              <w:t>Average</w:t>
            </w:r>
          </w:p>
        </w:tc>
        <w:tc>
          <w:tcPr>
            <w:tcW w:w="200" w:type="dxa"/>
            <w:vAlign w:val="bottom"/>
          </w:tcPr>
          <w:p>
            <w:pPr>
              <w:spacing w:after="0"/>
              <w:rPr>
                <w:sz w:val="13"/>
                <w:szCs w:val="13"/>
                <w:color w:val="auto"/>
              </w:rPr>
            </w:pPr>
          </w:p>
        </w:tc>
        <w:tc>
          <w:tcPr>
            <w:tcW w:w="15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9"/>
              </w:rPr>
              <w:t>Total Number of Shares</w:t>
            </w:r>
          </w:p>
        </w:tc>
        <w:tc>
          <w:tcPr>
            <w:tcW w:w="1420" w:type="dxa"/>
            <w:vAlign w:val="bottom"/>
          </w:tcPr>
          <w:p>
            <w:pPr>
              <w:jc w:val="center"/>
              <w:spacing w:after="0"/>
              <w:rPr>
                <w:sz w:val="20"/>
                <w:szCs w:val="20"/>
                <w:color w:val="auto"/>
              </w:rPr>
            </w:pPr>
            <w:r>
              <w:rPr>
                <w:rFonts w:ascii="Arial" w:cs="Arial" w:eastAsia="Arial" w:hAnsi="Arial"/>
                <w:sz w:val="13"/>
                <w:szCs w:val="13"/>
                <w:b w:val="1"/>
                <w:bCs w:val="1"/>
                <w:color w:val="auto"/>
                <w:w w:val="96"/>
              </w:rPr>
              <w:t>Maximum That May</w:t>
            </w:r>
          </w:p>
        </w:tc>
        <w:tc>
          <w:tcPr>
            <w:tcW w:w="0" w:type="dxa"/>
            <w:vAlign w:val="bottom"/>
          </w:tcPr>
          <w:p>
            <w:pPr>
              <w:spacing w:after="0"/>
              <w:rPr>
                <w:sz w:val="1"/>
                <w:szCs w:val="1"/>
                <w:color w:val="auto"/>
              </w:rPr>
            </w:pPr>
          </w:p>
        </w:tc>
      </w:tr>
      <w:tr>
        <w:trPr>
          <w:trHeight w:val="133"/>
        </w:trPr>
        <w:tc>
          <w:tcPr>
            <w:tcW w:w="4260" w:type="dxa"/>
            <w:vAlign w:val="bottom"/>
          </w:tcPr>
          <w:p>
            <w:pPr>
              <w:spacing w:after="0"/>
              <w:rPr>
                <w:sz w:val="11"/>
                <w:szCs w:val="11"/>
                <w:color w:val="auto"/>
              </w:rPr>
            </w:pPr>
          </w:p>
        </w:tc>
        <w:tc>
          <w:tcPr>
            <w:tcW w:w="1520" w:type="dxa"/>
            <w:vAlign w:val="bottom"/>
            <w:gridSpan w:val="2"/>
            <w:vMerge w:val="continue"/>
          </w:tcPr>
          <w:p>
            <w:pPr>
              <w:spacing w:after="0"/>
              <w:rPr>
                <w:sz w:val="11"/>
                <w:szCs w:val="11"/>
                <w:color w:val="auto"/>
              </w:rPr>
            </w:pPr>
          </w:p>
        </w:tc>
        <w:tc>
          <w:tcPr>
            <w:tcW w:w="130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580" w:type="dxa"/>
            <w:vAlign w:val="bottom"/>
            <w:gridSpan w:val="2"/>
          </w:tcPr>
          <w:p>
            <w:pPr>
              <w:jc w:val="center"/>
              <w:ind w:right="120"/>
              <w:spacing w:after="0" w:line="133" w:lineRule="exact"/>
              <w:rPr>
                <w:sz w:val="20"/>
                <w:szCs w:val="20"/>
                <w:color w:val="auto"/>
              </w:rPr>
            </w:pPr>
            <w:r>
              <w:rPr>
                <w:rFonts w:ascii="Arial" w:cs="Arial" w:eastAsia="Arial" w:hAnsi="Arial"/>
                <w:sz w:val="13"/>
                <w:szCs w:val="13"/>
                <w:b w:val="1"/>
                <w:bCs w:val="1"/>
                <w:color w:val="auto"/>
                <w:w w:val="88"/>
              </w:rPr>
              <w:t>Purchased as Part of</w:t>
            </w:r>
          </w:p>
        </w:tc>
        <w:tc>
          <w:tcPr>
            <w:tcW w:w="1420" w:type="dxa"/>
            <w:vAlign w:val="bottom"/>
          </w:tcPr>
          <w:p>
            <w:pPr>
              <w:jc w:val="center"/>
              <w:spacing w:after="0" w:line="133" w:lineRule="exact"/>
              <w:rPr>
                <w:sz w:val="20"/>
                <w:szCs w:val="20"/>
                <w:color w:val="auto"/>
              </w:rPr>
            </w:pPr>
            <w:r>
              <w:rPr>
                <w:rFonts w:ascii="Arial" w:cs="Arial" w:eastAsia="Arial" w:hAnsi="Arial"/>
                <w:sz w:val="13"/>
                <w:szCs w:val="13"/>
                <w:b w:val="1"/>
                <w:bCs w:val="1"/>
                <w:color w:val="auto"/>
                <w:w w:val="87"/>
              </w:rPr>
              <w:t>Be Purchased</w:t>
            </w:r>
          </w:p>
        </w:tc>
        <w:tc>
          <w:tcPr>
            <w:tcW w:w="0" w:type="dxa"/>
            <w:vAlign w:val="bottom"/>
          </w:tcPr>
          <w:p>
            <w:pPr>
              <w:spacing w:after="0"/>
              <w:rPr>
                <w:sz w:val="1"/>
                <w:szCs w:val="1"/>
                <w:color w:val="auto"/>
              </w:rPr>
            </w:pPr>
          </w:p>
        </w:tc>
      </w:tr>
      <w:tr>
        <w:trPr>
          <w:trHeight w:val="133"/>
        </w:trPr>
        <w:tc>
          <w:tcPr>
            <w:tcW w:w="4260" w:type="dxa"/>
            <w:vAlign w:val="bottom"/>
          </w:tcPr>
          <w:p>
            <w:pPr>
              <w:spacing w:after="0"/>
              <w:rPr>
                <w:sz w:val="11"/>
                <w:szCs w:val="11"/>
                <w:color w:val="auto"/>
              </w:rPr>
            </w:pPr>
          </w:p>
        </w:tc>
        <w:tc>
          <w:tcPr>
            <w:tcW w:w="1520" w:type="dxa"/>
            <w:vAlign w:val="bottom"/>
            <w:gridSpan w:val="2"/>
          </w:tcPr>
          <w:p>
            <w:pPr>
              <w:jc w:val="center"/>
              <w:ind w:right="240"/>
              <w:spacing w:after="0" w:line="133" w:lineRule="exact"/>
              <w:rPr>
                <w:sz w:val="20"/>
                <w:szCs w:val="20"/>
                <w:color w:val="auto"/>
              </w:rPr>
            </w:pPr>
            <w:r>
              <w:rPr>
                <w:rFonts w:ascii="Arial" w:cs="Arial" w:eastAsia="Arial" w:hAnsi="Arial"/>
                <w:sz w:val="13"/>
                <w:szCs w:val="13"/>
                <w:b w:val="1"/>
                <w:bCs w:val="1"/>
                <w:color w:val="auto"/>
                <w:w w:val="87"/>
              </w:rPr>
              <w:t>of Shares</w:t>
            </w:r>
          </w:p>
        </w:tc>
        <w:tc>
          <w:tcPr>
            <w:tcW w:w="1300" w:type="dxa"/>
            <w:vAlign w:val="bottom"/>
          </w:tcPr>
          <w:p>
            <w:pPr>
              <w:jc w:val="center"/>
              <w:spacing w:after="0" w:line="133" w:lineRule="exact"/>
              <w:rPr>
                <w:sz w:val="20"/>
                <w:szCs w:val="20"/>
                <w:color w:val="auto"/>
              </w:rPr>
            </w:pPr>
            <w:r>
              <w:rPr>
                <w:rFonts w:ascii="Arial" w:cs="Arial" w:eastAsia="Arial" w:hAnsi="Arial"/>
                <w:sz w:val="13"/>
                <w:szCs w:val="13"/>
                <w:b w:val="1"/>
                <w:bCs w:val="1"/>
                <w:color w:val="auto"/>
                <w:w w:val="88"/>
              </w:rPr>
              <w:t>Price Paid</w:t>
            </w:r>
          </w:p>
        </w:tc>
        <w:tc>
          <w:tcPr>
            <w:tcW w:w="1780" w:type="dxa"/>
            <w:vAlign w:val="bottom"/>
            <w:gridSpan w:val="3"/>
          </w:tcPr>
          <w:p>
            <w:pPr>
              <w:jc w:val="center"/>
              <w:spacing w:after="0" w:line="133" w:lineRule="exact"/>
              <w:rPr>
                <w:sz w:val="20"/>
                <w:szCs w:val="20"/>
                <w:color w:val="auto"/>
              </w:rPr>
            </w:pPr>
            <w:r>
              <w:rPr>
                <w:rFonts w:ascii="Arial" w:cs="Arial" w:eastAsia="Arial" w:hAnsi="Arial"/>
                <w:sz w:val="13"/>
                <w:szCs w:val="13"/>
                <w:b w:val="1"/>
                <w:bCs w:val="1"/>
                <w:color w:val="auto"/>
                <w:w w:val="88"/>
              </w:rPr>
              <w:t>Publicly Announced Plans</w:t>
            </w:r>
          </w:p>
        </w:tc>
        <w:tc>
          <w:tcPr>
            <w:tcW w:w="1420" w:type="dxa"/>
            <w:vAlign w:val="bottom"/>
          </w:tcPr>
          <w:p>
            <w:pPr>
              <w:jc w:val="center"/>
              <w:spacing w:after="0" w:line="133" w:lineRule="exact"/>
              <w:rPr>
                <w:sz w:val="20"/>
                <w:szCs w:val="20"/>
                <w:color w:val="auto"/>
              </w:rPr>
            </w:pPr>
            <w:r>
              <w:rPr>
                <w:rFonts w:ascii="Arial" w:cs="Arial" w:eastAsia="Arial" w:hAnsi="Arial"/>
                <w:sz w:val="13"/>
                <w:szCs w:val="13"/>
                <w:b w:val="1"/>
                <w:bCs w:val="1"/>
                <w:color w:val="auto"/>
                <w:w w:val="89"/>
              </w:rPr>
              <w:t>under the Plans or</w:t>
            </w:r>
          </w:p>
        </w:tc>
        <w:tc>
          <w:tcPr>
            <w:tcW w:w="0" w:type="dxa"/>
            <w:vAlign w:val="bottom"/>
          </w:tcPr>
          <w:p>
            <w:pPr>
              <w:spacing w:after="0"/>
              <w:rPr>
                <w:sz w:val="1"/>
                <w:szCs w:val="1"/>
                <w:color w:val="auto"/>
              </w:rPr>
            </w:pPr>
          </w:p>
        </w:tc>
      </w:tr>
      <w:tr>
        <w:trPr>
          <w:trHeight w:val="153"/>
        </w:trPr>
        <w:tc>
          <w:tcPr>
            <w:tcW w:w="4260" w:type="dxa"/>
            <w:vAlign w:val="bottom"/>
          </w:tcPr>
          <w:p>
            <w:pPr>
              <w:spacing w:after="0"/>
              <w:rPr>
                <w:sz w:val="13"/>
                <w:szCs w:val="13"/>
                <w:color w:val="auto"/>
              </w:rPr>
            </w:pPr>
          </w:p>
        </w:tc>
        <w:tc>
          <w:tcPr>
            <w:tcW w:w="15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7"/>
              </w:rPr>
              <w:t>Purchased</w:t>
            </w:r>
          </w:p>
        </w:tc>
        <w:tc>
          <w:tcPr>
            <w:tcW w:w="1300" w:type="dxa"/>
            <w:vAlign w:val="bottom"/>
          </w:tcPr>
          <w:p>
            <w:pPr>
              <w:jc w:val="center"/>
              <w:spacing w:after="0"/>
              <w:rPr>
                <w:sz w:val="20"/>
                <w:szCs w:val="20"/>
                <w:color w:val="auto"/>
              </w:rPr>
            </w:pPr>
            <w:r>
              <w:rPr>
                <w:rFonts w:ascii="Arial" w:cs="Arial" w:eastAsia="Arial" w:hAnsi="Arial"/>
                <w:sz w:val="13"/>
                <w:szCs w:val="13"/>
                <w:b w:val="1"/>
                <w:bCs w:val="1"/>
                <w:color w:val="auto"/>
                <w:w w:val="89"/>
              </w:rPr>
              <w:t>per Share</w:t>
            </w:r>
          </w:p>
        </w:tc>
        <w:tc>
          <w:tcPr>
            <w:tcW w:w="200" w:type="dxa"/>
            <w:vAlign w:val="bottom"/>
          </w:tcPr>
          <w:p>
            <w:pPr>
              <w:spacing w:after="0"/>
              <w:rPr>
                <w:sz w:val="13"/>
                <w:szCs w:val="13"/>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2"/>
              </w:rPr>
              <w:t xml:space="preserve">or Programs </w:t>
            </w:r>
            <w:r>
              <w:rPr>
                <w:rFonts w:ascii="Arial" w:cs="Arial" w:eastAsia="Arial" w:hAnsi="Arial"/>
                <w:sz w:val="10"/>
                <w:szCs w:val="10"/>
                <w:b w:val="1"/>
                <w:bCs w:val="1"/>
                <w:color w:val="auto"/>
                <w:w w:val="92"/>
              </w:rPr>
              <w:t>(2)</w:t>
            </w:r>
          </w:p>
        </w:tc>
        <w:tc>
          <w:tcPr>
            <w:tcW w:w="1420" w:type="dxa"/>
            <w:vAlign w:val="bottom"/>
          </w:tcPr>
          <w:p>
            <w:pPr>
              <w:jc w:val="center"/>
              <w:spacing w:after="0"/>
              <w:rPr>
                <w:sz w:val="20"/>
                <w:szCs w:val="20"/>
                <w:color w:val="auto"/>
              </w:rPr>
            </w:pPr>
            <w:r>
              <w:rPr>
                <w:rFonts w:ascii="Arial" w:cs="Arial" w:eastAsia="Arial" w:hAnsi="Arial"/>
                <w:sz w:val="13"/>
                <w:szCs w:val="13"/>
                <w:b w:val="1"/>
                <w:bCs w:val="1"/>
                <w:color w:val="auto"/>
                <w:w w:val="88"/>
              </w:rPr>
              <w:t>Programs</w:t>
            </w:r>
          </w:p>
        </w:tc>
        <w:tc>
          <w:tcPr>
            <w:tcW w:w="0" w:type="dxa"/>
            <w:vAlign w:val="bottom"/>
          </w:tcPr>
          <w:p>
            <w:pPr>
              <w:spacing w:after="0"/>
              <w:rPr>
                <w:sz w:val="1"/>
                <w:szCs w:val="1"/>
                <w:color w:val="auto"/>
              </w:rPr>
            </w:pPr>
          </w:p>
        </w:tc>
      </w:tr>
      <w:tr>
        <w:trPr>
          <w:trHeight w:val="198"/>
        </w:trPr>
        <w:tc>
          <w:tcPr>
            <w:tcW w:w="4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October 1 through 31, 2017</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7,218</w:t>
            </w:r>
          </w:p>
        </w:tc>
        <w:tc>
          <w:tcPr>
            <w:tcW w:w="220" w:type="dxa"/>
            <w:vAlign w:val="bottom"/>
            <w:tcBorders>
              <w:top w:val="single" w:sz="8" w:color="CFF0FC"/>
            </w:tcBorders>
            <w:shd w:val="clear" w:color="auto" w:fill="CFF0FC"/>
          </w:tcPr>
          <w:p>
            <w:pPr>
              <w:spacing w:after="0"/>
              <w:rPr>
                <w:sz w:val="17"/>
                <w:szCs w:val="17"/>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7.35</w:t>
            </w:r>
          </w:p>
        </w:tc>
        <w:tc>
          <w:tcPr>
            <w:tcW w:w="200" w:type="dxa"/>
            <w:vAlign w:val="bottom"/>
            <w:tcBorders>
              <w:top w:val="single" w:sz="8" w:color="CFF0FC"/>
            </w:tcBorders>
            <w:shd w:val="clear" w:color="auto" w:fill="CFF0FC"/>
          </w:tcPr>
          <w:p>
            <w:pPr>
              <w:spacing w:after="0"/>
              <w:rPr>
                <w:sz w:val="17"/>
                <w:szCs w:val="17"/>
                <w:color w:val="auto"/>
              </w:rPr>
            </w:pPr>
          </w:p>
        </w:tc>
        <w:tc>
          <w:tcPr>
            <w:tcW w:w="14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6"/>
                <w:szCs w:val="16"/>
                <w:color w:val="auto"/>
                <w:w w:val="89"/>
              </w:rPr>
              <w:t>n/a</w:t>
            </w:r>
          </w:p>
        </w:tc>
        <w:tc>
          <w:tcPr>
            <w:tcW w:w="120" w:type="dxa"/>
            <w:vAlign w:val="bottom"/>
            <w:tcBorders>
              <w:top w:val="single" w:sz="8" w:color="CFF0FC"/>
            </w:tcBorders>
            <w:shd w:val="clear" w:color="auto" w:fill="CFF0FC"/>
          </w:tcPr>
          <w:p>
            <w:pPr>
              <w:spacing w:after="0"/>
              <w:rPr>
                <w:sz w:val="17"/>
                <w:szCs w:val="17"/>
                <w:color w:val="auto"/>
              </w:rPr>
            </w:pPr>
          </w:p>
        </w:tc>
        <w:tc>
          <w:tcPr>
            <w:tcW w:w="14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6"/>
                <w:szCs w:val="16"/>
                <w:color w:val="auto"/>
                <w:w w:val="89"/>
              </w:rPr>
              <w:t>n/a</w:t>
            </w:r>
          </w:p>
        </w:tc>
        <w:tc>
          <w:tcPr>
            <w:tcW w:w="0" w:type="dxa"/>
            <w:vAlign w:val="bottom"/>
          </w:tcPr>
          <w:p>
            <w:pPr>
              <w:spacing w:after="0"/>
              <w:rPr>
                <w:sz w:val="1"/>
                <w:szCs w:val="1"/>
                <w:color w:val="auto"/>
              </w:rPr>
            </w:pPr>
          </w:p>
        </w:tc>
      </w:tr>
      <w:tr>
        <w:trPr>
          <w:trHeight w:val="205"/>
        </w:trPr>
        <w:tc>
          <w:tcPr>
            <w:tcW w:w="4260" w:type="dxa"/>
            <w:vAlign w:val="bottom"/>
          </w:tcPr>
          <w:p>
            <w:pPr>
              <w:spacing w:after="0"/>
              <w:rPr>
                <w:sz w:val="20"/>
                <w:szCs w:val="20"/>
                <w:color w:val="auto"/>
              </w:rPr>
            </w:pPr>
            <w:r>
              <w:rPr>
                <w:rFonts w:ascii="Arial" w:cs="Arial" w:eastAsia="Arial" w:hAnsi="Arial"/>
                <w:sz w:val="16"/>
                <w:szCs w:val="16"/>
                <w:color w:val="auto"/>
              </w:rPr>
              <w:t>November 1 through 30, 2017</w:t>
            </w:r>
          </w:p>
        </w:tc>
        <w:tc>
          <w:tcPr>
            <w:tcW w:w="1300" w:type="dxa"/>
            <w:vAlign w:val="bottom"/>
          </w:tcPr>
          <w:p>
            <w:pPr>
              <w:jc w:val="right"/>
              <w:spacing w:after="0"/>
              <w:rPr>
                <w:sz w:val="20"/>
                <w:szCs w:val="20"/>
                <w:color w:val="auto"/>
              </w:rPr>
            </w:pPr>
            <w:r>
              <w:rPr>
                <w:rFonts w:ascii="Arial" w:cs="Arial" w:eastAsia="Arial" w:hAnsi="Arial"/>
                <w:sz w:val="16"/>
                <w:szCs w:val="16"/>
                <w:color w:val="auto"/>
              </w:rPr>
              <w:t>1,419</w:t>
            </w: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3.40</w:t>
            </w:r>
          </w:p>
        </w:tc>
        <w:tc>
          <w:tcPr>
            <w:tcW w:w="200" w:type="dxa"/>
            <w:vAlign w:val="bottom"/>
          </w:tcPr>
          <w:p>
            <w:pPr>
              <w:spacing w:after="0"/>
              <w:rPr>
                <w:sz w:val="17"/>
                <w:szCs w:val="17"/>
                <w:color w:val="auto"/>
              </w:rPr>
            </w:pPr>
          </w:p>
        </w:tc>
        <w:tc>
          <w:tcPr>
            <w:tcW w:w="1580" w:type="dxa"/>
            <w:vAlign w:val="bottom"/>
            <w:gridSpan w:val="2"/>
          </w:tcPr>
          <w:p>
            <w:pPr>
              <w:jc w:val="center"/>
              <w:ind w:right="140"/>
              <w:spacing w:after="0"/>
              <w:rPr>
                <w:sz w:val="20"/>
                <w:szCs w:val="20"/>
                <w:color w:val="auto"/>
              </w:rPr>
            </w:pPr>
            <w:r>
              <w:rPr>
                <w:rFonts w:ascii="Arial" w:cs="Arial" w:eastAsia="Arial" w:hAnsi="Arial"/>
                <w:sz w:val="16"/>
                <w:szCs w:val="16"/>
                <w:color w:val="auto"/>
                <w:w w:val="89"/>
              </w:rPr>
              <w:t>n/a</w:t>
            </w:r>
          </w:p>
        </w:tc>
        <w:tc>
          <w:tcPr>
            <w:tcW w:w="1420" w:type="dxa"/>
            <w:vAlign w:val="bottom"/>
          </w:tcPr>
          <w:p>
            <w:pPr>
              <w:jc w:val="center"/>
              <w:spacing w:after="0"/>
              <w:rPr>
                <w:sz w:val="20"/>
                <w:szCs w:val="20"/>
                <w:color w:val="auto"/>
              </w:rPr>
            </w:pPr>
            <w:r>
              <w:rPr>
                <w:rFonts w:ascii="Arial" w:cs="Arial" w:eastAsia="Arial" w:hAnsi="Arial"/>
                <w:sz w:val="16"/>
                <w:szCs w:val="16"/>
                <w:color w:val="auto"/>
                <w:w w:val="89"/>
              </w:rPr>
              <w:t>n/a</w:t>
            </w:r>
          </w:p>
        </w:tc>
        <w:tc>
          <w:tcPr>
            <w:tcW w:w="0" w:type="dxa"/>
            <w:vAlign w:val="bottom"/>
          </w:tcPr>
          <w:p>
            <w:pPr>
              <w:spacing w:after="0"/>
              <w:rPr>
                <w:sz w:val="1"/>
                <w:szCs w:val="1"/>
                <w:color w:val="auto"/>
              </w:rPr>
            </w:pPr>
          </w:p>
        </w:tc>
      </w:tr>
      <w:tr>
        <w:trPr>
          <w:trHeight w:val="205"/>
        </w:trPr>
        <w:tc>
          <w:tcPr>
            <w:tcW w:w="4260" w:type="dxa"/>
            <w:vAlign w:val="bottom"/>
            <w:shd w:val="clear" w:color="auto" w:fill="CFF0FC"/>
          </w:tcPr>
          <w:p>
            <w:pPr>
              <w:spacing w:after="0"/>
              <w:rPr>
                <w:sz w:val="20"/>
                <w:szCs w:val="20"/>
                <w:color w:val="auto"/>
              </w:rPr>
            </w:pPr>
            <w:r>
              <w:rPr>
                <w:rFonts w:ascii="Arial" w:cs="Arial" w:eastAsia="Arial" w:hAnsi="Arial"/>
                <w:sz w:val="16"/>
                <w:szCs w:val="16"/>
                <w:color w:val="auto"/>
              </w:rPr>
              <w:t>December 1 through 31, 2017</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19,841</w:t>
            </w:r>
          </w:p>
        </w:tc>
        <w:tc>
          <w:tcPr>
            <w:tcW w:w="220" w:type="dxa"/>
            <w:vAlign w:val="bottom"/>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3.34</w:t>
            </w:r>
          </w:p>
        </w:tc>
        <w:tc>
          <w:tcPr>
            <w:tcW w:w="200" w:type="dxa"/>
            <w:vAlign w:val="bottom"/>
            <w:shd w:val="clear" w:color="auto" w:fill="CFF0FC"/>
          </w:tcPr>
          <w:p>
            <w:pPr>
              <w:spacing w:after="0"/>
              <w:rPr>
                <w:sz w:val="17"/>
                <w:szCs w:val="17"/>
                <w:color w:val="auto"/>
              </w:rPr>
            </w:pPr>
          </w:p>
        </w:tc>
        <w:tc>
          <w:tcPr>
            <w:tcW w:w="1580" w:type="dxa"/>
            <w:vAlign w:val="bottom"/>
            <w:gridSpan w:val="2"/>
            <w:shd w:val="clear" w:color="auto" w:fill="CFF0FC"/>
          </w:tcPr>
          <w:p>
            <w:pPr>
              <w:jc w:val="center"/>
              <w:ind w:right="140"/>
              <w:spacing w:after="0"/>
              <w:rPr>
                <w:sz w:val="20"/>
                <w:szCs w:val="20"/>
                <w:color w:val="auto"/>
              </w:rPr>
            </w:pPr>
            <w:r>
              <w:rPr>
                <w:rFonts w:ascii="Arial" w:cs="Arial" w:eastAsia="Arial" w:hAnsi="Arial"/>
                <w:sz w:val="16"/>
                <w:szCs w:val="16"/>
                <w:color w:val="auto"/>
                <w:w w:val="89"/>
              </w:rPr>
              <w:t>n/a</w:t>
            </w:r>
          </w:p>
        </w:tc>
        <w:tc>
          <w:tcPr>
            <w:tcW w:w="142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9"/>
              </w:rPr>
              <w:t>n/a</w:t>
            </w:r>
          </w:p>
        </w:tc>
        <w:tc>
          <w:tcPr>
            <w:tcW w:w="0" w:type="dxa"/>
            <w:vAlign w:val="bottom"/>
          </w:tcPr>
          <w:p>
            <w:pPr>
              <w:spacing w:after="0"/>
              <w:rPr>
                <w:sz w:val="1"/>
                <w:szCs w:val="1"/>
                <w:color w:val="auto"/>
              </w:rPr>
            </w:pPr>
          </w:p>
        </w:tc>
      </w:tr>
      <w:tr>
        <w:trPr>
          <w:trHeight w:val="198"/>
        </w:trPr>
        <w:tc>
          <w:tcPr>
            <w:tcW w:w="4260" w:type="dxa"/>
            <w:vAlign w:val="bottom"/>
          </w:tcPr>
          <w:p>
            <w:pPr>
              <w:spacing w:after="0"/>
              <w:rPr>
                <w:sz w:val="20"/>
                <w:szCs w:val="20"/>
                <w:color w:val="auto"/>
              </w:rPr>
            </w:pPr>
            <w:r>
              <w:rPr>
                <w:rFonts w:ascii="Arial" w:cs="Arial" w:eastAsia="Arial" w:hAnsi="Arial"/>
                <w:sz w:val="16"/>
                <w:szCs w:val="16"/>
                <w:color w:val="auto"/>
              </w:rPr>
              <w:t>Total</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28,478</w:t>
            </w:r>
          </w:p>
        </w:tc>
        <w:tc>
          <w:tcPr>
            <w:tcW w:w="220" w:type="dxa"/>
            <w:vAlign w:val="bottom"/>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4.36</w:t>
            </w: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ind w:left="740" w:hanging="369"/>
        <w:spacing w:after="0"/>
        <w:tabs>
          <w:tab w:leader="none" w:pos="740" w:val="left"/>
        </w:tabs>
        <w:numPr>
          <w:ilvl w:val="0"/>
          <w:numId w:val="25"/>
        </w:numPr>
        <w:rPr>
          <w:rFonts w:ascii="Arial" w:cs="Arial" w:eastAsia="Arial" w:hAnsi="Arial"/>
          <w:sz w:val="14"/>
          <w:szCs w:val="14"/>
          <w:color w:val="auto"/>
        </w:rPr>
      </w:pPr>
      <w:r>
        <w:rPr>
          <w:rFonts w:ascii="Arial" w:cs="Arial" w:eastAsia="Arial" w:hAnsi="Arial"/>
          <w:sz w:val="16"/>
          <w:szCs w:val="16"/>
          <w:color w:val="auto"/>
        </w:rPr>
        <w:t>These purchases were made to satisfy tax withholding obligations in connection with the vesting of restricted stock units issued to employees.</w:t>
      </w:r>
    </w:p>
    <w:p>
      <w:pPr>
        <w:spacing w:after="0" w:line="106" w:lineRule="exact"/>
        <w:rPr>
          <w:rFonts w:ascii="Arial" w:cs="Arial" w:eastAsia="Arial" w:hAnsi="Arial"/>
          <w:sz w:val="14"/>
          <w:szCs w:val="14"/>
          <w:color w:val="auto"/>
        </w:rPr>
      </w:pPr>
    </w:p>
    <w:p>
      <w:pPr>
        <w:ind w:left="740" w:hanging="369"/>
        <w:spacing w:after="0"/>
        <w:tabs>
          <w:tab w:leader="none" w:pos="740" w:val="left"/>
        </w:tabs>
        <w:numPr>
          <w:ilvl w:val="0"/>
          <w:numId w:val="25"/>
        </w:numPr>
        <w:rPr>
          <w:rFonts w:ascii="Arial" w:cs="Arial" w:eastAsia="Arial" w:hAnsi="Arial"/>
          <w:sz w:val="14"/>
          <w:szCs w:val="14"/>
          <w:color w:val="auto"/>
        </w:rPr>
      </w:pPr>
      <w:r>
        <w:rPr>
          <w:rFonts w:ascii="Arial" w:cs="Arial" w:eastAsia="Arial" w:hAnsi="Arial"/>
          <w:sz w:val="16"/>
          <w:szCs w:val="16"/>
          <w:color w:val="auto"/>
        </w:rPr>
        <w:t>Kodak does not currently have a publicly announced repurchase plan or program.</w:t>
      </w:r>
    </w:p>
    <w:p>
      <w:pPr>
        <w:spacing w:after="0" w:line="203"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62865</wp:posOffset>
            </wp:positionV>
            <wp:extent cx="7301865" cy="406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301865" cy="40640"/>
                    </a:xfrm>
                    <a:prstGeom prst="rect">
                      <a:avLst/>
                    </a:prstGeom>
                    <a:noFill/>
                  </pic:spPr>
                </pic:pic>
              </a:graphicData>
            </a:graphic>
          </wp:anchor>
        </w:drawing>
      </w:r>
    </w:p>
    <w:p>
      <w:pPr>
        <w:sectPr>
          <w:pgSz w:w="11900" w:h="16838" w:orient="portrait"/>
          <w:cols w:equalWidth="0" w:num="1">
            <w:col w:w="10860"/>
          </w:cols>
          <w:pgMar w:left="240" w:top="123" w:right="799" w:bottom="1440" w:gutter="0" w:footer="0" w:header="0"/>
        </w:sectPr>
      </w:pPr>
    </w:p>
    <w:bookmarkStart w:id="28" w:name="page29"/>
    <w:bookmarkEnd w:id="28"/>
    <w:p>
      <w:pPr>
        <w:spacing w:after="0"/>
        <w:tabs>
          <w:tab w:leader="none" w:pos="1000" w:val="left"/>
        </w:tabs>
        <w:rPr>
          <w:sz w:val="20"/>
          <w:szCs w:val="20"/>
          <w:color w:val="auto"/>
        </w:rPr>
      </w:pPr>
      <w:r>
        <w:rPr>
          <w:rFonts w:ascii="Arial" w:cs="Arial" w:eastAsia="Arial" w:hAnsi="Arial"/>
          <w:sz w:val="16"/>
          <w:szCs w:val="16"/>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110" w:lineRule="exact"/>
        <w:rPr>
          <w:sz w:val="20"/>
          <w:szCs w:val="20"/>
          <w:color w:val="auto"/>
        </w:rPr>
      </w:pPr>
    </w:p>
    <w:p>
      <w:pPr>
        <w:jc w:val="both"/>
        <w:ind w:right="680"/>
        <w:spacing w:after="0" w:line="266" w:lineRule="auto"/>
        <w:rPr>
          <w:sz w:val="20"/>
          <w:szCs w:val="20"/>
          <w:color w:val="auto"/>
        </w:rPr>
      </w:pPr>
      <w:r>
        <w:rPr>
          <w:rFonts w:ascii="Arial" w:cs="Arial" w:eastAsia="Arial" w:hAnsi="Arial"/>
          <w:sz w:val="16"/>
          <w:szCs w:val="16"/>
          <w:color w:val="auto"/>
        </w:rPr>
        <w:t>As a result of the application of fresh-start accounting as of September 3, 2013, following the Company’s emergence from bankruptcy, the financial statements prior to September 3, 2013 are not comparable with the financial statements after September 3, 2013. References to “Successor” relate to the reorganized Kodak subsequent to September 3, 2013. References to “Predecessor” refer to Kodak prior to September 3, 2013.</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SUMMARY OF OPERATING DATA – UNAUDITED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47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b w:val="1"/>
                <w:bCs w:val="1"/>
                <w:color w:val="auto"/>
              </w:rPr>
              <w:t>Successor</w:t>
            </w: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
              <w:spacing w:after="0"/>
              <w:rPr>
                <w:sz w:val="20"/>
                <w:szCs w:val="20"/>
                <w:color w:val="auto"/>
              </w:rPr>
            </w:pPr>
            <w:r>
              <w:rPr>
                <w:rFonts w:ascii="Arial" w:cs="Arial" w:eastAsia="Arial" w:hAnsi="Arial"/>
                <w:sz w:val="13"/>
                <w:szCs w:val="13"/>
                <w:b w:val="1"/>
                <w:bCs w:val="1"/>
                <w:color w:val="auto"/>
              </w:rPr>
              <w:t>Predecessor</w:t>
            </w:r>
          </w:p>
        </w:tc>
        <w:tc>
          <w:tcPr>
            <w:tcW w:w="2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jc w:val="center"/>
              <w:ind w:right="2"/>
              <w:spacing w:after="0" w:line="118" w:lineRule="exact"/>
              <w:rPr>
                <w:sz w:val="20"/>
                <w:szCs w:val="20"/>
                <w:color w:val="auto"/>
              </w:rPr>
            </w:pPr>
            <w:r>
              <w:rPr>
                <w:rFonts w:ascii="Arial" w:cs="Arial" w:eastAsia="Arial" w:hAnsi="Arial"/>
                <w:sz w:val="13"/>
                <w:szCs w:val="13"/>
                <w:b w:val="1"/>
                <w:bCs w:val="1"/>
                <w:color w:val="auto"/>
                <w:w w:val="88"/>
              </w:rPr>
              <w:t>September 1,</w:t>
            </w:r>
          </w:p>
        </w:tc>
        <w:tc>
          <w:tcPr>
            <w:tcW w:w="14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jc w:val="center"/>
              <w:ind w:right="102"/>
              <w:spacing w:after="0" w:line="118" w:lineRule="exact"/>
              <w:rPr>
                <w:sz w:val="20"/>
                <w:szCs w:val="20"/>
                <w:color w:val="auto"/>
              </w:rPr>
            </w:pPr>
            <w:r>
              <w:rPr>
                <w:rFonts w:ascii="Arial" w:cs="Arial" w:eastAsia="Arial" w:hAnsi="Arial"/>
                <w:sz w:val="13"/>
                <w:szCs w:val="13"/>
                <w:b w:val="1"/>
                <w:bCs w:val="1"/>
                <w:color w:val="auto"/>
                <w:w w:val="90"/>
              </w:rPr>
              <w:t>January 1,</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Borders>
              <w:right w:val="single" w:sz="8" w:color="auto"/>
            </w:tcBorders>
            <w:gridSpan w:val="2"/>
          </w:tcPr>
          <w:p>
            <w:pPr>
              <w:jc w:val="center"/>
              <w:ind w:right="220"/>
              <w:spacing w:after="0" w:line="133" w:lineRule="exact"/>
              <w:rPr>
                <w:sz w:val="20"/>
                <w:szCs w:val="20"/>
                <w:color w:val="auto"/>
              </w:rPr>
            </w:pPr>
            <w:r>
              <w:rPr>
                <w:rFonts w:ascii="Arial" w:cs="Arial" w:eastAsia="Arial" w:hAnsi="Arial"/>
                <w:sz w:val="13"/>
                <w:szCs w:val="13"/>
                <w:b w:val="1"/>
                <w:bCs w:val="1"/>
                <w:color w:val="auto"/>
                <w:w w:val="88"/>
              </w:rPr>
              <w:t>2013 through</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jc w:val="center"/>
              <w:ind w:right="102"/>
              <w:spacing w:after="0" w:line="133" w:lineRule="exact"/>
              <w:rPr>
                <w:sz w:val="20"/>
                <w:szCs w:val="20"/>
                <w:color w:val="auto"/>
              </w:rPr>
            </w:pPr>
            <w:r>
              <w:rPr>
                <w:rFonts w:ascii="Arial" w:cs="Arial" w:eastAsia="Arial" w:hAnsi="Arial"/>
                <w:sz w:val="13"/>
                <w:szCs w:val="13"/>
                <w:b w:val="1"/>
                <w:bCs w:val="1"/>
                <w:color w:val="auto"/>
                <w:w w:val="90"/>
              </w:rPr>
              <w:t>2013 through</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vMerge w:val="restart"/>
          </w:tcPr>
          <w:p>
            <w:pPr>
              <w:jc w:val="right"/>
              <w:ind w:right="340"/>
              <w:spacing w:after="0"/>
              <w:rPr>
                <w:sz w:val="20"/>
                <w:szCs w:val="20"/>
                <w:color w:val="auto"/>
              </w:rPr>
            </w:pPr>
            <w:r>
              <w:rPr>
                <w:rFonts w:ascii="Arial" w:cs="Arial" w:eastAsia="Arial" w:hAnsi="Arial"/>
                <w:sz w:val="13"/>
                <w:szCs w:val="13"/>
                <w:b w:val="1"/>
                <w:bCs w:val="1"/>
                <w:color w:val="auto"/>
              </w:rPr>
              <w:t>2017</w:t>
            </w:r>
          </w:p>
        </w:tc>
        <w:tc>
          <w:tcPr>
            <w:tcW w:w="400" w:type="dxa"/>
            <w:vAlign w:val="bottom"/>
          </w:tcPr>
          <w:p>
            <w:pPr>
              <w:spacing w:after="0"/>
              <w:rPr>
                <w:sz w:val="11"/>
                <w:szCs w:val="11"/>
                <w:color w:val="auto"/>
              </w:rPr>
            </w:pPr>
          </w:p>
        </w:tc>
        <w:tc>
          <w:tcPr>
            <w:tcW w:w="860" w:type="dxa"/>
            <w:vAlign w:val="bottom"/>
            <w:vMerge w:val="restart"/>
          </w:tcPr>
          <w:p>
            <w:pPr>
              <w:jc w:val="right"/>
              <w:ind w:right="400"/>
              <w:spacing w:after="0"/>
              <w:rPr>
                <w:sz w:val="20"/>
                <w:szCs w:val="20"/>
                <w:color w:val="auto"/>
              </w:rPr>
            </w:pPr>
            <w:r>
              <w:rPr>
                <w:rFonts w:ascii="Arial" w:cs="Arial" w:eastAsia="Arial" w:hAnsi="Arial"/>
                <w:sz w:val="13"/>
                <w:szCs w:val="13"/>
                <w:b w:val="1"/>
                <w:bCs w:val="1"/>
                <w:color w:val="auto"/>
              </w:rPr>
              <w:t>2016</w:t>
            </w:r>
          </w:p>
        </w:tc>
        <w:tc>
          <w:tcPr>
            <w:tcW w:w="280" w:type="dxa"/>
            <w:vAlign w:val="bottom"/>
          </w:tcPr>
          <w:p>
            <w:pPr>
              <w:spacing w:after="0"/>
              <w:rPr>
                <w:sz w:val="11"/>
                <w:szCs w:val="11"/>
                <w:color w:val="auto"/>
              </w:rPr>
            </w:pPr>
          </w:p>
        </w:tc>
        <w:tc>
          <w:tcPr>
            <w:tcW w:w="800" w:type="dxa"/>
            <w:vAlign w:val="bottom"/>
            <w:vMerge w:val="restart"/>
          </w:tcPr>
          <w:p>
            <w:pPr>
              <w:jc w:val="right"/>
              <w:ind w:right="340"/>
              <w:spacing w:after="0"/>
              <w:rPr>
                <w:sz w:val="20"/>
                <w:szCs w:val="20"/>
                <w:color w:val="auto"/>
              </w:rPr>
            </w:pPr>
            <w:r>
              <w:rPr>
                <w:rFonts w:ascii="Arial" w:cs="Arial" w:eastAsia="Arial" w:hAnsi="Arial"/>
                <w:sz w:val="13"/>
                <w:szCs w:val="13"/>
                <w:b w:val="1"/>
                <w:bCs w:val="1"/>
                <w:color w:val="auto"/>
              </w:rPr>
              <w:t>2015</w:t>
            </w:r>
          </w:p>
        </w:tc>
        <w:tc>
          <w:tcPr>
            <w:tcW w:w="160" w:type="dxa"/>
            <w:vAlign w:val="bottom"/>
          </w:tcPr>
          <w:p>
            <w:pPr>
              <w:spacing w:after="0"/>
              <w:rPr>
                <w:sz w:val="11"/>
                <w:szCs w:val="11"/>
                <w:color w:val="auto"/>
              </w:rPr>
            </w:pPr>
          </w:p>
        </w:tc>
        <w:tc>
          <w:tcPr>
            <w:tcW w:w="800" w:type="dxa"/>
            <w:vAlign w:val="bottom"/>
            <w:vMerge w:val="restart"/>
          </w:tcPr>
          <w:p>
            <w:pPr>
              <w:jc w:val="right"/>
              <w:ind w:right="400"/>
              <w:spacing w:after="0"/>
              <w:rPr>
                <w:sz w:val="20"/>
                <w:szCs w:val="20"/>
                <w:color w:val="auto"/>
              </w:rPr>
            </w:pPr>
            <w:r>
              <w:rPr>
                <w:rFonts w:ascii="Arial" w:cs="Arial" w:eastAsia="Arial" w:hAnsi="Arial"/>
                <w:sz w:val="13"/>
                <w:szCs w:val="13"/>
                <w:b w:val="1"/>
                <w:bCs w:val="1"/>
                <w:color w:val="auto"/>
              </w:rPr>
              <w:t>2014</w:t>
            </w:r>
          </w:p>
        </w:tc>
        <w:tc>
          <w:tcPr>
            <w:tcW w:w="80" w:type="dxa"/>
            <w:vAlign w:val="bottom"/>
          </w:tcPr>
          <w:p>
            <w:pPr>
              <w:spacing w:after="0"/>
              <w:rPr>
                <w:sz w:val="11"/>
                <w:szCs w:val="11"/>
                <w:color w:val="auto"/>
              </w:rPr>
            </w:pPr>
          </w:p>
        </w:tc>
        <w:tc>
          <w:tcPr>
            <w:tcW w:w="980" w:type="dxa"/>
            <w:vAlign w:val="bottom"/>
            <w:tcBorders>
              <w:right w:val="single" w:sz="8" w:color="auto"/>
            </w:tcBorders>
            <w:gridSpan w:val="2"/>
          </w:tcPr>
          <w:p>
            <w:pPr>
              <w:jc w:val="center"/>
              <w:ind w:right="220"/>
              <w:spacing w:after="0" w:line="133" w:lineRule="exact"/>
              <w:rPr>
                <w:sz w:val="20"/>
                <w:szCs w:val="20"/>
                <w:color w:val="auto"/>
              </w:rPr>
            </w:pPr>
            <w:r>
              <w:rPr>
                <w:rFonts w:ascii="Arial" w:cs="Arial" w:eastAsia="Arial" w:hAnsi="Arial"/>
                <w:sz w:val="13"/>
                <w:szCs w:val="13"/>
                <w:b w:val="1"/>
                <w:bCs w:val="1"/>
                <w:color w:val="auto"/>
                <w:w w:val="89"/>
              </w:rPr>
              <w:t>December 31,</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jc w:val="center"/>
              <w:ind w:right="102"/>
              <w:spacing w:after="0" w:line="133" w:lineRule="exact"/>
              <w:rPr>
                <w:sz w:val="20"/>
                <w:szCs w:val="20"/>
                <w:color w:val="auto"/>
              </w:rPr>
            </w:pPr>
            <w:r>
              <w:rPr>
                <w:rFonts w:ascii="Arial" w:cs="Arial" w:eastAsia="Arial" w:hAnsi="Arial"/>
                <w:sz w:val="13"/>
                <w:szCs w:val="13"/>
                <w:b w:val="1"/>
                <w:bCs w:val="1"/>
                <w:color w:val="auto"/>
                <w:w w:val="87"/>
              </w:rPr>
              <w:t>August 31,</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720" w:type="dxa"/>
            <w:vAlign w:val="bottom"/>
            <w:gridSpan w:val="2"/>
          </w:tcPr>
          <w:p>
            <w:pPr>
              <w:spacing w:after="0"/>
              <w:rPr>
                <w:sz w:val="20"/>
                <w:szCs w:val="20"/>
                <w:color w:val="auto"/>
              </w:rPr>
            </w:pPr>
            <w:r>
              <w:rPr>
                <w:rFonts w:ascii="Arial" w:cs="Arial" w:eastAsia="Arial" w:hAnsi="Arial"/>
                <w:sz w:val="13"/>
                <w:szCs w:val="13"/>
                <w:color w:val="auto"/>
              </w:rPr>
              <w:t>(in millions, except per share data, shareholders, and employees)</w:t>
            </w:r>
          </w:p>
        </w:tc>
        <w:tc>
          <w:tcPr>
            <w:tcW w:w="20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40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jc w:val="center"/>
              <w:ind w:right="2"/>
              <w:spacing w:after="0"/>
              <w:rPr>
                <w:sz w:val="20"/>
                <w:szCs w:val="20"/>
                <w:color w:val="auto"/>
              </w:rPr>
            </w:pPr>
            <w:r>
              <w:rPr>
                <w:rFonts w:ascii="Arial" w:cs="Arial" w:eastAsia="Arial" w:hAnsi="Arial"/>
                <w:sz w:val="13"/>
                <w:szCs w:val="13"/>
                <w:b w:val="1"/>
                <w:bCs w:val="1"/>
                <w:color w:val="auto"/>
                <w:w w:val="82"/>
              </w:rPr>
              <w:t>2013</w:t>
            </w:r>
          </w:p>
        </w:tc>
        <w:tc>
          <w:tcPr>
            <w:tcW w:w="14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jc w:val="center"/>
              <w:ind w:right="102"/>
              <w:spacing w:after="0"/>
              <w:rPr>
                <w:sz w:val="20"/>
                <w:szCs w:val="20"/>
                <w:color w:val="auto"/>
              </w:rPr>
            </w:pPr>
            <w:r>
              <w:rPr>
                <w:rFonts w:ascii="Arial" w:cs="Arial" w:eastAsia="Arial" w:hAnsi="Arial"/>
                <w:sz w:val="13"/>
                <w:szCs w:val="13"/>
                <w:b w:val="1"/>
                <w:bCs w:val="1"/>
                <w:color w:val="auto"/>
                <w:w w:val="89"/>
              </w:rPr>
              <w:t>2013</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6"/>
                <w:szCs w:val="16"/>
                <w:color w:val="auto"/>
              </w:rPr>
              <w:t>Net revenues from continuing operations</w:t>
            </w: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1,531</w:t>
            </w:r>
          </w:p>
        </w:tc>
        <w:tc>
          <w:tcPr>
            <w:tcW w:w="400" w:type="dxa"/>
            <w:vAlign w:val="bottom"/>
            <w:shd w:val="clear" w:color="auto" w:fill="CFF0FC"/>
          </w:tcPr>
          <w:p>
            <w:pPr>
              <w:jc w:val="right"/>
              <w:ind w:right="45"/>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ind w:right="80"/>
              <w:spacing w:after="0"/>
              <w:rPr>
                <w:sz w:val="20"/>
                <w:szCs w:val="20"/>
                <w:color w:val="auto"/>
              </w:rPr>
            </w:pPr>
            <w:r>
              <w:rPr>
                <w:rFonts w:ascii="Arial" w:cs="Arial" w:eastAsia="Arial" w:hAnsi="Arial"/>
                <w:sz w:val="16"/>
                <w:szCs w:val="16"/>
                <w:color w:val="auto"/>
              </w:rPr>
              <w:t>1,643</w:t>
            </w:r>
          </w:p>
        </w:tc>
        <w:tc>
          <w:tcPr>
            <w:tcW w:w="280" w:type="dxa"/>
            <w:vAlign w:val="bottom"/>
            <w:shd w:val="clear" w:color="auto" w:fill="CFF0FC"/>
          </w:tcPr>
          <w:p>
            <w:pPr>
              <w:ind w:left="80"/>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1,803</w:t>
            </w: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FF0FC"/>
          </w:tcPr>
          <w:p>
            <w:pPr>
              <w:jc w:val="right"/>
              <w:ind w:right="220"/>
              <w:spacing w:after="0"/>
              <w:rPr>
                <w:sz w:val="20"/>
                <w:szCs w:val="20"/>
                <w:color w:val="auto"/>
              </w:rPr>
            </w:pPr>
            <w:r>
              <w:rPr>
                <w:rFonts w:ascii="Arial" w:cs="Arial" w:eastAsia="Arial" w:hAnsi="Arial"/>
                <w:sz w:val="16"/>
                <w:szCs w:val="16"/>
                <w:color w:val="auto"/>
              </w:rPr>
              <w:t>2,116</w:t>
            </w: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812</w:t>
            </w:r>
          </w:p>
        </w:tc>
        <w:tc>
          <w:tcPr>
            <w:tcW w:w="140" w:type="dxa"/>
            <w:vAlign w:val="bottom"/>
            <w:tcBorders>
              <w:right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1,546</w:t>
            </w:r>
          </w:p>
        </w:tc>
        <w:tc>
          <w:tcPr>
            <w:tcW w:w="220" w:type="dxa"/>
            <w:vAlign w:val="bottom"/>
            <w:shd w:val="clear" w:color="auto" w:fill="CFF0FC"/>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700" w:type="dxa"/>
            <w:vAlign w:val="bottom"/>
          </w:tcPr>
          <w:p>
            <w:pPr>
              <w:spacing w:after="0"/>
              <w:rPr>
                <w:sz w:val="20"/>
                <w:szCs w:val="20"/>
                <w:color w:val="auto"/>
              </w:rPr>
            </w:pPr>
            <w:r>
              <w:rPr>
                <w:rFonts w:ascii="Arial" w:cs="Arial" w:eastAsia="Arial" w:hAnsi="Arial"/>
                <w:sz w:val="16"/>
                <w:szCs w:val="16"/>
                <w:color w:val="auto"/>
              </w:rPr>
              <w:t>(Loss) earnings from continuing operations before interest</w:t>
            </w: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700" w:type="dxa"/>
            <w:vAlign w:val="bottom"/>
          </w:tcPr>
          <w:p>
            <w:pPr>
              <w:ind w:left="100"/>
              <w:spacing w:after="0"/>
              <w:rPr>
                <w:sz w:val="20"/>
                <w:szCs w:val="20"/>
                <w:color w:val="auto"/>
              </w:rPr>
            </w:pPr>
            <w:r>
              <w:rPr>
                <w:rFonts w:ascii="Arial" w:cs="Arial" w:eastAsia="Arial" w:hAnsi="Arial"/>
                <w:sz w:val="16"/>
                <w:szCs w:val="16"/>
                <w:color w:val="auto"/>
              </w:rPr>
              <w:t>expense, loss on extinguishment of debt, net, other (charges)</w:t>
            </w: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700" w:type="dxa"/>
            <w:vAlign w:val="bottom"/>
          </w:tcPr>
          <w:p>
            <w:pPr>
              <w:ind w:left="100"/>
              <w:spacing w:after="0"/>
              <w:rPr>
                <w:sz w:val="20"/>
                <w:szCs w:val="20"/>
                <w:color w:val="auto"/>
              </w:rPr>
            </w:pPr>
            <w:r>
              <w:rPr>
                <w:rFonts w:ascii="Arial" w:cs="Arial" w:eastAsia="Arial" w:hAnsi="Arial"/>
                <w:sz w:val="16"/>
                <w:szCs w:val="16"/>
                <w:color w:val="auto"/>
              </w:rPr>
              <w:t>income, net, reorganization items, net, and income taxes</w:t>
            </w: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(18)</w:t>
            </w:r>
          </w:p>
        </w:tc>
        <w:tc>
          <w:tcPr>
            <w:tcW w:w="400" w:type="dxa"/>
            <w:vAlign w:val="bottom"/>
          </w:tcPr>
          <w:p>
            <w:pPr>
              <w:spacing w:after="0"/>
              <w:rPr>
                <w:sz w:val="17"/>
                <w:szCs w:val="17"/>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color w:val="auto"/>
              </w:rPr>
              <w:t>113</w:t>
            </w:r>
          </w:p>
        </w:tc>
        <w:tc>
          <w:tcPr>
            <w:tcW w:w="280" w:type="dxa"/>
            <w:vAlign w:val="bottom"/>
          </w:tcPr>
          <w:p>
            <w:pPr>
              <w:spacing w:after="0"/>
              <w:rPr>
                <w:sz w:val="17"/>
                <w:szCs w:val="17"/>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54</w:t>
            </w:r>
          </w:p>
        </w:tc>
        <w:tc>
          <w:tcPr>
            <w:tcW w:w="160" w:type="dxa"/>
            <w:vAlign w:val="bottom"/>
          </w:tcPr>
          <w:p>
            <w:pPr>
              <w:spacing w:after="0"/>
              <w:rPr>
                <w:sz w:val="17"/>
                <w:szCs w:val="17"/>
                <w:color w:val="auto"/>
              </w:rPr>
            </w:pPr>
          </w:p>
        </w:tc>
        <w:tc>
          <w:tcPr>
            <w:tcW w:w="800" w:type="dxa"/>
            <w:vAlign w:val="bottom"/>
          </w:tcPr>
          <w:p>
            <w:pPr>
              <w:jc w:val="right"/>
              <w:ind w:right="160"/>
              <w:spacing w:after="0"/>
              <w:rPr>
                <w:sz w:val="20"/>
                <w:szCs w:val="20"/>
                <w:color w:val="auto"/>
              </w:rPr>
            </w:pPr>
            <w:r>
              <w:rPr>
                <w:rFonts w:ascii="Arial" w:cs="Arial" w:eastAsia="Arial" w:hAnsi="Arial"/>
                <w:sz w:val="16"/>
                <w:szCs w:val="16"/>
                <w:color w:val="auto"/>
              </w:rPr>
              <w:t>(16)</w:t>
            </w:r>
          </w:p>
        </w:tc>
        <w:tc>
          <w:tcPr>
            <w:tcW w:w="80" w:type="dxa"/>
            <w:vAlign w:val="bottom"/>
          </w:tcPr>
          <w:p>
            <w:pPr>
              <w:spacing w:after="0"/>
              <w:rPr>
                <w:sz w:val="17"/>
                <w:szCs w:val="17"/>
                <w:color w:val="auto"/>
              </w:rPr>
            </w:pPr>
          </w:p>
        </w:tc>
        <w:tc>
          <w:tcPr>
            <w:tcW w:w="98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(46)</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ind w:right="22"/>
              <w:spacing w:after="0"/>
              <w:rPr>
                <w:sz w:val="20"/>
                <w:szCs w:val="20"/>
                <w:color w:val="auto"/>
              </w:rPr>
            </w:pPr>
            <w:r>
              <w:rPr>
                <w:rFonts w:ascii="Arial" w:cs="Arial" w:eastAsia="Arial" w:hAnsi="Arial"/>
                <w:sz w:val="16"/>
                <w:szCs w:val="16"/>
                <w:color w:val="auto"/>
              </w:rPr>
              <w:t>457</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47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40" w:type="dxa"/>
            <w:vAlign w:val="bottom"/>
            <w:tcBorders>
              <w:right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4700" w:type="dxa"/>
            <w:vAlign w:val="bottom"/>
          </w:tcPr>
          <w:p>
            <w:pPr>
              <w:spacing w:after="0"/>
              <w:rPr>
                <w:sz w:val="20"/>
                <w:szCs w:val="20"/>
                <w:color w:val="auto"/>
              </w:rPr>
            </w:pPr>
            <w:r>
              <w:rPr>
                <w:rFonts w:ascii="Arial" w:cs="Arial" w:eastAsia="Arial" w:hAnsi="Arial"/>
                <w:sz w:val="16"/>
                <w:szCs w:val="16"/>
                <w:color w:val="auto"/>
              </w:rPr>
              <w:t>Earnings (loss) from:</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7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Continuing operations</w:t>
            </w:r>
          </w:p>
        </w:tc>
        <w:tc>
          <w:tcPr>
            <w:tcW w:w="200" w:type="dxa"/>
            <w:vAlign w:val="bottom"/>
            <w:shd w:val="clear" w:color="auto" w:fill="CFF0FC"/>
          </w:tcPr>
          <w:p>
            <w:pPr>
              <w:spacing w:after="0"/>
              <w:rPr>
                <w:sz w:val="17"/>
                <w:szCs w:val="17"/>
                <w:color w:val="auto"/>
              </w:rPr>
            </w:pPr>
          </w:p>
        </w:tc>
        <w:tc>
          <w:tcPr>
            <w:tcW w:w="80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96</w:t>
            </w:r>
          </w:p>
        </w:tc>
        <w:tc>
          <w:tcPr>
            <w:tcW w:w="400" w:type="dxa"/>
            <w:vAlign w:val="bottom"/>
            <w:shd w:val="clear" w:color="auto" w:fill="CFF0FC"/>
          </w:tcPr>
          <w:p>
            <w:pPr>
              <w:jc w:val="right"/>
              <w:ind w:right="145"/>
              <w:spacing w:after="0"/>
              <w:rPr>
                <w:sz w:val="20"/>
                <w:szCs w:val="20"/>
                <w:color w:val="auto"/>
              </w:rPr>
            </w:pPr>
            <w:r>
              <w:rPr>
                <w:rFonts w:ascii="Arial" w:cs="Arial" w:eastAsia="Arial" w:hAnsi="Arial"/>
                <w:sz w:val="14"/>
                <w:szCs w:val="14"/>
                <w:color w:val="auto"/>
                <w:w w:val="93"/>
              </w:rPr>
              <w:t>(1)</w:t>
            </w:r>
          </w:p>
        </w:tc>
        <w:tc>
          <w:tcPr>
            <w:tcW w:w="860" w:type="dxa"/>
            <w:vAlign w:val="bottom"/>
            <w:shd w:val="clear" w:color="auto" w:fill="CFF0FC"/>
          </w:tcPr>
          <w:p>
            <w:pPr>
              <w:jc w:val="right"/>
              <w:ind w:right="80"/>
              <w:spacing w:after="0"/>
              <w:rPr>
                <w:sz w:val="20"/>
                <w:szCs w:val="20"/>
                <w:color w:val="auto"/>
              </w:rPr>
            </w:pPr>
            <w:r>
              <w:rPr>
                <w:rFonts w:ascii="Arial" w:cs="Arial" w:eastAsia="Arial" w:hAnsi="Arial"/>
                <w:sz w:val="16"/>
                <w:szCs w:val="16"/>
                <w:color w:val="auto"/>
              </w:rPr>
              <w:t>18</w:t>
            </w:r>
          </w:p>
        </w:tc>
        <w:tc>
          <w:tcPr>
            <w:tcW w:w="28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w:t>
            </w:r>
          </w:p>
        </w:tc>
        <w:tc>
          <w:tcPr>
            <w:tcW w:w="16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 xml:space="preserve">(122) </w:t>
            </w:r>
            <w:r>
              <w:rPr>
                <w:rFonts w:ascii="Arial" w:cs="Arial" w:eastAsia="Arial" w:hAnsi="Arial"/>
                <w:sz w:val="13"/>
                <w:szCs w:val="13"/>
                <w:color w:val="auto"/>
              </w:rPr>
              <w:t>(2)</w:t>
            </w:r>
          </w:p>
        </w:tc>
        <w:tc>
          <w:tcPr>
            <w:tcW w:w="80" w:type="dxa"/>
            <w:vAlign w:val="bottom"/>
            <w:shd w:val="clear" w:color="auto" w:fill="CFF0FC"/>
          </w:tcPr>
          <w:p>
            <w:pPr>
              <w:spacing w:after="0"/>
              <w:rPr>
                <w:sz w:val="17"/>
                <w:szCs w:val="17"/>
                <w:color w:val="auto"/>
              </w:rPr>
            </w:pPr>
          </w:p>
        </w:tc>
        <w:tc>
          <w:tcPr>
            <w:tcW w:w="980" w:type="dxa"/>
            <w:vAlign w:val="bottom"/>
            <w:tcBorders>
              <w:right w:val="single" w:sz="8" w:color="auto"/>
            </w:tcBorders>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(82)</w:t>
            </w: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2,201</w:t>
            </w:r>
          </w:p>
        </w:tc>
        <w:tc>
          <w:tcPr>
            <w:tcW w:w="2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3"/>
              </w:rPr>
              <w:t>(3)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700" w:type="dxa"/>
            <w:vAlign w:val="bottom"/>
          </w:tcPr>
          <w:p>
            <w:pPr>
              <w:ind w:left="200"/>
              <w:spacing w:after="0"/>
              <w:rPr>
                <w:sz w:val="20"/>
                <w:szCs w:val="20"/>
                <w:color w:val="auto"/>
              </w:rPr>
            </w:pPr>
            <w:r>
              <w:rPr>
                <w:rFonts w:ascii="Arial" w:cs="Arial" w:eastAsia="Arial" w:hAnsi="Arial"/>
                <w:sz w:val="16"/>
                <w:szCs w:val="16"/>
                <w:color w:val="auto"/>
              </w:rPr>
              <w:t xml:space="preserve">Discontinued operations </w:t>
            </w:r>
            <w:r>
              <w:rPr>
                <w:rFonts w:ascii="Arial" w:cs="Arial" w:eastAsia="Arial" w:hAnsi="Arial"/>
                <w:sz w:val="13"/>
                <w:szCs w:val="13"/>
                <w:color w:val="auto"/>
              </w:rPr>
              <w:t>(4)</w:t>
            </w: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w:t>
            </w:r>
          </w:p>
        </w:tc>
        <w:tc>
          <w:tcPr>
            <w:tcW w:w="4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w:t>
            </w:r>
          </w:p>
        </w:tc>
        <w:tc>
          <w:tcPr>
            <w:tcW w:w="2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w:t>
            </w:r>
          </w:p>
        </w:tc>
        <w:tc>
          <w:tcPr>
            <w:tcW w:w="160" w:type="dxa"/>
            <w:vAlign w:val="bottom"/>
          </w:tcPr>
          <w:p>
            <w:pPr>
              <w:spacing w:after="0"/>
              <w:rPr>
                <w:sz w:val="17"/>
                <w:szCs w:val="17"/>
                <w:color w:val="auto"/>
              </w:rPr>
            </w:pPr>
          </w:p>
        </w:tc>
        <w:tc>
          <w:tcPr>
            <w:tcW w:w="800" w:type="dxa"/>
            <w:vAlign w:val="bottom"/>
          </w:tcPr>
          <w:p>
            <w:pPr>
              <w:jc w:val="right"/>
              <w:ind w:right="220"/>
              <w:spacing w:after="0"/>
              <w:rPr>
                <w:sz w:val="20"/>
                <w:szCs w:val="20"/>
                <w:color w:val="auto"/>
              </w:rPr>
            </w:pPr>
            <w:r>
              <w:rPr>
                <w:rFonts w:ascii="Arial" w:cs="Arial" w:eastAsia="Arial" w:hAnsi="Arial"/>
                <w:sz w:val="16"/>
                <w:szCs w:val="16"/>
                <w:color w:val="auto"/>
              </w:rPr>
              <w:t>4</w:t>
            </w: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w:t>
            </w: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(135)</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6"/>
                <w:szCs w:val="16"/>
                <w:color w:val="auto"/>
              </w:rPr>
              <w:t>Net earnings (loss)</w:t>
            </w:r>
          </w:p>
        </w:tc>
        <w:tc>
          <w:tcPr>
            <w:tcW w:w="200" w:type="dxa"/>
            <w:vAlign w:val="bottom"/>
            <w:shd w:val="clear" w:color="auto" w:fill="CFF0FC"/>
          </w:tcPr>
          <w:p>
            <w:pPr>
              <w:spacing w:after="0"/>
              <w:rPr>
                <w:sz w:val="17"/>
                <w:szCs w:val="17"/>
                <w:color w:val="auto"/>
              </w:rPr>
            </w:pPr>
          </w:p>
        </w:tc>
        <w:tc>
          <w:tcPr>
            <w:tcW w:w="80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94</w:t>
            </w:r>
          </w:p>
        </w:tc>
        <w:tc>
          <w:tcPr>
            <w:tcW w:w="400" w:type="dxa"/>
            <w:vAlign w:val="bottom"/>
            <w:shd w:val="clear" w:color="auto" w:fill="CFF0FC"/>
          </w:tcPr>
          <w:p>
            <w:pPr>
              <w:spacing w:after="0"/>
              <w:rPr>
                <w:sz w:val="17"/>
                <w:szCs w:val="17"/>
                <w:color w:val="auto"/>
              </w:rPr>
            </w:pPr>
          </w:p>
        </w:tc>
        <w:tc>
          <w:tcPr>
            <w:tcW w:w="860" w:type="dxa"/>
            <w:vAlign w:val="bottom"/>
            <w:shd w:val="clear" w:color="auto" w:fill="CFF0FC"/>
          </w:tcPr>
          <w:p>
            <w:pPr>
              <w:jc w:val="right"/>
              <w:ind w:right="80"/>
              <w:spacing w:after="0"/>
              <w:rPr>
                <w:sz w:val="20"/>
                <w:szCs w:val="20"/>
                <w:color w:val="auto"/>
              </w:rPr>
            </w:pPr>
            <w:r>
              <w:rPr>
                <w:rFonts w:ascii="Arial" w:cs="Arial" w:eastAsia="Arial" w:hAnsi="Arial"/>
                <w:sz w:val="16"/>
                <w:szCs w:val="16"/>
                <w:color w:val="auto"/>
              </w:rPr>
              <w:t>16</w:t>
            </w:r>
          </w:p>
        </w:tc>
        <w:tc>
          <w:tcPr>
            <w:tcW w:w="28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w:t>
            </w:r>
          </w:p>
        </w:tc>
        <w:tc>
          <w:tcPr>
            <w:tcW w:w="160" w:type="dxa"/>
            <w:vAlign w:val="bottom"/>
            <w:shd w:val="clear" w:color="auto" w:fill="CFF0FC"/>
          </w:tcPr>
          <w:p>
            <w:pPr>
              <w:spacing w:after="0"/>
              <w:rPr>
                <w:sz w:val="17"/>
                <w:szCs w:val="17"/>
                <w:color w:val="auto"/>
              </w:rPr>
            </w:pPr>
          </w:p>
        </w:tc>
        <w:tc>
          <w:tcPr>
            <w:tcW w:w="800" w:type="dxa"/>
            <w:vAlign w:val="bottom"/>
            <w:shd w:val="clear" w:color="auto" w:fill="CFF0FC"/>
          </w:tcPr>
          <w:p>
            <w:pPr>
              <w:jc w:val="right"/>
              <w:ind w:right="160"/>
              <w:spacing w:after="0"/>
              <w:rPr>
                <w:sz w:val="20"/>
                <w:szCs w:val="20"/>
                <w:color w:val="auto"/>
              </w:rPr>
            </w:pPr>
            <w:r>
              <w:rPr>
                <w:rFonts w:ascii="Arial" w:cs="Arial" w:eastAsia="Arial" w:hAnsi="Arial"/>
                <w:sz w:val="16"/>
                <w:szCs w:val="16"/>
                <w:color w:val="auto"/>
              </w:rPr>
              <w:t>(118)</w:t>
            </w:r>
          </w:p>
        </w:tc>
        <w:tc>
          <w:tcPr>
            <w:tcW w:w="80" w:type="dxa"/>
            <w:vAlign w:val="bottom"/>
            <w:shd w:val="clear" w:color="auto" w:fill="CFF0FC"/>
          </w:tcPr>
          <w:p>
            <w:pPr>
              <w:spacing w:after="0"/>
              <w:rPr>
                <w:sz w:val="17"/>
                <w:szCs w:val="17"/>
                <w:color w:val="auto"/>
              </w:rPr>
            </w:pPr>
          </w:p>
        </w:tc>
        <w:tc>
          <w:tcPr>
            <w:tcW w:w="980" w:type="dxa"/>
            <w:vAlign w:val="bottom"/>
            <w:tcBorders>
              <w:right w:val="single" w:sz="8" w:color="auto"/>
            </w:tcBorders>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(78)</w:t>
            </w: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2,066</w:t>
            </w:r>
          </w:p>
        </w:tc>
        <w:tc>
          <w:tcPr>
            <w:tcW w:w="220" w:type="dxa"/>
            <w:vAlign w:val="bottom"/>
            <w:shd w:val="clear" w:color="auto" w:fill="CFF0FC"/>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700" w:type="dxa"/>
            <w:vAlign w:val="bottom"/>
          </w:tcPr>
          <w:p>
            <w:pPr>
              <w:spacing w:after="0"/>
              <w:rPr>
                <w:sz w:val="20"/>
                <w:szCs w:val="20"/>
                <w:color w:val="auto"/>
              </w:rPr>
            </w:pPr>
            <w:r>
              <w:rPr>
                <w:rFonts w:ascii="Arial" w:cs="Arial" w:eastAsia="Arial" w:hAnsi="Arial"/>
                <w:sz w:val="16"/>
                <w:szCs w:val="16"/>
                <w:color w:val="auto"/>
              </w:rPr>
              <w:t>Less: Net earnings attributable to non-controlling interests</w:t>
            </w:r>
          </w:p>
        </w:tc>
        <w:tc>
          <w:tcPr>
            <w:tcW w:w="200" w:type="dxa"/>
            <w:vAlign w:val="bottom"/>
          </w:tcPr>
          <w:p>
            <w:pPr>
              <w:spacing w:after="0"/>
              <w:rPr>
                <w:sz w:val="17"/>
                <w:szCs w:val="17"/>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color w:val="auto"/>
              </w:rPr>
              <w:t>1</w:t>
            </w:r>
          </w:p>
        </w:tc>
        <w:tc>
          <w:tcPr>
            <w:tcW w:w="280" w:type="dxa"/>
            <w:vAlign w:val="bottom"/>
          </w:tcPr>
          <w:p>
            <w:pPr>
              <w:spacing w:after="0"/>
              <w:rPr>
                <w:sz w:val="17"/>
                <w:szCs w:val="17"/>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5</w:t>
            </w:r>
          </w:p>
        </w:tc>
        <w:tc>
          <w:tcPr>
            <w:tcW w:w="160" w:type="dxa"/>
            <w:vAlign w:val="bottom"/>
          </w:tcPr>
          <w:p>
            <w:pPr>
              <w:spacing w:after="0"/>
              <w:rPr>
                <w:sz w:val="17"/>
                <w:szCs w:val="17"/>
                <w:color w:val="auto"/>
              </w:rPr>
            </w:pPr>
          </w:p>
        </w:tc>
        <w:tc>
          <w:tcPr>
            <w:tcW w:w="800" w:type="dxa"/>
            <w:vAlign w:val="bottom"/>
          </w:tcPr>
          <w:p>
            <w:pPr>
              <w:jc w:val="right"/>
              <w:ind w:right="220"/>
              <w:spacing w:after="0"/>
              <w:rPr>
                <w:sz w:val="20"/>
                <w:szCs w:val="20"/>
                <w:color w:val="auto"/>
              </w:rPr>
            </w:pPr>
            <w:r>
              <w:rPr>
                <w:rFonts w:ascii="Arial" w:cs="Arial" w:eastAsia="Arial" w:hAnsi="Arial"/>
                <w:sz w:val="16"/>
                <w:szCs w:val="16"/>
                <w:color w:val="auto"/>
              </w:rPr>
              <w:t>5</w:t>
            </w: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w:t>
            </w: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Net Earnings (Loss) Attributable to Eastman Kodak</w:t>
            </w:r>
          </w:p>
        </w:tc>
        <w:tc>
          <w:tcPr>
            <w:tcW w:w="20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40" w:type="dxa"/>
            <w:vAlign w:val="bottom"/>
            <w:tcBorders>
              <w:right w:val="single" w:sz="8" w:color="auto"/>
            </w:tcBorders>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shd w:val="clear" w:color="auto" w:fill="CFF0FC"/>
          </w:tcPr>
          <w:p>
            <w:pPr>
              <w:ind w:left="100"/>
              <w:spacing w:after="0"/>
              <w:rPr>
                <w:sz w:val="20"/>
                <w:szCs w:val="20"/>
                <w:color w:val="auto"/>
              </w:rPr>
            </w:pPr>
            <w:r>
              <w:rPr>
                <w:rFonts w:ascii="Arial" w:cs="Arial" w:eastAsia="Arial" w:hAnsi="Arial"/>
                <w:sz w:val="16"/>
                <w:szCs w:val="16"/>
                <w:b w:val="1"/>
                <w:bCs w:val="1"/>
                <w:color w:val="auto"/>
              </w:rPr>
              <w:t>Company</w:t>
            </w: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94</w:t>
            </w:r>
          </w:p>
        </w:tc>
        <w:tc>
          <w:tcPr>
            <w:tcW w:w="40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80"/>
              <w:spacing w:after="0"/>
              <w:rPr>
                <w:sz w:val="20"/>
                <w:szCs w:val="20"/>
                <w:color w:val="auto"/>
              </w:rPr>
            </w:pPr>
            <w:r>
              <w:rPr>
                <w:rFonts w:ascii="Arial" w:cs="Arial" w:eastAsia="Arial" w:hAnsi="Arial"/>
                <w:sz w:val="16"/>
                <w:szCs w:val="16"/>
                <w:color w:val="auto"/>
              </w:rPr>
              <w:t>15</w:t>
            </w:r>
          </w:p>
        </w:tc>
        <w:tc>
          <w:tcPr>
            <w:tcW w:w="2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w:t>
            </w: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160"/>
              <w:spacing w:after="0"/>
              <w:rPr>
                <w:sz w:val="20"/>
                <w:szCs w:val="20"/>
                <w:color w:val="auto"/>
              </w:rPr>
            </w:pPr>
            <w:r>
              <w:rPr>
                <w:rFonts w:ascii="Arial" w:cs="Arial" w:eastAsia="Arial" w:hAnsi="Arial"/>
                <w:sz w:val="16"/>
                <w:szCs w:val="16"/>
                <w:color w:val="auto"/>
              </w:rPr>
              <w:t>(123)</w:t>
            </w:r>
          </w:p>
        </w:tc>
        <w:tc>
          <w:tcPr>
            <w:tcW w:w="80" w:type="dxa"/>
            <w:vAlign w:val="bottom"/>
            <w:shd w:val="clear" w:color="auto" w:fill="CFF0FC"/>
          </w:tcPr>
          <w:p>
            <w:pPr>
              <w:spacing w:after="0"/>
              <w:rPr>
                <w:sz w:val="18"/>
                <w:szCs w:val="18"/>
                <w:color w:val="auto"/>
              </w:rPr>
            </w:pPr>
          </w:p>
        </w:tc>
        <w:tc>
          <w:tcPr>
            <w:tcW w:w="980" w:type="dxa"/>
            <w:vAlign w:val="bottom"/>
            <w:tcBorders>
              <w:right w:val="single" w:sz="8" w:color="auto"/>
            </w:tcBorders>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(81)</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2,066</w:t>
            </w:r>
          </w:p>
        </w:tc>
        <w:tc>
          <w:tcPr>
            <w:tcW w:w="220" w:type="dxa"/>
            <w:vAlign w:val="bottom"/>
            <w:shd w:val="clear" w:color="auto" w:fill="CFF0FC"/>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4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Earnings and Dividends</w:t>
            </w:r>
          </w:p>
        </w:tc>
        <w:tc>
          <w:tcPr>
            <w:tcW w:w="2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40" w:type="dxa"/>
            <w:vAlign w:val="bottom"/>
            <w:tcBorders>
              <w:right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700" w:type="dxa"/>
            <w:vAlign w:val="bottom"/>
          </w:tcPr>
          <w:p>
            <w:pPr>
              <w:spacing w:after="0"/>
              <w:rPr>
                <w:sz w:val="20"/>
                <w:szCs w:val="20"/>
                <w:color w:val="auto"/>
              </w:rPr>
            </w:pPr>
            <w:r>
              <w:rPr>
                <w:rFonts w:ascii="Arial" w:cs="Arial" w:eastAsia="Arial" w:hAnsi="Arial"/>
                <w:sz w:val="16"/>
                <w:szCs w:val="16"/>
                <w:color w:val="auto"/>
              </w:rPr>
              <w:t>Basic earnings (loss) per share attributable to</w:t>
            </w: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700" w:type="dxa"/>
            <w:vAlign w:val="bottom"/>
          </w:tcPr>
          <w:p>
            <w:pPr>
              <w:ind w:left="100"/>
              <w:spacing w:after="0"/>
              <w:rPr>
                <w:sz w:val="20"/>
                <w:szCs w:val="20"/>
                <w:color w:val="auto"/>
              </w:rPr>
            </w:pPr>
            <w:r>
              <w:rPr>
                <w:rFonts w:ascii="Arial" w:cs="Arial" w:eastAsia="Arial" w:hAnsi="Arial"/>
                <w:sz w:val="16"/>
                <w:szCs w:val="16"/>
                <w:color w:val="auto"/>
              </w:rPr>
              <w:t>Eastman Kodak Company common shareholders:</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7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Continuing operations</w:t>
            </w:r>
          </w:p>
        </w:tc>
        <w:tc>
          <w:tcPr>
            <w:tcW w:w="200" w:type="dxa"/>
            <w:vAlign w:val="bottom"/>
            <w:shd w:val="clear" w:color="auto" w:fill="CFF0FC"/>
          </w:tcPr>
          <w:p>
            <w:pPr>
              <w:spacing w:after="0"/>
              <w:rPr>
                <w:sz w:val="17"/>
                <w:szCs w:val="17"/>
                <w:color w:val="auto"/>
              </w:rPr>
            </w:pPr>
          </w:p>
        </w:tc>
        <w:tc>
          <w:tcPr>
            <w:tcW w:w="80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1.81</w:t>
            </w:r>
          </w:p>
        </w:tc>
        <w:tc>
          <w:tcPr>
            <w:tcW w:w="400" w:type="dxa"/>
            <w:vAlign w:val="bottom"/>
            <w:shd w:val="clear" w:color="auto" w:fill="CFF0FC"/>
          </w:tcPr>
          <w:p>
            <w:pPr>
              <w:spacing w:after="0"/>
              <w:rPr>
                <w:sz w:val="17"/>
                <w:szCs w:val="17"/>
                <w:color w:val="auto"/>
              </w:rPr>
            </w:pPr>
          </w:p>
        </w:tc>
        <w:tc>
          <w:tcPr>
            <w:tcW w:w="860" w:type="dxa"/>
            <w:vAlign w:val="bottom"/>
            <w:shd w:val="clear" w:color="auto" w:fill="CFF0FC"/>
          </w:tcPr>
          <w:p>
            <w:pPr>
              <w:jc w:val="right"/>
              <w:ind w:right="80"/>
              <w:spacing w:after="0"/>
              <w:rPr>
                <w:sz w:val="20"/>
                <w:szCs w:val="20"/>
                <w:color w:val="auto"/>
              </w:rPr>
            </w:pPr>
            <w:r>
              <w:rPr>
                <w:rFonts w:ascii="Arial" w:cs="Arial" w:eastAsia="Arial" w:hAnsi="Arial"/>
                <w:sz w:val="16"/>
                <w:szCs w:val="16"/>
                <w:color w:val="auto"/>
              </w:rPr>
              <w:t>0.33</w:t>
            </w:r>
          </w:p>
        </w:tc>
        <w:tc>
          <w:tcPr>
            <w:tcW w:w="28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(1.72)</w:t>
            </w:r>
          </w:p>
        </w:tc>
        <w:tc>
          <w:tcPr>
            <w:tcW w:w="160" w:type="dxa"/>
            <w:vAlign w:val="bottom"/>
            <w:shd w:val="clear" w:color="auto" w:fill="CFF0FC"/>
          </w:tcPr>
          <w:p>
            <w:pPr>
              <w:spacing w:after="0"/>
              <w:rPr>
                <w:sz w:val="17"/>
                <w:szCs w:val="17"/>
                <w:color w:val="auto"/>
              </w:rPr>
            </w:pPr>
          </w:p>
        </w:tc>
        <w:tc>
          <w:tcPr>
            <w:tcW w:w="800" w:type="dxa"/>
            <w:vAlign w:val="bottom"/>
            <w:shd w:val="clear" w:color="auto" w:fill="CFF0FC"/>
          </w:tcPr>
          <w:p>
            <w:pPr>
              <w:jc w:val="right"/>
              <w:ind w:right="160"/>
              <w:spacing w:after="0"/>
              <w:rPr>
                <w:sz w:val="20"/>
                <w:szCs w:val="20"/>
                <w:color w:val="auto"/>
              </w:rPr>
            </w:pPr>
            <w:r>
              <w:rPr>
                <w:rFonts w:ascii="Arial" w:cs="Arial" w:eastAsia="Arial" w:hAnsi="Arial"/>
                <w:sz w:val="16"/>
                <w:szCs w:val="16"/>
                <w:color w:val="auto"/>
              </w:rPr>
              <w:t>(3.05)</w:t>
            </w:r>
          </w:p>
        </w:tc>
        <w:tc>
          <w:tcPr>
            <w:tcW w:w="80" w:type="dxa"/>
            <w:vAlign w:val="bottom"/>
            <w:shd w:val="clear" w:color="auto" w:fill="CFF0FC"/>
          </w:tcPr>
          <w:p>
            <w:pPr>
              <w:spacing w:after="0"/>
              <w:rPr>
                <w:sz w:val="17"/>
                <w:szCs w:val="17"/>
                <w:color w:val="auto"/>
              </w:rPr>
            </w:pPr>
          </w:p>
        </w:tc>
        <w:tc>
          <w:tcPr>
            <w:tcW w:w="980" w:type="dxa"/>
            <w:vAlign w:val="bottom"/>
            <w:tcBorders>
              <w:right w:val="single" w:sz="8" w:color="auto"/>
            </w:tcBorders>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(2.04)</w:t>
            </w: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8.08</w:t>
            </w:r>
          </w:p>
        </w:tc>
        <w:tc>
          <w:tcPr>
            <w:tcW w:w="220" w:type="dxa"/>
            <w:vAlign w:val="bottom"/>
            <w:shd w:val="clear" w:color="auto" w:fill="CFF0FC"/>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700" w:type="dxa"/>
            <w:vAlign w:val="bottom"/>
          </w:tcPr>
          <w:p>
            <w:pPr>
              <w:ind w:left="200"/>
              <w:spacing w:after="0"/>
              <w:rPr>
                <w:sz w:val="20"/>
                <w:szCs w:val="20"/>
                <w:color w:val="auto"/>
              </w:rPr>
            </w:pPr>
            <w:r>
              <w:rPr>
                <w:rFonts w:ascii="Arial" w:cs="Arial" w:eastAsia="Arial" w:hAnsi="Arial"/>
                <w:sz w:val="16"/>
                <w:szCs w:val="16"/>
                <w:color w:val="auto"/>
              </w:rPr>
              <w:t>Discontinued operations</w:t>
            </w: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(0.05)</w:t>
            </w:r>
          </w:p>
        </w:tc>
        <w:tc>
          <w:tcPr>
            <w:tcW w:w="4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(0.05)</w:t>
            </w:r>
          </w:p>
        </w:tc>
        <w:tc>
          <w:tcPr>
            <w:tcW w:w="2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(0.19)</w:t>
            </w:r>
          </w:p>
        </w:tc>
        <w:tc>
          <w:tcPr>
            <w:tcW w:w="160" w:type="dxa"/>
            <w:vAlign w:val="bottom"/>
          </w:tcPr>
          <w:p>
            <w:pPr>
              <w:spacing w:after="0"/>
              <w:rPr>
                <w:sz w:val="17"/>
                <w:szCs w:val="17"/>
                <w:color w:val="auto"/>
              </w:rPr>
            </w:pPr>
          </w:p>
        </w:tc>
        <w:tc>
          <w:tcPr>
            <w:tcW w:w="800" w:type="dxa"/>
            <w:vAlign w:val="bottom"/>
          </w:tcPr>
          <w:p>
            <w:pPr>
              <w:jc w:val="right"/>
              <w:ind w:right="220"/>
              <w:spacing w:after="0"/>
              <w:rPr>
                <w:sz w:val="20"/>
                <w:szCs w:val="20"/>
                <w:color w:val="auto"/>
              </w:rPr>
            </w:pPr>
            <w:r>
              <w:rPr>
                <w:rFonts w:ascii="Arial" w:cs="Arial" w:eastAsia="Arial" w:hAnsi="Arial"/>
                <w:sz w:val="16"/>
                <w:szCs w:val="16"/>
                <w:color w:val="auto"/>
              </w:rPr>
              <w:t>0.10</w:t>
            </w: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0.10</w:t>
            </w: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(0.50)</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7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Total</w:t>
            </w:r>
          </w:p>
        </w:tc>
        <w:tc>
          <w:tcPr>
            <w:tcW w:w="200" w:type="dxa"/>
            <w:vAlign w:val="bottom"/>
            <w:shd w:val="clear" w:color="auto" w:fill="CFF0FC"/>
          </w:tcPr>
          <w:p>
            <w:pPr>
              <w:spacing w:after="0"/>
              <w:rPr>
                <w:sz w:val="17"/>
                <w:szCs w:val="17"/>
                <w:color w:val="auto"/>
              </w:rPr>
            </w:pPr>
          </w:p>
        </w:tc>
        <w:tc>
          <w:tcPr>
            <w:tcW w:w="80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1.76</w:t>
            </w:r>
          </w:p>
        </w:tc>
        <w:tc>
          <w:tcPr>
            <w:tcW w:w="400" w:type="dxa"/>
            <w:vAlign w:val="bottom"/>
            <w:shd w:val="clear" w:color="auto" w:fill="CFF0FC"/>
          </w:tcPr>
          <w:p>
            <w:pPr>
              <w:spacing w:after="0"/>
              <w:rPr>
                <w:sz w:val="17"/>
                <w:szCs w:val="17"/>
                <w:color w:val="auto"/>
              </w:rPr>
            </w:pPr>
          </w:p>
        </w:tc>
        <w:tc>
          <w:tcPr>
            <w:tcW w:w="860" w:type="dxa"/>
            <w:vAlign w:val="bottom"/>
            <w:shd w:val="clear" w:color="auto" w:fill="CFF0FC"/>
          </w:tcPr>
          <w:p>
            <w:pPr>
              <w:jc w:val="right"/>
              <w:ind w:right="80"/>
              <w:spacing w:after="0"/>
              <w:rPr>
                <w:sz w:val="20"/>
                <w:szCs w:val="20"/>
                <w:color w:val="auto"/>
              </w:rPr>
            </w:pPr>
            <w:r>
              <w:rPr>
                <w:rFonts w:ascii="Arial" w:cs="Arial" w:eastAsia="Arial" w:hAnsi="Arial"/>
                <w:sz w:val="16"/>
                <w:szCs w:val="16"/>
                <w:color w:val="auto"/>
              </w:rPr>
              <w:t>0.28</w:t>
            </w:r>
          </w:p>
        </w:tc>
        <w:tc>
          <w:tcPr>
            <w:tcW w:w="28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(1.91)</w:t>
            </w:r>
          </w:p>
        </w:tc>
        <w:tc>
          <w:tcPr>
            <w:tcW w:w="160" w:type="dxa"/>
            <w:vAlign w:val="bottom"/>
            <w:shd w:val="clear" w:color="auto" w:fill="CFF0FC"/>
          </w:tcPr>
          <w:p>
            <w:pPr>
              <w:spacing w:after="0"/>
              <w:rPr>
                <w:sz w:val="17"/>
                <w:szCs w:val="17"/>
                <w:color w:val="auto"/>
              </w:rPr>
            </w:pPr>
          </w:p>
        </w:tc>
        <w:tc>
          <w:tcPr>
            <w:tcW w:w="800" w:type="dxa"/>
            <w:vAlign w:val="bottom"/>
            <w:shd w:val="clear" w:color="auto" w:fill="CFF0FC"/>
          </w:tcPr>
          <w:p>
            <w:pPr>
              <w:jc w:val="right"/>
              <w:ind w:right="160"/>
              <w:spacing w:after="0"/>
              <w:rPr>
                <w:sz w:val="20"/>
                <w:szCs w:val="20"/>
                <w:color w:val="auto"/>
              </w:rPr>
            </w:pPr>
            <w:r>
              <w:rPr>
                <w:rFonts w:ascii="Arial" w:cs="Arial" w:eastAsia="Arial" w:hAnsi="Arial"/>
                <w:sz w:val="16"/>
                <w:szCs w:val="16"/>
                <w:color w:val="auto"/>
              </w:rPr>
              <w:t>(2.95)</w:t>
            </w:r>
          </w:p>
        </w:tc>
        <w:tc>
          <w:tcPr>
            <w:tcW w:w="80" w:type="dxa"/>
            <w:vAlign w:val="bottom"/>
            <w:shd w:val="clear" w:color="auto" w:fill="CFF0FC"/>
          </w:tcPr>
          <w:p>
            <w:pPr>
              <w:spacing w:after="0"/>
              <w:rPr>
                <w:sz w:val="17"/>
                <w:szCs w:val="17"/>
                <w:color w:val="auto"/>
              </w:rPr>
            </w:pPr>
          </w:p>
        </w:tc>
        <w:tc>
          <w:tcPr>
            <w:tcW w:w="980" w:type="dxa"/>
            <w:vAlign w:val="bottom"/>
            <w:tcBorders>
              <w:right w:val="single" w:sz="8" w:color="auto"/>
            </w:tcBorders>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(1.94)</w:t>
            </w: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7.58</w:t>
            </w:r>
          </w:p>
        </w:tc>
        <w:tc>
          <w:tcPr>
            <w:tcW w:w="220" w:type="dxa"/>
            <w:vAlign w:val="bottom"/>
            <w:shd w:val="clear" w:color="auto" w:fill="CFF0FC"/>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700" w:type="dxa"/>
            <w:vAlign w:val="bottom"/>
          </w:tcPr>
          <w:p>
            <w:pPr>
              <w:spacing w:after="0"/>
              <w:rPr>
                <w:sz w:val="20"/>
                <w:szCs w:val="20"/>
                <w:color w:val="auto"/>
              </w:rPr>
            </w:pPr>
            <w:r>
              <w:rPr>
                <w:rFonts w:ascii="Arial" w:cs="Arial" w:eastAsia="Arial" w:hAnsi="Arial"/>
                <w:sz w:val="16"/>
                <w:szCs w:val="16"/>
                <w:color w:val="auto"/>
              </w:rPr>
              <w:t>Diluted earnings (loss) per share attributable to</w:t>
            </w: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700" w:type="dxa"/>
            <w:vAlign w:val="bottom"/>
          </w:tcPr>
          <w:p>
            <w:pPr>
              <w:ind w:left="100"/>
              <w:spacing w:after="0"/>
              <w:rPr>
                <w:sz w:val="20"/>
                <w:szCs w:val="20"/>
                <w:color w:val="auto"/>
              </w:rPr>
            </w:pPr>
            <w:r>
              <w:rPr>
                <w:rFonts w:ascii="Arial" w:cs="Arial" w:eastAsia="Arial" w:hAnsi="Arial"/>
                <w:sz w:val="16"/>
                <w:szCs w:val="16"/>
                <w:color w:val="auto"/>
              </w:rPr>
              <w:t>Eastman Kodak Company common shareholders:</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7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Continuing operations</w:t>
            </w:r>
          </w:p>
        </w:tc>
        <w:tc>
          <w:tcPr>
            <w:tcW w:w="200" w:type="dxa"/>
            <w:vAlign w:val="bottom"/>
            <w:shd w:val="clear" w:color="auto" w:fill="CFF0FC"/>
          </w:tcPr>
          <w:p>
            <w:pPr>
              <w:spacing w:after="0"/>
              <w:rPr>
                <w:sz w:val="17"/>
                <w:szCs w:val="17"/>
                <w:color w:val="auto"/>
              </w:rPr>
            </w:pPr>
          </w:p>
        </w:tc>
        <w:tc>
          <w:tcPr>
            <w:tcW w:w="80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1.81</w:t>
            </w:r>
          </w:p>
        </w:tc>
        <w:tc>
          <w:tcPr>
            <w:tcW w:w="400" w:type="dxa"/>
            <w:vAlign w:val="bottom"/>
            <w:shd w:val="clear" w:color="auto" w:fill="CFF0FC"/>
          </w:tcPr>
          <w:p>
            <w:pPr>
              <w:spacing w:after="0"/>
              <w:rPr>
                <w:sz w:val="17"/>
                <w:szCs w:val="17"/>
                <w:color w:val="auto"/>
              </w:rPr>
            </w:pPr>
          </w:p>
        </w:tc>
        <w:tc>
          <w:tcPr>
            <w:tcW w:w="860" w:type="dxa"/>
            <w:vAlign w:val="bottom"/>
            <w:shd w:val="clear" w:color="auto" w:fill="CFF0FC"/>
          </w:tcPr>
          <w:p>
            <w:pPr>
              <w:jc w:val="right"/>
              <w:ind w:right="80"/>
              <w:spacing w:after="0"/>
              <w:rPr>
                <w:sz w:val="20"/>
                <w:szCs w:val="20"/>
                <w:color w:val="auto"/>
              </w:rPr>
            </w:pPr>
            <w:r>
              <w:rPr>
                <w:rFonts w:ascii="Arial" w:cs="Arial" w:eastAsia="Arial" w:hAnsi="Arial"/>
                <w:sz w:val="16"/>
                <w:szCs w:val="16"/>
                <w:color w:val="auto"/>
              </w:rPr>
              <w:t>0.33</w:t>
            </w:r>
          </w:p>
        </w:tc>
        <w:tc>
          <w:tcPr>
            <w:tcW w:w="28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(1.72)</w:t>
            </w:r>
          </w:p>
        </w:tc>
        <w:tc>
          <w:tcPr>
            <w:tcW w:w="160" w:type="dxa"/>
            <w:vAlign w:val="bottom"/>
            <w:shd w:val="clear" w:color="auto" w:fill="CFF0FC"/>
          </w:tcPr>
          <w:p>
            <w:pPr>
              <w:spacing w:after="0"/>
              <w:rPr>
                <w:sz w:val="17"/>
                <w:szCs w:val="17"/>
                <w:color w:val="auto"/>
              </w:rPr>
            </w:pPr>
          </w:p>
        </w:tc>
        <w:tc>
          <w:tcPr>
            <w:tcW w:w="800" w:type="dxa"/>
            <w:vAlign w:val="bottom"/>
            <w:shd w:val="clear" w:color="auto" w:fill="CFF0FC"/>
          </w:tcPr>
          <w:p>
            <w:pPr>
              <w:jc w:val="right"/>
              <w:ind w:right="160"/>
              <w:spacing w:after="0"/>
              <w:rPr>
                <w:sz w:val="20"/>
                <w:szCs w:val="20"/>
                <w:color w:val="auto"/>
              </w:rPr>
            </w:pPr>
            <w:r>
              <w:rPr>
                <w:rFonts w:ascii="Arial" w:cs="Arial" w:eastAsia="Arial" w:hAnsi="Arial"/>
                <w:sz w:val="16"/>
                <w:szCs w:val="16"/>
                <w:color w:val="auto"/>
              </w:rPr>
              <w:t>(3.05)</w:t>
            </w:r>
          </w:p>
        </w:tc>
        <w:tc>
          <w:tcPr>
            <w:tcW w:w="80" w:type="dxa"/>
            <w:vAlign w:val="bottom"/>
            <w:shd w:val="clear" w:color="auto" w:fill="CFF0FC"/>
          </w:tcPr>
          <w:p>
            <w:pPr>
              <w:spacing w:after="0"/>
              <w:rPr>
                <w:sz w:val="17"/>
                <w:szCs w:val="17"/>
                <w:color w:val="auto"/>
              </w:rPr>
            </w:pPr>
          </w:p>
        </w:tc>
        <w:tc>
          <w:tcPr>
            <w:tcW w:w="980" w:type="dxa"/>
            <w:vAlign w:val="bottom"/>
            <w:tcBorders>
              <w:right w:val="single" w:sz="8" w:color="auto"/>
            </w:tcBorders>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(2.04)</w:t>
            </w: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8.08</w:t>
            </w:r>
          </w:p>
        </w:tc>
        <w:tc>
          <w:tcPr>
            <w:tcW w:w="220" w:type="dxa"/>
            <w:vAlign w:val="bottom"/>
            <w:shd w:val="clear" w:color="auto" w:fill="CFF0FC"/>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700" w:type="dxa"/>
            <w:vAlign w:val="bottom"/>
          </w:tcPr>
          <w:p>
            <w:pPr>
              <w:ind w:left="200"/>
              <w:spacing w:after="0"/>
              <w:rPr>
                <w:sz w:val="20"/>
                <w:szCs w:val="20"/>
                <w:color w:val="auto"/>
              </w:rPr>
            </w:pPr>
            <w:r>
              <w:rPr>
                <w:rFonts w:ascii="Arial" w:cs="Arial" w:eastAsia="Arial" w:hAnsi="Arial"/>
                <w:sz w:val="16"/>
                <w:szCs w:val="16"/>
                <w:color w:val="auto"/>
              </w:rPr>
              <w:t>Discontinued operations</w:t>
            </w: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(0.05)</w:t>
            </w:r>
          </w:p>
        </w:tc>
        <w:tc>
          <w:tcPr>
            <w:tcW w:w="4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(0.05)</w:t>
            </w:r>
          </w:p>
        </w:tc>
        <w:tc>
          <w:tcPr>
            <w:tcW w:w="2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(0.19)</w:t>
            </w:r>
          </w:p>
        </w:tc>
        <w:tc>
          <w:tcPr>
            <w:tcW w:w="160" w:type="dxa"/>
            <w:vAlign w:val="bottom"/>
          </w:tcPr>
          <w:p>
            <w:pPr>
              <w:spacing w:after="0"/>
              <w:rPr>
                <w:sz w:val="17"/>
                <w:szCs w:val="17"/>
                <w:color w:val="auto"/>
              </w:rPr>
            </w:pPr>
          </w:p>
        </w:tc>
        <w:tc>
          <w:tcPr>
            <w:tcW w:w="800" w:type="dxa"/>
            <w:vAlign w:val="bottom"/>
          </w:tcPr>
          <w:p>
            <w:pPr>
              <w:jc w:val="right"/>
              <w:ind w:right="220"/>
              <w:spacing w:after="0"/>
              <w:rPr>
                <w:sz w:val="20"/>
                <w:szCs w:val="20"/>
                <w:color w:val="auto"/>
              </w:rPr>
            </w:pPr>
            <w:r>
              <w:rPr>
                <w:rFonts w:ascii="Arial" w:cs="Arial" w:eastAsia="Arial" w:hAnsi="Arial"/>
                <w:sz w:val="16"/>
                <w:szCs w:val="16"/>
                <w:color w:val="auto"/>
              </w:rPr>
              <w:t>0.10</w:t>
            </w: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0.10</w:t>
            </w: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(0.50)</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7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Total</w:t>
            </w:r>
          </w:p>
        </w:tc>
        <w:tc>
          <w:tcPr>
            <w:tcW w:w="200" w:type="dxa"/>
            <w:vAlign w:val="bottom"/>
            <w:shd w:val="clear" w:color="auto" w:fill="CFF0FC"/>
          </w:tcPr>
          <w:p>
            <w:pPr>
              <w:spacing w:after="0"/>
              <w:rPr>
                <w:sz w:val="17"/>
                <w:szCs w:val="17"/>
                <w:color w:val="auto"/>
              </w:rPr>
            </w:pPr>
          </w:p>
        </w:tc>
        <w:tc>
          <w:tcPr>
            <w:tcW w:w="80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1.76</w:t>
            </w:r>
          </w:p>
        </w:tc>
        <w:tc>
          <w:tcPr>
            <w:tcW w:w="400" w:type="dxa"/>
            <w:vAlign w:val="bottom"/>
            <w:shd w:val="clear" w:color="auto" w:fill="CFF0FC"/>
          </w:tcPr>
          <w:p>
            <w:pPr>
              <w:spacing w:after="0"/>
              <w:rPr>
                <w:sz w:val="17"/>
                <w:szCs w:val="17"/>
                <w:color w:val="auto"/>
              </w:rPr>
            </w:pPr>
          </w:p>
        </w:tc>
        <w:tc>
          <w:tcPr>
            <w:tcW w:w="860" w:type="dxa"/>
            <w:vAlign w:val="bottom"/>
            <w:shd w:val="clear" w:color="auto" w:fill="CFF0FC"/>
          </w:tcPr>
          <w:p>
            <w:pPr>
              <w:jc w:val="right"/>
              <w:ind w:right="80"/>
              <w:spacing w:after="0"/>
              <w:rPr>
                <w:sz w:val="20"/>
                <w:szCs w:val="20"/>
                <w:color w:val="auto"/>
              </w:rPr>
            </w:pPr>
            <w:r>
              <w:rPr>
                <w:rFonts w:ascii="Arial" w:cs="Arial" w:eastAsia="Arial" w:hAnsi="Arial"/>
                <w:sz w:val="16"/>
                <w:szCs w:val="16"/>
                <w:color w:val="auto"/>
              </w:rPr>
              <w:t>0.28</w:t>
            </w:r>
          </w:p>
        </w:tc>
        <w:tc>
          <w:tcPr>
            <w:tcW w:w="28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(1.91)</w:t>
            </w:r>
          </w:p>
        </w:tc>
        <w:tc>
          <w:tcPr>
            <w:tcW w:w="160" w:type="dxa"/>
            <w:vAlign w:val="bottom"/>
            <w:shd w:val="clear" w:color="auto" w:fill="CFF0FC"/>
          </w:tcPr>
          <w:p>
            <w:pPr>
              <w:spacing w:after="0"/>
              <w:rPr>
                <w:sz w:val="17"/>
                <w:szCs w:val="17"/>
                <w:color w:val="auto"/>
              </w:rPr>
            </w:pPr>
          </w:p>
        </w:tc>
        <w:tc>
          <w:tcPr>
            <w:tcW w:w="800" w:type="dxa"/>
            <w:vAlign w:val="bottom"/>
            <w:shd w:val="clear" w:color="auto" w:fill="CFF0FC"/>
          </w:tcPr>
          <w:p>
            <w:pPr>
              <w:jc w:val="right"/>
              <w:ind w:right="160"/>
              <w:spacing w:after="0"/>
              <w:rPr>
                <w:sz w:val="20"/>
                <w:szCs w:val="20"/>
                <w:color w:val="auto"/>
              </w:rPr>
            </w:pPr>
            <w:r>
              <w:rPr>
                <w:rFonts w:ascii="Arial" w:cs="Arial" w:eastAsia="Arial" w:hAnsi="Arial"/>
                <w:sz w:val="16"/>
                <w:szCs w:val="16"/>
                <w:color w:val="auto"/>
              </w:rPr>
              <w:t>(2.95)</w:t>
            </w:r>
          </w:p>
        </w:tc>
        <w:tc>
          <w:tcPr>
            <w:tcW w:w="80" w:type="dxa"/>
            <w:vAlign w:val="bottom"/>
            <w:shd w:val="clear" w:color="auto" w:fill="CFF0FC"/>
          </w:tcPr>
          <w:p>
            <w:pPr>
              <w:spacing w:after="0"/>
              <w:rPr>
                <w:sz w:val="17"/>
                <w:szCs w:val="17"/>
                <w:color w:val="auto"/>
              </w:rPr>
            </w:pPr>
          </w:p>
        </w:tc>
        <w:tc>
          <w:tcPr>
            <w:tcW w:w="980" w:type="dxa"/>
            <w:vAlign w:val="bottom"/>
            <w:tcBorders>
              <w:right w:val="single" w:sz="8" w:color="auto"/>
            </w:tcBorders>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(1.94)</w:t>
            </w: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7.58</w:t>
            </w:r>
          </w:p>
        </w:tc>
        <w:tc>
          <w:tcPr>
            <w:tcW w:w="220" w:type="dxa"/>
            <w:vAlign w:val="bottom"/>
            <w:shd w:val="clear" w:color="auto" w:fill="CFF0FC"/>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700" w:type="dxa"/>
            <w:vAlign w:val="bottom"/>
          </w:tcPr>
          <w:p>
            <w:pPr>
              <w:spacing w:after="0"/>
              <w:rPr>
                <w:sz w:val="20"/>
                <w:szCs w:val="20"/>
                <w:color w:val="auto"/>
              </w:rPr>
            </w:pPr>
            <w:r>
              <w:rPr>
                <w:rFonts w:ascii="Arial" w:cs="Arial" w:eastAsia="Arial" w:hAnsi="Arial"/>
                <w:sz w:val="16"/>
                <w:szCs w:val="16"/>
                <w:color w:val="auto"/>
              </w:rPr>
              <w:t>Cash dividends declared and paid</w:t>
            </w:r>
          </w:p>
        </w:tc>
        <w:tc>
          <w:tcPr>
            <w:tcW w:w="200" w:type="dxa"/>
            <w:vAlign w:val="bottom"/>
          </w:tcPr>
          <w:p>
            <w:pPr>
              <w:spacing w:after="0"/>
              <w:rPr>
                <w:sz w:val="17"/>
                <w:szCs w:val="17"/>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00" w:type="dxa"/>
            <w:vAlign w:val="bottom"/>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98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6"/>
                <w:szCs w:val="16"/>
                <w:color w:val="auto"/>
                <w:w w:val="91"/>
              </w:rPr>
              <w:t>Number of common shares used in basic and diluted earnings (loss) per</w:t>
            </w:r>
          </w:p>
        </w:tc>
        <w:tc>
          <w:tcPr>
            <w:tcW w:w="20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40" w:type="dxa"/>
            <w:vAlign w:val="bottom"/>
            <w:tcBorders>
              <w:right w:val="single" w:sz="8" w:color="auto"/>
            </w:tcBorders>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6"/>
                <w:szCs w:val="16"/>
                <w:color w:val="auto"/>
              </w:rPr>
              <w:t>share</w:t>
            </w:r>
          </w:p>
        </w:tc>
        <w:tc>
          <w:tcPr>
            <w:tcW w:w="2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40" w:type="dxa"/>
            <w:vAlign w:val="bottom"/>
            <w:tcBorders>
              <w:right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700" w:type="dxa"/>
            <w:vAlign w:val="bottom"/>
          </w:tcPr>
          <w:p>
            <w:pPr>
              <w:ind w:left="80"/>
              <w:spacing w:after="0"/>
              <w:rPr>
                <w:sz w:val="20"/>
                <w:szCs w:val="20"/>
                <w:color w:val="auto"/>
              </w:rPr>
            </w:pPr>
            <w:r>
              <w:rPr>
                <w:rFonts w:ascii="Arial" w:cs="Arial" w:eastAsia="Arial" w:hAnsi="Arial"/>
                <w:sz w:val="16"/>
                <w:szCs w:val="16"/>
                <w:color w:val="auto"/>
              </w:rPr>
              <w:t>Basic</w:t>
            </w:r>
          </w:p>
        </w:tc>
        <w:tc>
          <w:tcPr>
            <w:tcW w:w="200" w:type="dxa"/>
            <w:vAlign w:val="bottom"/>
          </w:tcPr>
          <w:p>
            <w:pPr>
              <w:spacing w:after="0"/>
              <w:rPr>
                <w:sz w:val="17"/>
                <w:szCs w:val="17"/>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42.5</w:t>
            </w:r>
          </w:p>
        </w:tc>
        <w:tc>
          <w:tcPr>
            <w:tcW w:w="400" w:type="dxa"/>
            <w:vAlign w:val="bottom"/>
          </w:tcPr>
          <w:p>
            <w:pPr>
              <w:spacing w:after="0"/>
              <w:rPr>
                <w:sz w:val="17"/>
                <w:szCs w:val="17"/>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color w:val="auto"/>
              </w:rPr>
              <w:t>42.2</w:t>
            </w:r>
          </w:p>
        </w:tc>
        <w:tc>
          <w:tcPr>
            <w:tcW w:w="280" w:type="dxa"/>
            <w:vAlign w:val="bottom"/>
          </w:tcPr>
          <w:p>
            <w:pPr>
              <w:spacing w:after="0"/>
              <w:rPr>
                <w:sz w:val="17"/>
                <w:szCs w:val="17"/>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41.9</w:t>
            </w:r>
          </w:p>
        </w:tc>
        <w:tc>
          <w:tcPr>
            <w:tcW w:w="160" w:type="dxa"/>
            <w:vAlign w:val="bottom"/>
          </w:tcPr>
          <w:p>
            <w:pPr>
              <w:spacing w:after="0"/>
              <w:rPr>
                <w:sz w:val="17"/>
                <w:szCs w:val="17"/>
                <w:color w:val="auto"/>
              </w:rPr>
            </w:pPr>
          </w:p>
        </w:tc>
        <w:tc>
          <w:tcPr>
            <w:tcW w:w="800" w:type="dxa"/>
            <w:vAlign w:val="bottom"/>
          </w:tcPr>
          <w:p>
            <w:pPr>
              <w:jc w:val="right"/>
              <w:ind w:right="220"/>
              <w:spacing w:after="0"/>
              <w:rPr>
                <w:sz w:val="20"/>
                <w:szCs w:val="20"/>
                <w:color w:val="auto"/>
              </w:rPr>
            </w:pPr>
            <w:r>
              <w:rPr>
                <w:rFonts w:ascii="Arial" w:cs="Arial" w:eastAsia="Arial" w:hAnsi="Arial"/>
                <w:sz w:val="16"/>
                <w:szCs w:val="16"/>
                <w:color w:val="auto"/>
              </w:rPr>
              <w:t>41.7</w:t>
            </w: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41.7</w:t>
            </w: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ind w:right="22"/>
              <w:spacing w:after="0"/>
              <w:rPr>
                <w:sz w:val="20"/>
                <w:szCs w:val="20"/>
                <w:color w:val="auto"/>
              </w:rPr>
            </w:pPr>
            <w:r>
              <w:rPr>
                <w:rFonts w:ascii="Arial" w:cs="Arial" w:eastAsia="Arial" w:hAnsi="Arial"/>
                <w:sz w:val="16"/>
                <w:szCs w:val="16"/>
                <w:color w:val="auto"/>
              </w:rPr>
              <w:t>272.7</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700" w:type="dxa"/>
            <w:vAlign w:val="bottom"/>
            <w:shd w:val="clear" w:color="auto" w:fill="CFF0FC"/>
          </w:tcPr>
          <w:p>
            <w:pPr>
              <w:ind w:left="80"/>
              <w:spacing w:after="0"/>
              <w:rPr>
                <w:sz w:val="20"/>
                <w:szCs w:val="20"/>
                <w:color w:val="auto"/>
              </w:rPr>
            </w:pPr>
            <w:r>
              <w:rPr>
                <w:rFonts w:ascii="Arial" w:cs="Arial" w:eastAsia="Arial" w:hAnsi="Arial"/>
                <w:sz w:val="16"/>
                <w:szCs w:val="16"/>
                <w:color w:val="auto"/>
              </w:rPr>
              <w:t>Diluted</w:t>
            </w:r>
          </w:p>
        </w:tc>
        <w:tc>
          <w:tcPr>
            <w:tcW w:w="200" w:type="dxa"/>
            <w:vAlign w:val="bottom"/>
            <w:shd w:val="clear" w:color="auto" w:fill="CFF0FC"/>
          </w:tcPr>
          <w:p>
            <w:pPr>
              <w:spacing w:after="0"/>
              <w:rPr>
                <w:sz w:val="17"/>
                <w:szCs w:val="17"/>
                <w:color w:val="auto"/>
              </w:rPr>
            </w:pPr>
          </w:p>
        </w:tc>
        <w:tc>
          <w:tcPr>
            <w:tcW w:w="80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42.7</w:t>
            </w:r>
          </w:p>
        </w:tc>
        <w:tc>
          <w:tcPr>
            <w:tcW w:w="400" w:type="dxa"/>
            <w:vAlign w:val="bottom"/>
            <w:shd w:val="clear" w:color="auto" w:fill="CFF0FC"/>
          </w:tcPr>
          <w:p>
            <w:pPr>
              <w:spacing w:after="0"/>
              <w:rPr>
                <w:sz w:val="17"/>
                <w:szCs w:val="17"/>
                <w:color w:val="auto"/>
              </w:rPr>
            </w:pPr>
          </w:p>
        </w:tc>
        <w:tc>
          <w:tcPr>
            <w:tcW w:w="860" w:type="dxa"/>
            <w:vAlign w:val="bottom"/>
            <w:shd w:val="clear" w:color="auto" w:fill="CFF0FC"/>
          </w:tcPr>
          <w:p>
            <w:pPr>
              <w:jc w:val="right"/>
              <w:ind w:right="80"/>
              <w:spacing w:after="0"/>
              <w:rPr>
                <w:sz w:val="20"/>
                <w:szCs w:val="20"/>
                <w:color w:val="auto"/>
              </w:rPr>
            </w:pPr>
            <w:r>
              <w:rPr>
                <w:rFonts w:ascii="Arial" w:cs="Arial" w:eastAsia="Arial" w:hAnsi="Arial"/>
                <w:sz w:val="16"/>
                <w:szCs w:val="16"/>
                <w:color w:val="auto"/>
              </w:rPr>
              <w:t>42.5</w:t>
            </w:r>
          </w:p>
        </w:tc>
        <w:tc>
          <w:tcPr>
            <w:tcW w:w="280" w:type="dxa"/>
            <w:vAlign w:val="bottom"/>
            <w:shd w:val="clear" w:color="auto" w:fill="CFF0FC"/>
          </w:tcPr>
          <w:p>
            <w:pPr>
              <w:spacing w:after="0"/>
              <w:rPr>
                <w:sz w:val="17"/>
                <w:szCs w:val="17"/>
                <w:color w:val="auto"/>
              </w:rPr>
            </w:pPr>
          </w:p>
        </w:tc>
        <w:tc>
          <w:tcPr>
            <w:tcW w:w="80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41.9</w:t>
            </w:r>
          </w:p>
        </w:tc>
        <w:tc>
          <w:tcPr>
            <w:tcW w:w="160" w:type="dxa"/>
            <w:vAlign w:val="bottom"/>
            <w:shd w:val="clear" w:color="auto" w:fill="CFF0FC"/>
          </w:tcPr>
          <w:p>
            <w:pPr>
              <w:spacing w:after="0"/>
              <w:rPr>
                <w:sz w:val="17"/>
                <w:szCs w:val="17"/>
                <w:color w:val="auto"/>
              </w:rPr>
            </w:pPr>
          </w:p>
        </w:tc>
        <w:tc>
          <w:tcPr>
            <w:tcW w:w="800" w:type="dxa"/>
            <w:vAlign w:val="bottom"/>
            <w:shd w:val="clear" w:color="auto" w:fill="CFF0FC"/>
          </w:tcPr>
          <w:p>
            <w:pPr>
              <w:jc w:val="right"/>
              <w:ind w:right="220"/>
              <w:spacing w:after="0"/>
              <w:rPr>
                <w:sz w:val="20"/>
                <w:szCs w:val="20"/>
                <w:color w:val="auto"/>
              </w:rPr>
            </w:pPr>
            <w:r>
              <w:rPr>
                <w:rFonts w:ascii="Arial" w:cs="Arial" w:eastAsia="Arial" w:hAnsi="Arial"/>
                <w:sz w:val="16"/>
                <w:szCs w:val="16"/>
                <w:color w:val="auto"/>
              </w:rPr>
              <w:t>41.7</w:t>
            </w:r>
          </w:p>
        </w:tc>
        <w:tc>
          <w:tcPr>
            <w:tcW w:w="8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41.7</w:t>
            </w:r>
          </w:p>
        </w:tc>
        <w:tc>
          <w:tcPr>
            <w:tcW w:w="140" w:type="dxa"/>
            <w:vAlign w:val="bottom"/>
            <w:tcBorders>
              <w:right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272.7</w:t>
            </w:r>
          </w:p>
        </w:tc>
        <w:tc>
          <w:tcPr>
            <w:tcW w:w="220" w:type="dxa"/>
            <w:vAlign w:val="bottom"/>
            <w:shd w:val="clear" w:color="auto" w:fill="CFF0FC"/>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700" w:type="dxa"/>
            <w:vAlign w:val="bottom"/>
          </w:tcPr>
          <w:p>
            <w:pPr>
              <w:spacing w:after="0"/>
              <w:rPr>
                <w:sz w:val="20"/>
                <w:szCs w:val="20"/>
                <w:color w:val="auto"/>
              </w:rPr>
            </w:pPr>
            <w:r>
              <w:rPr>
                <w:rFonts w:ascii="Arial" w:cs="Arial" w:eastAsia="Arial" w:hAnsi="Arial"/>
                <w:sz w:val="16"/>
                <w:szCs w:val="16"/>
                <w:color w:val="auto"/>
              </w:rPr>
              <w:t>Shareholders at year end</w:t>
            </w:r>
          </w:p>
        </w:tc>
        <w:tc>
          <w:tcPr>
            <w:tcW w:w="200" w:type="dxa"/>
            <w:vAlign w:val="bottom"/>
          </w:tcPr>
          <w:p>
            <w:pPr>
              <w:spacing w:after="0"/>
              <w:rPr>
                <w:sz w:val="17"/>
                <w:szCs w:val="17"/>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2,903</w:t>
            </w:r>
          </w:p>
        </w:tc>
        <w:tc>
          <w:tcPr>
            <w:tcW w:w="400" w:type="dxa"/>
            <w:vAlign w:val="bottom"/>
          </w:tcPr>
          <w:p>
            <w:pPr>
              <w:spacing w:after="0"/>
              <w:rPr>
                <w:sz w:val="17"/>
                <w:szCs w:val="17"/>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color w:val="auto"/>
              </w:rPr>
              <w:t>2,903</w:t>
            </w:r>
          </w:p>
        </w:tc>
        <w:tc>
          <w:tcPr>
            <w:tcW w:w="280" w:type="dxa"/>
            <w:vAlign w:val="bottom"/>
          </w:tcPr>
          <w:p>
            <w:pPr>
              <w:spacing w:after="0"/>
              <w:rPr>
                <w:sz w:val="17"/>
                <w:szCs w:val="17"/>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2,997</w:t>
            </w:r>
          </w:p>
        </w:tc>
        <w:tc>
          <w:tcPr>
            <w:tcW w:w="160" w:type="dxa"/>
            <w:vAlign w:val="bottom"/>
          </w:tcPr>
          <w:p>
            <w:pPr>
              <w:spacing w:after="0"/>
              <w:rPr>
                <w:sz w:val="17"/>
                <w:szCs w:val="17"/>
                <w:color w:val="auto"/>
              </w:rPr>
            </w:pPr>
          </w:p>
        </w:tc>
        <w:tc>
          <w:tcPr>
            <w:tcW w:w="800" w:type="dxa"/>
            <w:vAlign w:val="bottom"/>
          </w:tcPr>
          <w:p>
            <w:pPr>
              <w:jc w:val="right"/>
              <w:ind w:right="220"/>
              <w:spacing w:after="0"/>
              <w:rPr>
                <w:sz w:val="20"/>
                <w:szCs w:val="20"/>
                <w:color w:val="auto"/>
              </w:rPr>
            </w:pPr>
            <w:r>
              <w:rPr>
                <w:rFonts w:ascii="Arial" w:cs="Arial" w:eastAsia="Arial" w:hAnsi="Arial"/>
                <w:sz w:val="16"/>
                <w:szCs w:val="16"/>
                <w:color w:val="auto"/>
              </w:rPr>
              <w:t>4,860</w:t>
            </w: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1,511</w:t>
            </w: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ind w:right="22"/>
              <w:spacing w:after="0"/>
              <w:rPr>
                <w:sz w:val="20"/>
                <w:szCs w:val="20"/>
                <w:color w:val="auto"/>
              </w:rPr>
            </w:pPr>
            <w:r>
              <w:rPr>
                <w:rFonts w:ascii="Arial" w:cs="Arial" w:eastAsia="Arial" w:hAnsi="Arial"/>
                <w:sz w:val="16"/>
                <w:szCs w:val="16"/>
                <w:color w:val="auto"/>
              </w:rPr>
              <w:t>N/A</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47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40" w:type="dxa"/>
            <w:vAlign w:val="bottom"/>
            <w:tcBorders>
              <w:right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4700" w:type="dxa"/>
            <w:vAlign w:val="bottom"/>
          </w:tcPr>
          <w:p>
            <w:pPr>
              <w:spacing w:after="0"/>
              <w:rPr>
                <w:sz w:val="20"/>
                <w:szCs w:val="20"/>
                <w:color w:val="auto"/>
              </w:rPr>
            </w:pPr>
            <w:r>
              <w:rPr>
                <w:rFonts w:ascii="Arial" w:cs="Arial" w:eastAsia="Arial" w:hAnsi="Arial"/>
                <w:sz w:val="16"/>
                <w:szCs w:val="16"/>
                <w:b w:val="1"/>
                <w:bCs w:val="1"/>
                <w:color w:val="auto"/>
              </w:rPr>
              <w:t>Statement of Financial Position Data</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6"/>
                <w:szCs w:val="16"/>
                <w:color w:val="auto"/>
              </w:rPr>
              <w:t>Working capital (current assets less current liabilities)</w:t>
            </w:r>
          </w:p>
        </w:tc>
        <w:tc>
          <w:tcPr>
            <w:tcW w:w="200" w:type="dxa"/>
            <w:vAlign w:val="bottom"/>
            <w:shd w:val="clear" w:color="auto" w:fill="CFF0FC"/>
          </w:tcPr>
          <w:p>
            <w:pPr>
              <w:spacing w:after="0"/>
              <w:rPr>
                <w:sz w:val="17"/>
                <w:szCs w:val="17"/>
                <w:color w:val="auto"/>
              </w:rPr>
            </w:pPr>
          </w:p>
        </w:tc>
        <w:tc>
          <w:tcPr>
            <w:tcW w:w="80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539</w:t>
            </w:r>
          </w:p>
        </w:tc>
        <w:tc>
          <w:tcPr>
            <w:tcW w:w="400" w:type="dxa"/>
            <w:vAlign w:val="bottom"/>
            <w:shd w:val="clear" w:color="auto" w:fill="CFF0FC"/>
          </w:tcPr>
          <w:p>
            <w:pPr>
              <w:spacing w:after="0"/>
              <w:rPr>
                <w:sz w:val="17"/>
                <w:szCs w:val="17"/>
                <w:color w:val="auto"/>
              </w:rPr>
            </w:pPr>
          </w:p>
        </w:tc>
        <w:tc>
          <w:tcPr>
            <w:tcW w:w="860" w:type="dxa"/>
            <w:vAlign w:val="bottom"/>
            <w:shd w:val="clear" w:color="auto" w:fill="CFF0FC"/>
          </w:tcPr>
          <w:p>
            <w:pPr>
              <w:jc w:val="right"/>
              <w:ind w:right="80"/>
              <w:spacing w:after="0"/>
              <w:rPr>
                <w:sz w:val="20"/>
                <w:szCs w:val="20"/>
                <w:color w:val="auto"/>
              </w:rPr>
            </w:pPr>
            <w:r>
              <w:rPr>
                <w:rFonts w:ascii="Arial" w:cs="Arial" w:eastAsia="Arial" w:hAnsi="Arial"/>
                <w:sz w:val="16"/>
                <w:szCs w:val="16"/>
                <w:color w:val="auto"/>
              </w:rPr>
              <w:t>622</w:t>
            </w:r>
          </w:p>
        </w:tc>
        <w:tc>
          <w:tcPr>
            <w:tcW w:w="280" w:type="dxa"/>
            <w:vAlign w:val="bottom"/>
            <w:shd w:val="clear" w:color="auto" w:fill="CFF0FC"/>
          </w:tcPr>
          <w:p>
            <w:pPr>
              <w:spacing w:after="0"/>
              <w:rPr>
                <w:sz w:val="17"/>
                <w:szCs w:val="17"/>
                <w:color w:val="auto"/>
              </w:rPr>
            </w:pPr>
          </w:p>
        </w:tc>
        <w:tc>
          <w:tcPr>
            <w:tcW w:w="80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819</w:t>
            </w:r>
          </w:p>
        </w:tc>
        <w:tc>
          <w:tcPr>
            <w:tcW w:w="160" w:type="dxa"/>
            <w:vAlign w:val="bottom"/>
            <w:shd w:val="clear" w:color="auto" w:fill="CFF0FC"/>
          </w:tcPr>
          <w:p>
            <w:pPr>
              <w:spacing w:after="0"/>
              <w:rPr>
                <w:sz w:val="17"/>
                <w:szCs w:val="17"/>
                <w:color w:val="auto"/>
              </w:rPr>
            </w:pPr>
          </w:p>
        </w:tc>
        <w:tc>
          <w:tcPr>
            <w:tcW w:w="800" w:type="dxa"/>
            <w:vAlign w:val="bottom"/>
            <w:shd w:val="clear" w:color="auto" w:fill="CFF0FC"/>
          </w:tcPr>
          <w:p>
            <w:pPr>
              <w:jc w:val="right"/>
              <w:ind w:right="220"/>
              <w:spacing w:after="0"/>
              <w:rPr>
                <w:sz w:val="20"/>
                <w:szCs w:val="20"/>
                <w:color w:val="auto"/>
              </w:rPr>
            </w:pPr>
            <w:r>
              <w:rPr>
                <w:rFonts w:ascii="Arial" w:cs="Arial" w:eastAsia="Arial" w:hAnsi="Arial"/>
                <w:sz w:val="16"/>
                <w:szCs w:val="16"/>
                <w:color w:val="auto"/>
              </w:rPr>
              <w:t>951</w:t>
            </w:r>
          </w:p>
        </w:tc>
        <w:tc>
          <w:tcPr>
            <w:tcW w:w="8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1,086</w:t>
            </w:r>
          </w:p>
        </w:tc>
        <w:tc>
          <w:tcPr>
            <w:tcW w:w="140" w:type="dxa"/>
            <w:vAlign w:val="bottom"/>
            <w:tcBorders>
              <w:right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564</w:t>
            </w:r>
          </w:p>
        </w:tc>
        <w:tc>
          <w:tcPr>
            <w:tcW w:w="220" w:type="dxa"/>
            <w:vAlign w:val="bottom"/>
            <w:shd w:val="clear" w:color="auto" w:fill="CFF0FC"/>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700" w:type="dxa"/>
            <w:vAlign w:val="bottom"/>
          </w:tcPr>
          <w:p>
            <w:pPr>
              <w:spacing w:after="0"/>
              <w:rPr>
                <w:sz w:val="20"/>
                <w:szCs w:val="20"/>
                <w:color w:val="auto"/>
              </w:rPr>
            </w:pPr>
            <w:r>
              <w:rPr>
                <w:rFonts w:ascii="Arial" w:cs="Arial" w:eastAsia="Arial" w:hAnsi="Arial"/>
                <w:sz w:val="16"/>
                <w:szCs w:val="16"/>
                <w:color w:val="auto"/>
              </w:rPr>
              <w:t>Property, plant and equipment, net</w:t>
            </w:r>
          </w:p>
        </w:tc>
        <w:tc>
          <w:tcPr>
            <w:tcW w:w="200" w:type="dxa"/>
            <w:vAlign w:val="bottom"/>
          </w:tcPr>
          <w:p>
            <w:pPr>
              <w:spacing w:after="0"/>
              <w:rPr>
                <w:sz w:val="17"/>
                <w:szCs w:val="17"/>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314</w:t>
            </w:r>
          </w:p>
        </w:tc>
        <w:tc>
          <w:tcPr>
            <w:tcW w:w="400" w:type="dxa"/>
            <w:vAlign w:val="bottom"/>
          </w:tcPr>
          <w:p>
            <w:pPr>
              <w:spacing w:after="0"/>
              <w:rPr>
                <w:sz w:val="17"/>
                <w:szCs w:val="17"/>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color w:val="auto"/>
              </w:rPr>
              <w:t>342</w:t>
            </w:r>
          </w:p>
        </w:tc>
        <w:tc>
          <w:tcPr>
            <w:tcW w:w="280" w:type="dxa"/>
            <w:vAlign w:val="bottom"/>
          </w:tcPr>
          <w:p>
            <w:pPr>
              <w:spacing w:after="0"/>
              <w:rPr>
                <w:sz w:val="17"/>
                <w:szCs w:val="17"/>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426</w:t>
            </w:r>
          </w:p>
        </w:tc>
        <w:tc>
          <w:tcPr>
            <w:tcW w:w="160" w:type="dxa"/>
            <w:vAlign w:val="bottom"/>
          </w:tcPr>
          <w:p>
            <w:pPr>
              <w:spacing w:after="0"/>
              <w:rPr>
                <w:sz w:val="17"/>
                <w:szCs w:val="17"/>
                <w:color w:val="auto"/>
              </w:rPr>
            </w:pPr>
          </w:p>
        </w:tc>
        <w:tc>
          <w:tcPr>
            <w:tcW w:w="800" w:type="dxa"/>
            <w:vAlign w:val="bottom"/>
          </w:tcPr>
          <w:p>
            <w:pPr>
              <w:jc w:val="right"/>
              <w:ind w:right="220"/>
              <w:spacing w:after="0"/>
              <w:rPr>
                <w:sz w:val="20"/>
                <w:szCs w:val="20"/>
                <w:color w:val="auto"/>
              </w:rPr>
            </w:pPr>
            <w:r>
              <w:rPr>
                <w:rFonts w:ascii="Arial" w:cs="Arial" w:eastAsia="Arial" w:hAnsi="Arial"/>
                <w:sz w:val="16"/>
                <w:szCs w:val="16"/>
                <w:color w:val="auto"/>
              </w:rPr>
              <w:t>524</w:t>
            </w: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684</w:t>
            </w: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ind w:right="22"/>
              <w:spacing w:after="0"/>
              <w:rPr>
                <w:sz w:val="20"/>
                <w:szCs w:val="20"/>
                <w:color w:val="auto"/>
              </w:rPr>
            </w:pPr>
            <w:r>
              <w:rPr>
                <w:rFonts w:ascii="Arial" w:cs="Arial" w:eastAsia="Arial" w:hAnsi="Arial"/>
                <w:sz w:val="16"/>
                <w:szCs w:val="16"/>
                <w:color w:val="auto"/>
              </w:rPr>
              <w:t>507</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6"/>
                <w:szCs w:val="16"/>
                <w:color w:val="auto"/>
              </w:rPr>
              <w:t>Total assets</w:t>
            </w:r>
          </w:p>
        </w:tc>
        <w:tc>
          <w:tcPr>
            <w:tcW w:w="200" w:type="dxa"/>
            <w:vAlign w:val="bottom"/>
            <w:shd w:val="clear" w:color="auto" w:fill="CFF0FC"/>
          </w:tcPr>
          <w:p>
            <w:pPr>
              <w:spacing w:after="0"/>
              <w:rPr>
                <w:sz w:val="17"/>
                <w:szCs w:val="17"/>
                <w:color w:val="auto"/>
              </w:rPr>
            </w:pPr>
          </w:p>
        </w:tc>
        <w:tc>
          <w:tcPr>
            <w:tcW w:w="80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1,707</w:t>
            </w:r>
          </w:p>
        </w:tc>
        <w:tc>
          <w:tcPr>
            <w:tcW w:w="400" w:type="dxa"/>
            <w:vAlign w:val="bottom"/>
            <w:shd w:val="clear" w:color="auto" w:fill="CFF0FC"/>
          </w:tcPr>
          <w:p>
            <w:pPr>
              <w:spacing w:after="0"/>
              <w:rPr>
                <w:sz w:val="17"/>
                <w:szCs w:val="17"/>
                <w:color w:val="auto"/>
              </w:rPr>
            </w:pPr>
          </w:p>
        </w:tc>
        <w:tc>
          <w:tcPr>
            <w:tcW w:w="860" w:type="dxa"/>
            <w:vAlign w:val="bottom"/>
            <w:shd w:val="clear" w:color="auto" w:fill="CFF0FC"/>
          </w:tcPr>
          <w:p>
            <w:pPr>
              <w:jc w:val="right"/>
              <w:ind w:right="80"/>
              <w:spacing w:after="0"/>
              <w:rPr>
                <w:sz w:val="20"/>
                <w:szCs w:val="20"/>
                <w:color w:val="auto"/>
              </w:rPr>
            </w:pPr>
            <w:r>
              <w:rPr>
                <w:rFonts w:ascii="Arial" w:cs="Arial" w:eastAsia="Arial" w:hAnsi="Arial"/>
                <w:sz w:val="16"/>
                <w:szCs w:val="16"/>
                <w:color w:val="auto"/>
              </w:rPr>
              <w:t>1,776</w:t>
            </w:r>
          </w:p>
        </w:tc>
        <w:tc>
          <w:tcPr>
            <w:tcW w:w="280" w:type="dxa"/>
            <w:vAlign w:val="bottom"/>
            <w:shd w:val="clear" w:color="auto" w:fill="CFF0FC"/>
          </w:tcPr>
          <w:p>
            <w:pPr>
              <w:spacing w:after="0"/>
              <w:rPr>
                <w:sz w:val="17"/>
                <w:szCs w:val="17"/>
                <w:color w:val="auto"/>
              </w:rPr>
            </w:pPr>
          </w:p>
        </w:tc>
        <w:tc>
          <w:tcPr>
            <w:tcW w:w="80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2,138</w:t>
            </w:r>
          </w:p>
        </w:tc>
        <w:tc>
          <w:tcPr>
            <w:tcW w:w="160" w:type="dxa"/>
            <w:vAlign w:val="bottom"/>
            <w:shd w:val="clear" w:color="auto" w:fill="CFF0FC"/>
          </w:tcPr>
          <w:p>
            <w:pPr>
              <w:spacing w:after="0"/>
              <w:rPr>
                <w:sz w:val="17"/>
                <w:szCs w:val="17"/>
                <w:color w:val="auto"/>
              </w:rPr>
            </w:pPr>
          </w:p>
        </w:tc>
        <w:tc>
          <w:tcPr>
            <w:tcW w:w="800" w:type="dxa"/>
            <w:vAlign w:val="bottom"/>
            <w:shd w:val="clear" w:color="auto" w:fill="CFF0FC"/>
          </w:tcPr>
          <w:p>
            <w:pPr>
              <w:jc w:val="right"/>
              <w:ind w:right="220"/>
              <w:spacing w:after="0"/>
              <w:rPr>
                <w:sz w:val="20"/>
                <w:szCs w:val="20"/>
                <w:color w:val="auto"/>
              </w:rPr>
            </w:pPr>
            <w:r>
              <w:rPr>
                <w:rFonts w:ascii="Arial" w:cs="Arial" w:eastAsia="Arial" w:hAnsi="Arial"/>
                <w:sz w:val="16"/>
                <w:szCs w:val="16"/>
                <w:color w:val="auto"/>
              </w:rPr>
              <w:t>2,556</w:t>
            </w:r>
          </w:p>
        </w:tc>
        <w:tc>
          <w:tcPr>
            <w:tcW w:w="8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3,200</w:t>
            </w:r>
          </w:p>
        </w:tc>
        <w:tc>
          <w:tcPr>
            <w:tcW w:w="140" w:type="dxa"/>
            <w:vAlign w:val="bottom"/>
            <w:tcBorders>
              <w:right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3,037</w:t>
            </w:r>
          </w:p>
        </w:tc>
        <w:tc>
          <w:tcPr>
            <w:tcW w:w="220" w:type="dxa"/>
            <w:vAlign w:val="bottom"/>
            <w:shd w:val="clear" w:color="auto" w:fill="CFF0FC"/>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700" w:type="dxa"/>
            <w:vAlign w:val="bottom"/>
          </w:tcPr>
          <w:p>
            <w:pPr>
              <w:spacing w:after="0"/>
              <w:rPr>
                <w:sz w:val="20"/>
                <w:szCs w:val="20"/>
                <w:color w:val="auto"/>
              </w:rPr>
            </w:pPr>
            <w:r>
              <w:rPr>
                <w:rFonts w:ascii="Arial" w:cs="Arial" w:eastAsia="Arial" w:hAnsi="Arial"/>
                <w:sz w:val="16"/>
                <w:szCs w:val="16"/>
                <w:color w:val="auto"/>
              </w:rPr>
              <w:t>Short-term borrowings and current portion of long-term</w:t>
            </w: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700" w:type="dxa"/>
            <w:vAlign w:val="bottom"/>
          </w:tcPr>
          <w:p>
            <w:pPr>
              <w:ind w:left="100"/>
              <w:spacing w:after="0"/>
              <w:rPr>
                <w:sz w:val="20"/>
                <w:szCs w:val="20"/>
                <w:color w:val="auto"/>
              </w:rPr>
            </w:pPr>
            <w:r>
              <w:rPr>
                <w:rFonts w:ascii="Arial" w:cs="Arial" w:eastAsia="Arial" w:hAnsi="Arial"/>
                <w:sz w:val="16"/>
                <w:szCs w:val="16"/>
                <w:color w:val="auto"/>
              </w:rPr>
              <w:t>debt</w:t>
            </w:r>
          </w:p>
        </w:tc>
        <w:tc>
          <w:tcPr>
            <w:tcW w:w="200" w:type="dxa"/>
            <w:vAlign w:val="bottom"/>
          </w:tcPr>
          <w:p>
            <w:pPr>
              <w:spacing w:after="0"/>
              <w:rPr>
                <w:sz w:val="17"/>
                <w:szCs w:val="17"/>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4</w:t>
            </w:r>
          </w:p>
        </w:tc>
        <w:tc>
          <w:tcPr>
            <w:tcW w:w="400" w:type="dxa"/>
            <w:vAlign w:val="bottom"/>
          </w:tcPr>
          <w:p>
            <w:pPr>
              <w:spacing w:after="0"/>
              <w:rPr>
                <w:sz w:val="17"/>
                <w:szCs w:val="17"/>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color w:val="auto"/>
              </w:rPr>
              <w:t>6</w:t>
            </w:r>
          </w:p>
        </w:tc>
        <w:tc>
          <w:tcPr>
            <w:tcW w:w="280" w:type="dxa"/>
            <w:vAlign w:val="bottom"/>
          </w:tcPr>
          <w:p>
            <w:pPr>
              <w:spacing w:after="0"/>
              <w:rPr>
                <w:sz w:val="17"/>
                <w:szCs w:val="17"/>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5</w:t>
            </w:r>
          </w:p>
        </w:tc>
        <w:tc>
          <w:tcPr>
            <w:tcW w:w="160" w:type="dxa"/>
            <w:vAlign w:val="bottom"/>
          </w:tcPr>
          <w:p>
            <w:pPr>
              <w:spacing w:after="0"/>
              <w:rPr>
                <w:sz w:val="17"/>
                <w:szCs w:val="17"/>
                <w:color w:val="auto"/>
              </w:rPr>
            </w:pPr>
          </w:p>
        </w:tc>
        <w:tc>
          <w:tcPr>
            <w:tcW w:w="800" w:type="dxa"/>
            <w:vAlign w:val="bottom"/>
          </w:tcPr>
          <w:p>
            <w:pPr>
              <w:jc w:val="right"/>
              <w:ind w:right="220"/>
              <w:spacing w:after="0"/>
              <w:rPr>
                <w:sz w:val="20"/>
                <w:szCs w:val="20"/>
                <w:color w:val="auto"/>
              </w:rPr>
            </w:pPr>
            <w:r>
              <w:rPr>
                <w:rFonts w:ascii="Arial" w:cs="Arial" w:eastAsia="Arial" w:hAnsi="Arial"/>
                <w:sz w:val="16"/>
                <w:szCs w:val="16"/>
                <w:color w:val="auto"/>
              </w:rPr>
              <w:t>5</w:t>
            </w: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w:t>
            </w: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ind w:right="22"/>
              <w:spacing w:after="0"/>
              <w:rPr>
                <w:sz w:val="20"/>
                <w:szCs w:val="20"/>
                <w:color w:val="auto"/>
              </w:rPr>
            </w:pPr>
            <w:r>
              <w:rPr>
                <w:rFonts w:ascii="Arial" w:cs="Arial" w:eastAsia="Arial" w:hAnsi="Arial"/>
                <w:sz w:val="16"/>
                <w:szCs w:val="16"/>
                <w:color w:val="auto"/>
              </w:rPr>
              <w:t>681</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6"/>
                <w:szCs w:val="16"/>
                <w:color w:val="auto"/>
              </w:rPr>
              <w:t>Long-term debt, net of current portion</w:t>
            </w:r>
          </w:p>
        </w:tc>
        <w:tc>
          <w:tcPr>
            <w:tcW w:w="200" w:type="dxa"/>
            <w:vAlign w:val="bottom"/>
            <w:shd w:val="clear" w:color="auto" w:fill="CFF0FC"/>
          </w:tcPr>
          <w:p>
            <w:pPr>
              <w:spacing w:after="0"/>
              <w:rPr>
                <w:sz w:val="17"/>
                <w:szCs w:val="17"/>
                <w:color w:val="auto"/>
              </w:rPr>
            </w:pPr>
          </w:p>
        </w:tc>
        <w:tc>
          <w:tcPr>
            <w:tcW w:w="80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399</w:t>
            </w:r>
          </w:p>
        </w:tc>
        <w:tc>
          <w:tcPr>
            <w:tcW w:w="400" w:type="dxa"/>
            <w:vAlign w:val="bottom"/>
            <w:shd w:val="clear" w:color="auto" w:fill="CFF0FC"/>
          </w:tcPr>
          <w:p>
            <w:pPr>
              <w:spacing w:after="0"/>
              <w:rPr>
                <w:sz w:val="17"/>
                <w:szCs w:val="17"/>
                <w:color w:val="auto"/>
              </w:rPr>
            </w:pPr>
          </w:p>
        </w:tc>
        <w:tc>
          <w:tcPr>
            <w:tcW w:w="860" w:type="dxa"/>
            <w:vAlign w:val="bottom"/>
            <w:shd w:val="clear" w:color="auto" w:fill="CFF0FC"/>
          </w:tcPr>
          <w:p>
            <w:pPr>
              <w:jc w:val="right"/>
              <w:ind w:right="80"/>
              <w:spacing w:after="0"/>
              <w:rPr>
                <w:sz w:val="20"/>
                <w:szCs w:val="20"/>
                <w:color w:val="auto"/>
              </w:rPr>
            </w:pPr>
            <w:r>
              <w:rPr>
                <w:rFonts w:ascii="Arial" w:cs="Arial" w:eastAsia="Arial" w:hAnsi="Arial"/>
                <w:sz w:val="16"/>
                <w:szCs w:val="16"/>
                <w:color w:val="auto"/>
              </w:rPr>
              <w:t>405</w:t>
            </w:r>
          </w:p>
        </w:tc>
        <w:tc>
          <w:tcPr>
            <w:tcW w:w="280" w:type="dxa"/>
            <w:vAlign w:val="bottom"/>
            <w:shd w:val="clear" w:color="auto" w:fill="CFF0FC"/>
          </w:tcPr>
          <w:p>
            <w:pPr>
              <w:spacing w:after="0"/>
              <w:rPr>
                <w:sz w:val="17"/>
                <w:szCs w:val="17"/>
                <w:color w:val="auto"/>
              </w:rPr>
            </w:pPr>
          </w:p>
        </w:tc>
        <w:tc>
          <w:tcPr>
            <w:tcW w:w="80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679</w:t>
            </w:r>
          </w:p>
        </w:tc>
        <w:tc>
          <w:tcPr>
            <w:tcW w:w="160" w:type="dxa"/>
            <w:vAlign w:val="bottom"/>
            <w:shd w:val="clear" w:color="auto" w:fill="CFF0FC"/>
          </w:tcPr>
          <w:p>
            <w:pPr>
              <w:spacing w:after="0"/>
              <w:rPr>
                <w:sz w:val="17"/>
                <w:szCs w:val="17"/>
                <w:color w:val="auto"/>
              </w:rPr>
            </w:pPr>
          </w:p>
        </w:tc>
        <w:tc>
          <w:tcPr>
            <w:tcW w:w="800" w:type="dxa"/>
            <w:vAlign w:val="bottom"/>
            <w:shd w:val="clear" w:color="auto" w:fill="CFF0FC"/>
          </w:tcPr>
          <w:p>
            <w:pPr>
              <w:jc w:val="right"/>
              <w:ind w:right="220"/>
              <w:spacing w:after="0"/>
              <w:rPr>
                <w:sz w:val="20"/>
                <w:szCs w:val="20"/>
                <w:color w:val="auto"/>
              </w:rPr>
            </w:pPr>
            <w:r>
              <w:rPr>
                <w:rFonts w:ascii="Arial" w:cs="Arial" w:eastAsia="Arial" w:hAnsi="Arial"/>
                <w:sz w:val="16"/>
                <w:szCs w:val="16"/>
                <w:color w:val="auto"/>
              </w:rPr>
              <w:t>672</w:t>
            </w:r>
          </w:p>
        </w:tc>
        <w:tc>
          <w:tcPr>
            <w:tcW w:w="8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674</w:t>
            </w:r>
          </w:p>
        </w:tc>
        <w:tc>
          <w:tcPr>
            <w:tcW w:w="140" w:type="dxa"/>
            <w:vAlign w:val="bottom"/>
            <w:tcBorders>
              <w:right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370</w:t>
            </w:r>
          </w:p>
        </w:tc>
        <w:tc>
          <w:tcPr>
            <w:tcW w:w="220" w:type="dxa"/>
            <w:vAlign w:val="bottom"/>
            <w:shd w:val="clear" w:color="auto" w:fill="CFF0FC"/>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700" w:type="dxa"/>
            <w:vAlign w:val="bottom"/>
          </w:tcPr>
          <w:p>
            <w:pPr>
              <w:spacing w:after="0"/>
              <w:rPr>
                <w:sz w:val="20"/>
                <w:szCs w:val="20"/>
                <w:color w:val="auto"/>
              </w:rPr>
            </w:pPr>
            <w:r>
              <w:rPr>
                <w:rFonts w:ascii="Arial" w:cs="Arial" w:eastAsia="Arial" w:hAnsi="Arial"/>
                <w:sz w:val="16"/>
                <w:szCs w:val="16"/>
                <w:color w:val="auto"/>
              </w:rPr>
              <w:t>Redeemable, convertible Series A preferred stock</w:t>
            </w:r>
          </w:p>
        </w:tc>
        <w:tc>
          <w:tcPr>
            <w:tcW w:w="200" w:type="dxa"/>
            <w:vAlign w:val="bottom"/>
          </w:tcPr>
          <w:p>
            <w:pPr>
              <w:spacing w:after="0"/>
              <w:rPr>
                <w:sz w:val="17"/>
                <w:szCs w:val="17"/>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164</w:t>
            </w:r>
          </w:p>
        </w:tc>
        <w:tc>
          <w:tcPr>
            <w:tcW w:w="400" w:type="dxa"/>
            <w:vAlign w:val="bottom"/>
          </w:tcPr>
          <w:p>
            <w:pPr>
              <w:spacing w:after="0"/>
              <w:rPr>
                <w:sz w:val="17"/>
                <w:szCs w:val="17"/>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color w:val="auto"/>
              </w:rPr>
              <w:t>156</w:t>
            </w:r>
          </w:p>
        </w:tc>
        <w:tc>
          <w:tcPr>
            <w:tcW w:w="280" w:type="dxa"/>
            <w:vAlign w:val="bottom"/>
          </w:tcPr>
          <w:p>
            <w:pPr>
              <w:spacing w:after="0"/>
              <w:rPr>
                <w:sz w:val="17"/>
                <w:szCs w:val="17"/>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00" w:type="dxa"/>
            <w:vAlign w:val="bottom"/>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98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47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40" w:type="dxa"/>
            <w:vAlign w:val="bottom"/>
            <w:tcBorders>
              <w:right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4700" w:type="dxa"/>
            <w:vAlign w:val="bottom"/>
          </w:tcPr>
          <w:p>
            <w:pPr>
              <w:spacing w:after="0"/>
              <w:rPr>
                <w:sz w:val="20"/>
                <w:szCs w:val="20"/>
                <w:color w:val="auto"/>
              </w:rPr>
            </w:pPr>
            <w:r>
              <w:rPr>
                <w:rFonts w:ascii="Arial" w:cs="Arial" w:eastAsia="Arial" w:hAnsi="Arial"/>
                <w:sz w:val="16"/>
                <w:szCs w:val="16"/>
                <w:b w:val="1"/>
                <w:bCs w:val="1"/>
                <w:color w:val="auto"/>
              </w:rPr>
              <w:t>Supplemental Information</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6"/>
                <w:szCs w:val="16"/>
                <w:color w:val="auto"/>
              </w:rPr>
              <w:t>Employees as of year end</w:t>
            </w:r>
          </w:p>
        </w:tc>
        <w:tc>
          <w:tcPr>
            <w:tcW w:w="2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40" w:type="dxa"/>
            <w:vAlign w:val="bottom"/>
            <w:tcBorders>
              <w:right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700" w:type="dxa"/>
            <w:vAlign w:val="bottom"/>
          </w:tcPr>
          <w:p>
            <w:pPr>
              <w:ind w:left="200"/>
              <w:spacing w:after="0"/>
              <w:rPr>
                <w:sz w:val="20"/>
                <w:szCs w:val="20"/>
                <w:color w:val="auto"/>
              </w:rPr>
            </w:pPr>
            <w:r>
              <w:rPr>
                <w:rFonts w:ascii="Arial" w:cs="Arial" w:eastAsia="Arial" w:hAnsi="Arial"/>
                <w:sz w:val="16"/>
                <w:szCs w:val="16"/>
                <w:color w:val="auto"/>
              </w:rPr>
              <w:t>- in the U.S.</w:t>
            </w:r>
          </w:p>
        </w:tc>
        <w:tc>
          <w:tcPr>
            <w:tcW w:w="200" w:type="dxa"/>
            <w:vAlign w:val="bottom"/>
          </w:tcPr>
          <w:p>
            <w:pPr>
              <w:spacing w:after="0"/>
              <w:rPr>
                <w:sz w:val="17"/>
                <w:szCs w:val="17"/>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2,600</w:t>
            </w:r>
          </w:p>
        </w:tc>
        <w:tc>
          <w:tcPr>
            <w:tcW w:w="400" w:type="dxa"/>
            <w:vAlign w:val="bottom"/>
          </w:tcPr>
          <w:p>
            <w:pPr>
              <w:spacing w:after="0"/>
              <w:rPr>
                <w:sz w:val="17"/>
                <w:szCs w:val="17"/>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color w:val="auto"/>
              </w:rPr>
              <w:t>2,700</w:t>
            </w:r>
          </w:p>
        </w:tc>
        <w:tc>
          <w:tcPr>
            <w:tcW w:w="280" w:type="dxa"/>
            <w:vAlign w:val="bottom"/>
          </w:tcPr>
          <w:p>
            <w:pPr>
              <w:spacing w:after="0"/>
              <w:rPr>
                <w:sz w:val="17"/>
                <w:szCs w:val="17"/>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2,800</w:t>
            </w:r>
          </w:p>
        </w:tc>
        <w:tc>
          <w:tcPr>
            <w:tcW w:w="160" w:type="dxa"/>
            <w:vAlign w:val="bottom"/>
          </w:tcPr>
          <w:p>
            <w:pPr>
              <w:spacing w:after="0"/>
              <w:rPr>
                <w:sz w:val="17"/>
                <w:szCs w:val="17"/>
                <w:color w:val="auto"/>
              </w:rPr>
            </w:pPr>
          </w:p>
        </w:tc>
        <w:tc>
          <w:tcPr>
            <w:tcW w:w="800" w:type="dxa"/>
            <w:vAlign w:val="bottom"/>
          </w:tcPr>
          <w:p>
            <w:pPr>
              <w:jc w:val="right"/>
              <w:ind w:right="220"/>
              <w:spacing w:after="0"/>
              <w:rPr>
                <w:sz w:val="20"/>
                <w:szCs w:val="20"/>
                <w:color w:val="auto"/>
              </w:rPr>
            </w:pPr>
            <w:r>
              <w:rPr>
                <w:rFonts w:ascii="Arial" w:cs="Arial" w:eastAsia="Arial" w:hAnsi="Arial"/>
                <w:sz w:val="16"/>
                <w:szCs w:val="16"/>
                <w:color w:val="auto"/>
              </w:rPr>
              <w:t>3,200</w:t>
            </w: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3,600</w:t>
            </w: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ind w:right="22"/>
              <w:spacing w:after="0"/>
              <w:rPr>
                <w:sz w:val="20"/>
                <w:szCs w:val="20"/>
                <w:color w:val="auto"/>
              </w:rPr>
            </w:pPr>
            <w:r>
              <w:rPr>
                <w:rFonts w:ascii="Arial" w:cs="Arial" w:eastAsia="Arial" w:hAnsi="Arial"/>
                <w:sz w:val="16"/>
                <w:szCs w:val="16"/>
                <w:color w:val="auto"/>
              </w:rPr>
              <w:t>n/a</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7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 worldwide</w:t>
            </w:r>
          </w:p>
        </w:tc>
        <w:tc>
          <w:tcPr>
            <w:tcW w:w="200" w:type="dxa"/>
            <w:vAlign w:val="bottom"/>
            <w:shd w:val="clear" w:color="auto" w:fill="CFF0FC"/>
          </w:tcPr>
          <w:p>
            <w:pPr>
              <w:spacing w:after="0"/>
              <w:rPr>
                <w:sz w:val="17"/>
                <w:szCs w:val="17"/>
                <w:color w:val="auto"/>
              </w:rPr>
            </w:pPr>
          </w:p>
        </w:tc>
        <w:tc>
          <w:tcPr>
            <w:tcW w:w="80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5,800</w:t>
            </w:r>
          </w:p>
        </w:tc>
        <w:tc>
          <w:tcPr>
            <w:tcW w:w="400" w:type="dxa"/>
            <w:vAlign w:val="bottom"/>
            <w:shd w:val="clear" w:color="auto" w:fill="CFF0FC"/>
          </w:tcPr>
          <w:p>
            <w:pPr>
              <w:spacing w:after="0"/>
              <w:rPr>
                <w:sz w:val="17"/>
                <w:szCs w:val="17"/>
                <w:color w:val="auto"/>
              </w:rPr>
            </w:pPr>
          </w:p>
        </w:tc>
        <w:tc>
          <w:tcPr>
            <w:tcW w:w="860" w:type="dxa"/>
            <w:vAlign w:val="bottom"/>
            <w:shd w:val="clear" w:color="auto" w:fill="CFF0FC"/>
          </w:tcPr>
          <w:p>
            <w:pPr>
              <w:jc w:val="right"/>
              <w:ind w:right="80"/>
              <w:spacing w:after="0"/>
              <w:rPr>
                <w:sz w:val="20"/>
                <w:szCs w:val="20"/>
                <w:color w:val="auto"/>
              </w:rPr>
            </w:pPr>
            <w:r>
              <w:rPr>
                <w:rFonts w:ascii="Arial" w:cs="Arial" w:eastAsia="Arial" w:hAnsi="Arial"/>
                <w:sz w:val="16"/>
                <w:szCs w:val="16"/>
                <w:color w:val="auto"/>
              </w:rPr>
              <w:t>6,100</w:t>
            </w:r>
          </w:p>
        </w:tc>
        <w:tc>
          <w:tcPr>
            <w:tcW w:w="280" w:type="dxa"/>
            <w:vAlign w:val="bottom"/>
            <w:shd w:val="clear" w:color="auto" w:fill="CFF0FC"/>
          </w:tcPr>
          <w:p>
            <w:pPr>
              <w:spacing w:after="0"/>
              <w:rPr>
                <w:sz w:val="17"/>
                <w:szCs w:val="17"/>
                <w:color w:val="auto"/>
              </w:rPr>
            </w:pPr>
          </w:p>
        </w:tc>
        <w:tc>
          <w:tcPr>
            <w:tcW w:w="80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6,400</w:t>
            </w:r>
          </w:p>
        </w:tc>
        <w:tc>
          <w:tcPr>
            <w:tcW w:w="160" w:type="dxa"/>
            <w:vAlign w:val="bottom"/>
            <w:shd w:val="clear" w:color="auto" w:fill="CFF0FC"/>
          </w:tcPr>
          <w:p>
            <w:pPr>
              <w:spacing w:after="0"/>
              <w:rPr>
                <w:sz w:val="17"/>
                <w:szCs w:val="17"/>
                <w:color w:val="auto"/>
              </w:rPr>
            </w:pPr>
          </w:p>
        </w:tc>
        <w:tc>
          <w:tcPr>
            <w:tcW w:w="800" w:type="dxa"/>
            <w:vAlign w:val="bottom"/>
            <w:shd w:val="clear" w:color="auto" w:fill="CFF0FC"/>
          </w:tcPr>
          <w:p>
            <w:pPr>
              <w:jc w:val="right"/>
              <w:ind w:right="220"/>
              <w:spacing w:after="0"/>
              <w:rPr>
                <w:sz w:val="20"/>
                <w:szCs w:val="20"/>
                <w:color w:val="auto"/>
              </w:rPr>
            </w:pPr>
            <w:r>
              <w:rPr>
                <w:rFonts w:ascii="Arial" w:cs="Arial" w:eastAsia="Arial" w:hAnsi="Arial"/>
                <w:sz w:val="16"/>
                <w:szCs w:val="16"/>
                <w:color w:val="auto"/>
              </w:rPr>
              <w:t>7,300</w:t>
            </w:r>
          </w:p>
        </w:tc>
        <w:tc>
          <w:tcPr>
            <w:tcW w:w="8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8,800</w:t>
            </w:r>
          </w:p>
        </w:tc>
        <w:tc>
          <w:tcPr>
            <w:tcW w:w="140" w:type="dxa"/>
            <w:vAlign w:val="bottom"/>
            <w:tcBorders>
              <w:right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n/a</w:t>
            </w:r>
          </w:p>
        </w:tc>
        <w:tc>
          <w:tcPr>
            <w:tcW w:w="220" w:type="dxa"/>
            <w:vAlign w:val="bottom"/>
            <w:shd w:val="clear" w:color="auto" w:fill="CFF0FC"/>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22"/>
        </w:trPr>
        <w:tc>
          <w:tcPr>
            <w:tcW w:w="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gridSpan w:val="2"/>
          </w:tcPr>
          <w:p>
            <w:pPr>
              <w:jc w:val="right"/>
              <w:ind w:right="245"/>
              <w:spacing w:after="0"/>
              <w:rPr>
                <w:sz w:val="20"/>
                <w:szCs w:val="20"/>
                <w:color w:val="auto"/>
              </w:rPr>
            </w:pPr>
            <w:r>
              <w:rPr>
                <w:rFonts w:ascii="Arial" w:cs="Arial" w:eastAsia="Arial" w:hAnsi="Arial"/>
                <w:sz w:val="16"/>
                <w:szCs w:val="16"/>
                <w:color w:val="auto"/>
              </w:rPr>
              <w:t>29</w:t>
            </w: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47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7253605</wp:posOffset>
            </wp:positionH>
            <wp:positionV relativeFrom="paragraph">
              <wp:posOffset>-27305</wp:posOffset>
            </wp:positionV>
            <wp:extent cx="33020" cy="406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-27305</wp:posOffset>
            </wp:positionV>
            <wp:extent cx="33020" cy="406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460"/>
          </w:cols>
          <w:pgMar w:left="240" w:top="123" w:right="199" w:bottom="1440" w:gutter="0" w:footer="0" w:header="0"/>
        </w:sectPr>
      </w:pPr>
    </w:p>
    <w:bookmarkStart w:id="29" w:name="page30"/>
    <w:bookmarkEnd w:id="29"/>
    <w:p>
      <w:pPr>
        <w:spacing w:after="0"/>
        <w:rPr>
          <w:sz w:val="20"/>
          <w:szCs w:val="20"/>
          <w:color w:val="auto"/>
        </w:rPr>
      </w:pPr>
      <w:r>
        <w:rPr>
          <w:rFonts w:ascii="Arial" w:cs="Arial" w:eastAsia="Arial" w:hAnsi="Arial"/>
          <w:sz w:val="16"/>
          <w:szCs w:val="16"/>
          <w:b w:val="1"/>
          <w:bCs w:val="1"/>
          <w:color w:val="auto"/>
        </w:rPr>
        <w:t>SUMMARY OF OPERATING DATA – UNAUDITED (CONT’D)</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Historical results are not indicative of future results.</w:t>
      </w:r>
    </w:p>
    <w:p>
      <w:pPr>
        <w:spacing w:after="0" w:line="106" w:lineRule="exact"/>
        <w:rPr>
          <w:sz w:val="20"/>
          <w:szCs w:val="20"/>
          <w:color w:val="auto"/>
        </w:rPr>
      </w:pPr>
    </w:p>
    <w:p>
      <w:pPr>
        <w:ind w:left="740" w:hanging="369"/>
        <w:spacing w:after="0" w:line="266" w:lineRule="auto"/>
        <w:tabs>
          <w:tab w:leader="none" w:pos="740" w:val="left"/>
        </w:tabs>
        <w:numPr>
          <w:ilvl w:val="0"/>
          <w:numId w:val="26"/>
        </w:numPr>
        <w:rPr>
          <w:rFonts w:ascii="Arial" w:cs="Arial" w:eastAsia="Arial" w:hAnsi="Arial"/>
          <w:sz w:val="14"/>
          <w:szCs w:val="14"/>
          <w:color w:val="auto"/>
        </w:rPr>
      </w:pPr>
      <w:r>
        <w:rPr>
          <w:rFonts w:ascii="Arial" w:cs="Arial" w:eastAsia="Arial" w:hAnsi="Arial"/>
          <w:sz w:val="16"/>
          <w:szCs w:val="16"/>
          <w:color w:val="auto"/>
        </w:rPr>
        <w:t>Includes a pre-tax goodwill impairment charge of $56 million and the associated tax benefit of $18 million, income from the revaluation of the embedded conversion features derivative of $47 million and the tax benefit of $101 million associated with the release of a deferred tax valuation allowance in a location outside the U.S. These items increased net after-tax income from continuing operations by $118 million.</w:t>
      </w:r>
    </w:p>
    <w:p>
      <w:pPr>
        <w:spacing w:after="0" w:line="186" w:lineRule="exact"/>
        <w:rPr>
          <w:rFonts w:ascii="Arial" w:cs="Arial" w:eastAsia="Arial" w:hAnsi="Arial"/>
          <w:sz w:val="14"/>
          <w:szCs w:val="14"/>
          <w:color w:val="auto"/>
        </w:rPr>
      </w:pPr>
    </w:p>
    <w:p>
      <w:pPr>
        <w:ind w:left="740" w:hanging="369"/>
        <w:spacing w:after="0"/>
        <w:tabs>
          <w:tab w:leader="none" w:pos="740" w:val="left"/>
        </w:tabs>
        <w:numPr>
          <w:ilvl w:val="0"/>
          <w:numId w:val="26"/>
        </w:numPr>
        <w:rPr>
          <w:rFonts w:ascii="Arial" w:cs="Arial" w:eastAsia="Arial" w:hAnsi="Arial"/>
          <w:sz w:val="12"/>
          <w:szCs w:val="12"/>
          <w:color w:val="auto"/>
        </w:rPr>
      </w:pPr>
      <w:r>
        <w:rPr>
          <w:rFonts w:ascii="Arial" w:cs="Arial" w:eastAsia="Arial" w:hAnsi="Arial"/>
          <w:sz w:val="14"/>
          <w:szCs w:val="14"/>
          <w:color w:val="auto"/>
        </w:rPr>
        <w:t>Includes $70 million in revenues from non-recurring intellectual property agreements that increased net after-tax income from continuing operations by $70 million.</w:t>
      </w:r>
    </w:p>
    <w:p>
      <w:pPr>
        <w:spacing w:after="0" w:line="249" w:lineRule="exact"/>
        <w:rPr>
          <w:rFonts w:ascii="Arial" w:cs="Arial" w:eastAsia="Arial" w:hAnsi="Arial"/>
          <w:sz w:val="12"/>
          <w:szCs w:val="12"/>
          <w:color w:val="auto"/>
        </w:rPr>
      </w:pPr>
    </w:p>
    <w:p>
      <w:pPr>
        <w:ind w:left="740" w:right="100" w:hanging="369"/>
        <w:spacing w:after="0" w:line="266" w:lineRule="auto"/>
        <w:tabs>
          <w:tab w:leader="none" w:pos="740" w:val="left"/>
        </w:tabs>
        <w:numPr>
          <w:ilvl w:val="0"/>
          <w:numId w:val="26"/>
        </w:numPr>
        <w:rPr>
          <w:rFonts w:ascii="Arial" w:cs="Arial" w:eastAsia="Arial" w:hAnsi="Arial"/>
          <w:sz w:val="14"/>
          <w:szCs w:val="14"/>
          <w:color w:val="auto"/>
        </w:rPr>
      </w:pPr>
      <w:r>
        <w:rPr>
          <w:rFonts w:ascii="Arial" w:cs="Arial" w:eastAsia="Arial" w:hAnsi="Arial"/>
          <w:sz w:val="16"/>
          <w:szCs w:val="16"/>
          <w:color w:val="auto"/>
        </w:rPr>
        <w:t>Includes proceeds of $535 million from the sale and licensing of certain intellectual property assets; pre-tax goodwill impairment charges of $77 million; income of $2,026 million in pre-tax reorganization items, net; and net charges of $84 million related to discrete tax items. These items increased after-tax income from continuing operations by $2.4 billion.</w:t>
      </w:r>
    </w:p>
    <w:p>
      <w:pPr>
        <w:spacing w:after="0" w:line="186" w:lineRule="exact"/>
        <w:rPr>
          <w:rFonts w:ascii="Arial" w:cs="Arial" w:eastAsia="Arial" w:hAnsi="Arial"/>
          <w:sz w:val="14"/>
          <w:szCs w:val="14"/>
          <w:color w:val="auto"/>
        </w:rPr>
      </w:pPr>
    </w:p>
    <w:p>
      <w:pPr>
        <w:ind w:left="740" w:hanging="369"/>
        <w:spacing w:after="0"/>
        <w:tabs>
          <w:tab w:leader="none" w:pos="740" w:val="left"/>
        </w:tabs>
        <w:numPr>
          <w:ilvl w:val="0"/>
          <w:numId w:val="26"/>
        </w:numPr>
        <w:rPr>
          <w:rFonts w:ascii="Arial" w:cs="Arial" w:eastAsia="Arial" w:hAnsi="Arial"/>
          <w:sz w:val="13"/>
          <w:szCs w:val="13"/>
          <w:color w:val="auto"/>
        </w:rPr>
      </w:pPr>
      <w:r>
        <w:rPr>
          <w:rFonts w:ascii="Arial" w:cs="Arial" w:eastAsia="Arial" w:hAnsi="Arial"/>
          <w:sz w:val="15"/>
          <w:szCs w:val="15"/>
          <w:color w:val="auto"/>
        </w:rPr>
        <w:t>Refer to Note 25, “Discontinued Operations” in the Notes to Financial Statements for a discussion regarding the (loss) earnings from discontinued operations.</w:t>
      </w: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62865</wp:posOffset>
            </wp:positionV>
            <wp:extent cx="7301865" cy="406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301865" cy="40640"/>
                    </a:xfrm>
                    <a:prstGeom prst="rect">
                      <a:avLst/>
                    </a:prstGeom>
                    <a:noFill/>
                  </pic:spPr>
                </pic:pic>
              </a:graphicData>
            </a:graphic>
          </wp:anchor>
        </w:drawing>
      </w:r>
    </w:p>
    <w:p>
      <w:pPr>
        <w:sectPr>
          <w:pgSz w:w="11900" w:h="16838" w:orient="portrait"/>
          <w:cols w:equalWidth="0" w:num="1">
            <w:col w:w="11400"/>
          </w:cols>
          <w:pgMar w:left="240" w:top="220" w:right="259" w:bottom="1440" w:gutter="0" w:footer="0" w:header="0"/>
        </w:sectPr>
      </w:pPr>
    </w:p>
    <w:bookmarkStart w:id="30" w:name="page31"/>
    <w:bookmarkEnd w:id="30"/>
    <w:p>
      <w:pPr>
        <w:spacing w:after="0"/>
        <w:rPr>
          <w:sz w:val="20"/>
          <w:szCs w:val="20"/>
          <w:color w:val="auto"/>
        </w:rPr>
      </w:pPr>
      <w:r>
        <w:rPr>
          <w:rFonts w:ascii="Arial" w:cs="Arial" w:eastAsia="Arial" w:hAnsi="Arial"/>
          <w:sz w:val="16"/>
          <w:szCs w:val="16"/>
          <w:b w:val="1"/>
          <w:bCs w:val="1"/>
          <w:color w:val="auto"/>
        </w:rPr>
        <w:t>ITEM 7. MANAGEMENT’S DISCUSSION AND ANALYSIS OF FINANCIAL CONDITION AND RESULTS OF OPERATIONS</w:t>
      </w:r>
    </w:p>
    <w:p>
      <w:pPr>
        <w:spacing w:after="0" w:line="110"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color w:val="auto"/>
        </w:rPr>
        <w:t>The following Management’s Discussion and Analysis of Financial Condition and Results of Operations (“MD&amp;A”) is intended to help the reader understand the results of operations and financial condition of Kodak for the years ended December 31, 2017, 2016 and 2015. All references to Notes relate to Notes to the Financial Statements in Item 8. “Financial Statements and Supplementary Data.”</w:t>
      </w:r>
    </w:p>
    <w:p>
      <w:pPr>
        <w:spacing w:after="0" w:line="158" w:lineRule="exact"/>
        <w:rPr>
          <w:sz w:val="20"/>
          <w:szCs w:val="20"/>
          <w:color w:val="auto"/>
        </w:rPr>
      </w:pPr>
    </w:p>
    <w:p>
      <w:pPr>
        <w:ind w:right="860"/>
        <w:spacing w:after="0" w:line="455" w:lineRule="auto"/>
        <w:rPr>
          <w:sz w:val="20"/>
          <w:szCs w:val="20"/>
          <w:color w:val="auto"/>
        </w:rPr>
      </w:pPr>
      <w:r>
        <w:rPr>
          <w:rFonts w:ascii="Arial" w:cs="Arial" w:eastAsia="Arial" w:hAnsi="Arial"/>
          <w:sz w:val="15"/>
          <w:szCs w:val="15"/>
          <w:b w:val="1"/>
          <w:bCs w:val="1"/>
          <w:color w:val="auto"/>
        </w:rPr>
        <w:t xml:space="preserve">CAUTIONARY STATEMENT PURSUANT TO SAFE HARBOR PROVISIONS OF THE PRIVATE SECURITIES LITIGATION REFORM ACT OF 1995 </w:t>
      </w:r>
      <w:r>
        <w:rPr>
          <w:rFonts w:ascii="Arial" w:cs="Arial" w:eastAsia="Arial" w:hAnsi="Arial"/>
          <w:sz w:val="15"/>
          <w:szCs w:val="15"/>
          <w:color w:val="auto"/>
        </w:rPr>
        <w:t>This report on Form 10-K includes "forward–looking statements" as that term is defined under the Private Securities Litigation Reform Act of 1995.</w:t>
      </w:r>
    </w:p>
    <w:p>
      <w:pPr>
        <w:spacing w:after="0" w:line="51" w:lineRule="exact"/>
        <w:rPr>
          <w:sz w:val="20"/>
          <w:szCs w:val="20"/>
          <w:color w:val="auto"/>
        </w:rPr>
      </w:pPr>
    </w:p>
    <w:p>
      <w:pPr>
        <w:ind w:right="80"/>
        <w:spacing w:after="0" w:line="274" w:lineRule="auto"/>
        <w:rPr>
          <w:sz w:val="20"/>
          <w:szCs w:val="20"/>
          <w:color w:val="auto"/>
        </w:rPr>
      </w:pPr>
      <w:r>
        <w:rPr>
          <w:rFonts w:ascii="Arial" w:cs="Arial" w:eastAsia="Arial" w:hAnsi="Arial"/>
          <w:sz w:val="15"/>
          <w:szCs w:val="15"/>
          <w:color w:val="auto"/>
        </w:rPr>
        <w:t>Forward–looking statements include statements concerning Kodak’s plans, objectives, goals, strategies, future events, future revenue or performance, capital expenditures, liquidity, investments, financing needs and business trends and other information that is not historical information. When used in this document, the words “estimates,” “expects,” “anticipates,” “projects,” “plans,” “intends,” “believes,” “predicts,” “forecasts,” “strategy,” “continues,” “goals,” “targets” or future or conditional verbs, such as “will,” “should,” “could,” or “may,” and similar expressions, as well as statements that do not relate strictly to historical or current facts, are intended to identify forward– looking statements. All forward–looking statements, including management’s examination of historical operating trends and data, are based upon Kodak’s expectations and various assumptions. Future events or results may differ from those anticipated or expressed in the forward-looking statements. Important factors that could cause actual events or results to differ materially from the forward-looking statements include, among others, the risks and uncertainties described in more detail in this report on Form 10–K under the headings “Business,” “Risk Factors,” “Legal Proceedings” and/or “Management’s Discussion and Analysis of Financial Condition and Results of Operations–Liquidity and Capital Resources,” and in other filings the Company makes with the SEC from time to time, as well as the following:</w:t>
      </w:r>
    </w:p>
    <w:p>
      <w:pPr>
        <w:spacing w:after="0" w:line="65" w:lineRule="exact"/>
        <w:rPr>
          <w:sz w:val="20"/>
          <w:szCs w:val="20"/>
          <w:color w:val="auto"/>
        </w:rPr>
      </w:pPr>
    </w:p>
    <w:p>
      <w:pPr>
        <w:ind w:left="1020" w:hanging="516"/>
        <w:spacing w:after="0"/>
        <w:tabs>
          <w:tab w:leader="none" w:pos="10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Kodak’s ability to improve and sustain its operating structure, cash flow, profitability and other financial results;</w:t>
      </w:r>
    </w:p>
    <w:p>
      <w:pPr>
        <w:spacing w:after="0" w:line="106" w:lineRule="exact"/>
        <w:rPr>
          <w:rFonts w:ascii="Arial" w:cs="Arial" w:eastAsia="Arial" w:hAnsi="Arial"/>
          <w:sz w:val="16"/>
          <w:szCs w:val="16"/>
          <w:color w:val="auto"/>
        </w:rPr>
      </w:pPr>
    </w:p>
    <w:p>
      <w:pPr>
        <w:ind w:left="1020" w:hanging="516"/>
        <w:spacing w:after="0"/>
        <w:tabs>
          <w:tab w:leader="none" w:pos="10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ability of Kodak to achieve cash forecasts, financial projections, and projected growth;</w:t>
      </w:r>
    </w:p>
    <w:p>
      <w:pPr>
        <w:spacing w:after="0" w:line="106" w:lineRule="exact"/>
        <w:rPr>
          <w:rFonts w:ascii="Arial" w:cs="Arial" w:eastAsia="Arial" w:hAnsi="Arial"/>
          <w:sz w:val="16"/>
          <w:szCs w:val="16"/>
          <w:color w:val="auto"/>
        </w:rPr>
      </w:pPr>
    </w:p>
    <w:p>
      <w:pPr>
        <w:ind w:left="1020" w:hanging="516"/>
        <w:spacing w:after="0"/>
        <w:tabs>
          <w:tab w:leader="none" w:pos="10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Kodak’s ability to achieve the financial and operational results contained in its business plans;</w:t>
      </w:r>
    </w:p>
    <w:p>
      <w:pPr>
        <w:spacing w:after="0" w:line="106" w:lineRule="exact"/>
        <w:rPr>
          <w:rFonts w:ascii="Arial" w:cs="Arial" w:eastAsia="Arial" w:hAnsi="Arial"/>
          <w:sz w:val="16"/>
          <w:szCs w:val="16"/>
          <w:color w:val="auto"/>
        </w:rPr>
      </w:pPr>
    </w:p>
    <w:p>
      <w:pPr>
        <w:ind w:left="1020" w:hanging="516"/>
        <w:spacing w:after="0"/>
        <w:tabs>
          <w:tab w:leader="none" w:pos="10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Kodak’s ability to comply with the covenants in its various credit facilities;</w:t>
      </w:r>
    </w:p>
    <w:p>
      <w:pPr>
        <w:spacing w:after="0" w:line="106" w:lineRule="exact"/>
        <w:rPr>
          <w:rFonts w:ascii="Arial" w:cs="Arial" w:eastAsia="Arial" w:hAnsi="Arial"/>
          <w:sz w:val="16"/>
          <w:szCs w:val="16"/>
          <w:color w:val="auto"/>
        </w:rPr>
      </w:pPr>
    </w:p>
    <w:p>
      <w:pPr>
        <w:ind w:left="1020" w:hanging="516"/>
        <w:spacing w:after="0"/>
        <w:tabs>
          <w:tab w:leader="none" w:pos="10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Kodak’s ability to fund continued investments, capital needs and restructuring payments and service its debt and Series A Preferred Stock;</w:t>
      </w:r>
    </w:p>
    <w:p>
      <w:pPr>
        <w:spacing w:after="0" w:line="106" w:lineRule="exact"/>
        <w:rPr>
          <w:rFonts w:ascii="Arial" w:cs="Arial" w:eastAsia="Arial" w:hAnsi="Arial"/>
          <w:sz w:val="16"/>
          <w:szCs w:val="16"/>
          <w:color w:val="auto"/>
        </w:rPr>
      </w:pPr>
    </w:p>
    <w:p>
      <w:pPr>
        <w:ind w:left="1020" w:hanging="516"/>
        <w:spacing w:after="0"/>
        <w:tabs>
          <w:tab w:leader="none" w:pos="10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Kodak’s ability to discontinue, sell or spin-off certain businesses or operations, or otherwise monetize assets;</w:t>
      </w:r>
    </w:p>
    <w:p>
      <w:pPr>
        <w:spacing w:after="0" w:line="106" w:lineRule="exact"/>
        <w:rPr>
          <w:rFonts w:ascii="Arial" w:cs="Arial" w:eastAsia="Arial" w:hAnsi="Arial"/>
          <w:sz w:val="16"/>
          <w:szCs w:val="16"/>
          <w:color w:val="auto"/>
        </w:rPr>
      </w:pPr>
    </w:p>
    <w:p>
      <w:pPr>
        <w:ind w:left="1020" w:hanging="516"/>
        <w:spacing w:after="0"/>
        <w:tabs>
          <w:tab w:leader="none" w:pos="10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changes in foreign currency exchange rates, commodity prices and interest rates;</w:t>
      </w:r>
    </w:p>
    <w:p>
      <w:pPr>
        <w:spacing w:after="0" w:line="106" w:lineRule="exact"/>
        <w:rPr>
          <w:rFonts w:ascii="Arial" w:cs="Arial" w:eastAsia="Arial" w:hAnsi="Arial"/>
          <w:sz w:val="16"/>
          <w:szCs w:val="16"/>
          <w:color w:val="auto"/>
        </w:rPr>
      </w:pPr>
    </w:p>
    <w:p>
      <w:pPr>
        <w:ind w:left="1020" w:hanging="516"/>
        <w:spacing w:after="0"/>
        <w:tabs>
          <w:tab w:leader="none" w:pos="10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Kodak’s ability to effectively anticipate technology trends and develop and market new products, solutions and technologies;</w:t>
      </w:r>
    </w:p>
    <w:p>
      <w:pPr>
        <w:spacing w:after="0" w:line="106" w:lineRule="exact"/>
        <w:rPr>
          <w:rFonts w:ascii="Arial" w:cs="Arial" w:eastAsia="Arial" w:hAnsi="Arial"/>
          <w:sz w:val="16"/>
          <w:szCs w:val="16"/>
          <w:color w:val="auto"/>
        </w:rPr>
      </w:pPr>
    </w:p>
    <w:p>
      <w:pPr>
        <w:ind w:left="1020" w:hanging="516"/>
        <w:spacing w:after="0"/>
        <w:tabs>
          <w:tab w:leader="none" w:pos="10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Kodak’s ability to effectively compete with large, well-financed industry participants;</w:t>
      </w:r>
    </w:p>
    <w:p>
      <w:pPr>
        <w:spacing w:after="0" w:line="106" w:lineRule="exact"/>
        <w:rPr>
          <w:rFonts w:ascii="Arial" w:cs="Arial" w:eastAsia="Arial" w:hAnsi="Arial"/>
          <w:sz w:val="16"/>
          <w:szCs w:val="16"/>
          <w:color w:val="auto"/>
        </w:rPr>
      </w:pPr>
    </w:p>
    <w:p>
      <w:pPr>
        <w:ind w:left="1020" w:right="20" w:hanging="516"/>
        <w:spacing w:after="0" w:line="280" w:lineRule="auto"/>
        <w:tabs>
          <w:tab w:leader="none" w:pos="10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continued sufficient availability of borrowings and letters of credit under the Amended Credit Agreement, Kodak’s ability to obtain additional financing if and as needed and Kodak’s ability to provide or facilitate financing for its customers;</w:t>
      </w:r>
    </w:p>
    <w:p>
      <w:pPr>
        <w:spacing w:after="0" w:line="54" w:lineRule="exact"/>
        <w:rPr>
          <w:rFonts w:ascii="Arial" w:cs="Arial" w:eastAsia="Arial" w:hAnsi="Arial"/>
          <w:sz w:val="16"/>
          <w:szCs w:val="16"/>
          <w:color w:val="auto"/>
        </w:rPr>
      </w:pPr>
    </w:p>
    <w:p>
      <w:pPr>
        <w:ind w:left="1020" w:hanging="516"/>
        <w:spacing w:after="0"/>
        <w:tabs>
          <w:tab w:leader="none" w:pos="10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performance by third parties of their obligations to supply products, components or services to Kodak; and</w:t>
      </w:r>
    </w:p>
    <w:p>
      <w:pPr>
        <w:spacing w:after="0" w:line="106" w:lineRule="exact"/>
        <w:rPr>
          <w:rFonts w:ascii="Arial" w:cs="Arial" w:eastAsia="Arial" w:hAnsi="Arial"/>
          <w:sz w:val="16"/>
          <w:szCs w:val="16"/>
          <w:color w:val="auto"/>
        </w:rPr>
      </w:pPr>
    </w:p>
    <w:p>
      <w:pPr>
        <w:ind w:left="1020" w:hanging="516"/>
        <w:spacing w:after="0"/>
        <w:tabs>
          <w:tab w:leader="none" w:pos="10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impact of the global economic environment on Kodak.</w:t>
      </w:r>
    </w:p>
    <w:p>
      <w:pPr>
        <w:spacing w:after="0" w:line="106"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There may be other factors that may cause Kodak’s actual results to differ materially from the forward–looking statements. All forward–looking statements attributable to Kodak or persons acting on its behalf apply only as of the date of this report on Form 10-K and are expressly qualified in their entirety by the cautionary statements included in this document. Kodak undertakes no obligation to update or revise forward–looking statements to reflect events or circumstances that arise after the date made or to reflect the occurrence of unanticipated events.</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POLICIES AND ESTIMATES</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Revenue Recognition</w:t>
      </w:r>
    </w:p>
    <w:p>
      <w:pPr>
        <w:spacing w:after="0" w:line="106" w:lineRule="exact"/>
        <w:rPr>
          <w:sz w:val="20"/>
          <w:szCs w:val="20"/>
          <w:color w:val="auto"/>
        </w:rPr>
      </w:pPr>
    </w:p>
    <w:p>
      <w:pPr>
        <w:spacing w:after="0" w:line="280" w:lineRule="auto"/>
        <w:rPr>
          <w:sz w:val="20"/>
          <w:szCs w:val="20"/>
          <w:color w:val="auto"/>
        </w:rPr>
      </w:pPr>
      <w:r>
        <w:rPr>
          <w:rFonts w:ascii="Arial" w:cs="Arial" w:eastAsia="Arial" w:hAnsi="Arial"/>
          <w:sz w:val="15"/>
          <w:szCs w:val="15"/>
          <w:color w:val="auto"/>
        </w:rPr>
        <w:t>Kodak's revenue transactions include sales of products (such as components and consumables for use in Kodak, and other manufacturers’ equipment, and film based products), equipment, software, services, integrated solutions, and intellectual property and brand licensing. Complex arrangements with nonstandard terms and conditions may require significant contract interpretation to determine the appropriate accounting. For equipment sales, revenue recognition may depend on completion of installation based on the type of equipment, level of customer specific customization and other contractual terms. In instances in which the agreement with the customer contains a customer acceptance clause, revenue is deferred until customer acceptance is obtained, provided the customer acceptance clause is considered to be substantive.</w:t>
      </w:r>
    </w:p>
    <w:p>
      <w:pPr>
        <w:spacing w:after="0" w:line="58"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color w:val="auto"/>
        </w:rPr>
        <w:t>At the time revenue is recognized, Kodak also records reductions to revenue for customer incentive programs. Such incentive programs include cash and volume discounts and promotional allowances. For those incentives that require the estimation of sales volumes or redemption rates, such as for volume rebates, Kodak uses historical experience and both internal and customer data to estimate the sales incentive at the time revenue is recognized. In the event that the actual results of these items differ from the estimates, adjustments to the sales incentive accruals are recorded.</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62865</wp:posOffset>
            </wp:positionV>
            <wp:extent cx="7301865" cy="406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301865" cy="40640"/>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31" w:name="page32"/>
    <w:bookmarkEnd w:id="31"/>
    <w:p>
      <w:pPr>
        <w:ind w:right="420"/>
        <w:spacing w:after="0" w:line="280" w:lineRule="auto"/>
        <w:rPr>
          <w:sz w:val="20"/>
          <w:szCs w:val="20"/>
          <w:color w:val="auto"/>
        </w:rPr>
      </w:pPr>
      <w:r>
        <w:rPr>
          <w:rFonts w:ascii="Arial" w:cs="Arial" w:eastAsia="Arial" w:hAnsi="Arial"/>
          <w:sz w:val="16"/>
          <w:szCs w:val="16"/>
          <w:color w:val="auto"/>
        </w:rPr>
        <w:t>Future market conditions and product transitions may require Kodak to take actions to increase customer incentive offers, possibly resulting in an incremental reduction of revenue at the time the incentive is offered.</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Valuation and Useful Lives of Long-Lived Assets, Including Goodwill and Intangible Assets</w:t>
      </w:r>
    </w:p>
    <w:p>
      <w:pPr>
        <w:spacing w:after="0" w:line="106" w:lineRule="exact"/>
        <w:rPr>
          <w:sz w:val="20"/>
          <w:szCs w:val="20"/>
          <w:color w:val="auto"/>
        </w:rPr>
      </w:pPr>
    </w:p>
    <w:p>
      <w:pPr>
        <w:ind w:right="300"/>
        <w:spacing w:after="0" w:line="280" w:lineRule="auto"/>
        <w:rPr>
          <w:sz w:val="20"/>
          <w:szCs w:val="20"/>
          <w:color w:val="auto"/>
        </w:rPr>
      </w:pPr>
      <w:r>
        <w:rPr>
          <w:rFonts w:ascii="Arial" w:cs="Arial" w:eastAsia="Arial" w:hAnsi="Arial"/>
          <w:sz w:val="16"/>
          <w:szCs w:val="16"/>
          <w:color w:val="auto"/>
        </w:rPr>
        <w:t>Kodak performs a test for goodwill impairment annually and whenever events or changes in circumstances occur that would more likely than not reduce the fair value of the reporting unit below its carrying amount.</w:t>
      </w:r>
    </w:p>
    <w:p>
      <w:pPr>
        <w:spacing w:after="0" w:line="54" w:lineRule="exact"/>
        <w:rPr>
          <w:sz w:val="20"/>
          <w:szCs w:val="20"/>
          <w:color w:val="auto"/>
        </w:rPr>
      </w:pPr>
    </w:p>
    <w:p>
      <w:pPr>
        <w:ind w:right="80"/>
        <w:spacing w:after="0" w:line="280" w:lineRule="auto"/>
        <w:rPr>
          <w:sz w:val="20"/>
          <w:szCs w:val="20"/>
          <w:color w:val="auto"/>
        </w:rPr>
      </w:pPr>
      <w:r>
        <w:rPr>
          <w:rFonts w:ascii="Arial" w:cs="Arial" w:eastAsia="Arial" w:hAnsi="Arial"/>
          <w:sz w:val="16"/>
          <w:szCs w:val="16"/>
          <w:color w:val="auto"/>
        </w:rPr>
        <w:t>Goodwill is tested for impairment at a level of reporting referred to as a reporting unit, which is an operating segment or one level below an operating segment (a component) if the component constitutes a business for which discrete financial information is available and regularly reviewed by segment management.</w:t>
      </w:r>
    </w:p>
    <w:p>
      <w:pPr>
        <w:spacing w:after="0" w:line="54" w:lineRule="exact"/>
        <w:rPr>
          <w:sz w:val="20"/>
          <w:szCs w:val="20"/>
          <w:color w:val="auto"/>
        </w:rPr>
      </w:pPr>
    </w:p>
    <w:p>
      <w:pPr>
        <w:ind w:right="260"/>
        <w:spacing w:after="0" w:line="259" w:lineRule="auto"/>
        <w:rPr>
          <w:sz w:val="20"/>
          <w:szCs w:val="20"/>
          <w:color w:val="auto"/>
        </w:rPr>
      </w:pPr>
      <w:r>
        <w:rPr>
          <w:rFonts w:ascii="Arial" w:cs="Arial" w:eastAsia="Arial" w:hAnsi="Arial"/>
          <w:sz w:val="16"/>
          <w:szCs w:val="16"/>
          <w:color w:val="auto"/>
        </w:rPr>
        <w:t>The Print Systems segment has two goodwill reporting units: Prepress Solutions and Electrophotographic Printing Solutions. The Software and Solutions segment has two goodwill reporting units: Kodak Technology Solutions and Unified Workflow Solutions. The Consumer and Film segment has two goodwill reporting units, Motion Picture, Industrial Chemicals and Films and Consumer Products. The Enterprise Inkjet Systems segment, Flexographic Packaging segment, Advanced Materials and 3D Printing segment and Eastman Business Park segment all have one goodwill reporting unit. As of December 31, 2017, goodwill is recorded in the Packaging, Unified Workflow Solutions and Consumer Products reporting units.</w:t>
      </w:r>
    </w:p>
    <w:p>
      <w:pPr>
        <w:spacing w:after="0" w:line="192"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Kodak early adopted Accounting Standards Update (“ASU”) 2017-04, Intangibles – Goodwill and Other (Topic 350): Simplifying the Accounting for Goodwill Impairment effective January 1, 2017 which requires entities to calculate a goodwill impairment as the amount by which a reporting unit’s carrying value exceeds its fair value, not to exceed the carrying amount of goodwill.</w:t>
      </w:r>
    </w:p>
    <w:p>
      <w:pPr>
        <w:spacing w:after="0" w:line="65"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Determining the fair value of a reporting unit involves the use of significant estimates and assumptions. Kodak estimates the fair value of its reporting units using the guideline public company method and discounted cash flow method. To estimate fair value utilizing the guideline public company method, Kodak applies valuation multiples, derived from the operating data of publicly-traded benchmark companies, to the same operating data of the reporting units. The valuation multiples are based on earnings before interest, taxes, depreciation and amortization (“EBITDA”). To estimate fair value utilizing the discounted cash flow method, Kodak establishes an estimate of future cash flows for each reporting unit and discounts those estimated future cash flows to present value.</w:t>
      </w:r>
    </w:p>
    <w:p>
      <w:pPr>
        <w:spacing w:after="0" w:line="192" w:lineRule="exact"/>
        <w:rPr>
          <w:sz w:val="20"/>
          <w:szCs w:val="20"/>
          <w:color w:val="auto"/>
        </w:rPr>
      </w:pPr>
    </w:p>
    <w:p>
      <w:pPr>
        <w:spacing w:after="0" w:line="284" w:lineRule="auto"/>
        <w:rPr>
          <w:sz w:val="20"/>
          <w:szCs w:val="20"/>
          <w:color w:val="auto"/>
        </w:rPr>
      </w:pPr>
      <w:r>
        <w:rPr>
          <w:rFonts w:ascii="Arial" w:cs="Arial" w:eastAsia="Arial" w:hAnsi="Arial"/>
          <w:sz w:val="15"/>
          <w:szCs w:val="15"/>
          <w:color w:val="auto"/>
        </w:rPr>
        <w:t>Kodak performed an interim goodwill impairment test as of September 30, 2017 given the decline in Kodak’s financial projections for the year and its market capitalization from the last goodwill impairment test (December 31, 2016). Kodak utilized the discounted cash flow method and guideline public company method to estimate the fair value of reporting units with goodwill. For these reporting units, Kodak selected equal weighting of the guideline public company method and the discounted cash flow method as the valuation approaches produced comparable ranges of fair value. Fair values for the other reporting units were estimated using the discounted cash flow method only.</w:t>
      </w:r>
    </w:p>
    <w:p>
      <w:pPr>
        <w:spacing w:after="0" w:line="175" w:lineRule="exact"/>
        <w:rPr>
          <w:sz w:val="20"/>
          <w:szCs w:val="20"/>
          <w:color w:val="auto"/>
        </w:rPr>
      </w:pPr>
    </w:p>
    <w:p>
      <w:pPr>
        <w:ind w:right="40"/>
        <w:spacing w:after="0" w:line="257" w:lineRule="auto"/>
        <w:rPr>
          <w:sz w:val="20"/>
          <w:szCs w:val="20"/>
          <w:color w:val="auto"/>
        </w:rPr>
      </w:pPr>
      <w:r>
        <w:rPr>
          <w:rFonts w:ascii="Arial" w:cs="Arial" w:eastAsia="Arial" w:hAnsi="Arial"/>
          <w:sz w:val="16"/>
          <w:szCs w:val="16"/>
          <w:color w:val="auto"/>
        </w:rPr>
        <w:t>To estimate fair value utilizing the discounted cash flow method, Kodak established an estimate of future cash flows for the period ranging from October 1, 2017 to December 31, 2022 and discounted the estimated future cash flows to present value. The expected cash flows were derived from earnings forecasts and assumptions regarding growth and margin projections, as applicable. The discount rates are estimated based on an after-tax weighted average cost of capital (“WACC”) for each reporting unit reflecting the rate of return that would be expected by a market participant. The WACC also takes into consideration a company specific risk premium for each reporting unit reflecting the risk associated with the overall uncertainty of the financial projections. Discount rates of 10.2% to 45.0% were utilized in the valuation based on Kodak’s best estimates of the after-tax weighted-average cost of capital of each reporting unit.</w:t>
      </w:r>
    </w:p>
    <w:p>
      <w:pPr>
        <w:spacing w:after="0" w:line="196" w:lineRule="exact"/>
        <w:rPr>
          <w:sz w:val="20"/>
          <w:szCs w:val="20"/>
          <w:color w:val="auto"/>
        </w:rPr>
      </w:pPr>
    </w:p>
    <w:p>
      <w:pPr>
        <w:spacing w:after="0"/>
        <w:rPr>
          <w:sz w:val="20"/>
          <w:szCs w:val="20"/>
          <w:color w:val="auto"/>
        </w:rPr>
      </w:pPr>
      <w:r>
        <w:rPr>
          <w:rFonts w:ascii="Arial" w:cs="Arial" w:eastAsia="Arial" w:hAnsi="Arial"/>
          <w:sz w:val="15"/>
          <w:szCs w:val="15"/>
          <w:color w:val="auto"/>
        </w:rPr>
        <w:t>A terminal value was included for all reporting units at the end of the cash flow projection period to reflect the remaining value that the reporting unit is expected to</w:t>
      </w:r>
    </w:p>
    <w:p>
      <w:pPr>
        <w:spacing w:after="0" w:line="33" w:lineRule="exact"/>
        <w:rPr>
          <w:sz w:val="20"/>
          <w:szCs w:val="20"/>
          <w:color w:val="auto"/>
        </w:rPr>
      </w:pPr>
    </w:p>
    <w:p>
      <w:pPr>
        <w:ind w:right="160"/>
        <w:spacing w:after="0" w:line="336" w:lineRule="auto"/>
        <w:rPr>
          <w:sz w:val="20"/>
          <w:szCs w:val="20"/>
          <w:color w:val="auto"/>
        </w:rPr>
      </w:pPr>
      <w:r>
        <w:rPr>
          <w:rFonts w:ascii="Arial" w:cs="Arial" w:eastAsia="Arial" w:hAnsi="Arial"/>
          <w:sz w:val="14"/>
          <w:szCs w:val="14"/>
          <w:color w:val="auto"/>
        </w:rPr>
        <w:t>generate. The terminal value was calculated using either the constant growth method (“CGM”) based on the cash flows of the final year of the discrete period or the H-model, which assumes the growth during the terminal period starts at a higher rate and declines in a linear manner over a specified transition period toward a stable growth rate.</w:t>
      </w:r>
    </w:p>
    <w:p>
      <w:pPr>
        <w:spacing w:after="0" w:line="141" w:lineRule="exact"/>
        <w:rPr>
          <w:sz w:val="20"/>
          <w:szCs w:val="20"/>
          <w:color w:val="auto"/>
        </w:rPr>
      </w:pPr>
    </w:p>
    <w:p>
      <w:pPr>
        <w:spacing w:after="0" w:line="292" w:lineRule="auto"/>
        <w:rPr>
          <w:sz w:val="20"/>
          <w:szCs w:val="20"/>
          <w:color w:val="auto"/>
        </w:rPr>
      </w:pPr>
      <w:r>
        <w:rPr>
          <w:rFonts w:ascii="Arial" w:cs="Arial" w:eastAsia="Arial" w:hAnsi="Arial"/>
          <w:sz w:val="15"/>
          <w:szCs w:val="15"/>
          <w:color w:val="auto"/>
        </w:rPr>
        <w:t>Based upon the results of Kodak’s September 30, 2017 analysis, Kodak concluded that the Prepress Solutions reporting unit’s carrying value exceeded its fair value and recorded a pre-tax goodwill impairment loss of $56 million in the Consolidated Statement of Operations, which represented the entire amount of goodwill assigned to this reporting unit. As a result of the impairment, Kodak recorded an $18 million tax benefit. No impairment of goodwill was indicated for the other reporting units.</w:t>
      </w:r>
    </w:p>
    <w:p>
      <w:pPr>
        <w:spacing w:after="0" w:line="168" w:lineRule="exact"/>
        <w:rPr>
          <w:sz w:val="20"/>
          <w:szCs w:val="20"/>
          <w:color w:val="auto"/>
        </w:rPr>
      </w:pPr>
    </w:p>
    <w:p>
      <w:pPr>
        <w:ind w:right="100"/>
        <w:spacing w:after="0" w:line="261" w:lineRule="auto"/>
        <w:rPr>
          <w:sz w:val="20"/>
          <w:szCs w:val="20"/>
          <w:color w:val="auto"/>
        </w:rPr>
      </w:pPr>
      <w:r>
        <w:rPr>
          <w:rFonts w:ascii="Arial" w:cs="Arial" w:eastAsia="Arial" w:hAnsi="Arial"/>
          <w:sz w:val="16"/>
          <w:szCs w:val="16"/>
          <w:color w:val="auto"/>
        </w:rPr>
        <w:t>Kodak performed a quantitative test of impairment for all reporting units for its annual goodwill impairment test as of December 31, 2017. Kodak utilized the discounted cash flow method and guideline public company method to estimate the fair value of reporting units with goodwill. For these reporting units, Kodak selected equal weighting of the guideline public company method and the discounted cash flow method as the valuation approaches produced comparable ranges of fair value. Fair values for the other reporting units were estimated using the discounted cash flow method only.</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62865</wp:posOffset>
            </wp:positionV>
            <wp:extent cx="7301865" cy="406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301865" cy="40640"/>
                    </a:xfrm>
                    <a:prstGeom prst="rect">
                      <a:avLst/>
                    </a:prstGeom>
                    <a:noFill/>
                  </pic:spPr>
                </pic:pic>
              </a:graphicData>
            </a:graphic>
          </wp:anchor>
        </w:drawing>
      </w:r>
    </w:p>
    <w:p>
      <w:pPr>
        <w:sectPr>
          <w:pgSz w:w="11900" w:h="16838" w:orient="portrait"/>
          <w:cols w:equalWidth="0" w:num="1">
            <w:col w:w="11420"/>
          </w:cols>
          <w:pgMar w:left="240" w:top="224" w:right="239" w:bottom="1440" w:gutter="0" w:footer="0" w:header="0"/>
        </w:sectPr>
      </w:pPr>
    </w:p>
    <w:bookmarkStart w:id="32" w:name="page33"/>
    <w:bookmarkEnd w:id="32"/>
    <w:p>
      <w:pPr>
        <w:ind w:right="40"/>
        <w:spacing w:after="0" w:line="257" w:lineRule="auto"/>
        <w:rPr>
          <w:sz w:val="20"/>
          <w:szCs w:val="20"/>
          <w:color w:val="auto"/>
        </w:rPr>
      </w:pPr>
      <w:r>
        <w:rPr>
          <w:rFonts w:ascii="Arial" w:cs="Arial" w:eastAsia="Arial" w:hAnsi="Arial"/>
          <w:sz w:val="16"/>
          <w:szCs w:val="16"/>
          <w:color w:val="auto"/>
        </w:rPr>
        <w:t>To estimate fair value utilizing the discounted cash flow method, Kodak established an estimate of future cash flows for the period ranging from January 1, 2018 to December 31, 2022 and discounted the estimated future cash flows to present value. The expected cash flows were derived from earnings forecasts and assumptions regarding growth and margin projections, as applicable. The discount rates are estimated based on an after-tax weighted average cost of capital (“WACC”) for each reporting unit reflecting the rate of return that would be expected by a market participant. The WACC also takes into consideration a company specific risk premium for each reporting unit reflecting the risk associated with the overall uncertainty of the financial projections. Discount rates of 10% to 55% were utilized in the valuation based on Kodak’s best estimates of the after-tax weighted-average cost of capital of each reporting unit.</w:t>
      </w:r>
    </w:p>
    <w:p>
      <w:pPr>
        <w:spacing w:after="0" w:line="75" w:lineRule="exact"/>
        <w:rPr>
          <w:sz w:val="20"/>
          <w:szCs w:val="20"/>
          <w:color w:val="auto"/>
        </w:rPr>
      </w:pPr>
    </w:p>
    <w:p>
      <w:pPr>
        <w:spacing w:after="0"/>
        <w:rPr>
          <w:sz w:val="20"/>
          <w:szCs w:val="20"/>
          <w:color w:val="auto"/>
        </w:rPr>
      </w:pPr>
      <w:r>
        <w:rPr>
          <w:rFonts w:ascii="Arial" w:cs="Arial" w:eastAsia="Arial" w:hAnsi="Arial"/>
          <w:sz w:val="15"/>
          <w:szCs w:val="15"/>
          <w:color w:val="auto"/>
        </w:rPr>
        <w:t>A terminal value was included for all reporting units at the end of the cash flow projection period to reflect the remaining value that the reporting unit is expected to</w:t>
      </w:r>
    </w:p>
    <w:p>
      <w:pPr>
        <w:spacing w:after="0" w:line="33" w:lineRule="exact"/>
        <w:rPr>
          <w:sz w:val="20"/>
          <w:szCs w:val="20"/>
          <w:color w:val="auto"/>
        </w:rPr>
      </w:pPr>
    </w:p>
    <w:p>
      <w:pPr>
        <w:ind w:right="160"/>
        <w:spacing w:after="0" w:line="336" w:lineRule="auto"/>
        <w:rPr>
          <w:sz w:val="20"/>
          <w:szCs w:val="20"/>
          <w:color w:val="auto"/>
        </w:rPr>
      </w:pPr>
      <w:r>
        <w:rPr>
          <w:rFonts w:ascii="Arial" w:cs="Arial" w:eastAsia="Arial" w:hAnsi="Arial"/>
          <w:sz w:val="14"/>
          <w:szCs w:val="14"/>
          <w:color w:val="auto"/>
        </w:rPr>
        <w:t>generate. The terminal value was calculated using either the constant growth method (“CGM”) based on the cash flows of the final year of the discrete period or the H-model, which assumes the growth during the terminal period starts at a higher rate and declines in a linear manner over a specified transition period toward a stable growth rate.</w:t>
      </w:r>
    </w:p>
    <w:p>
      <w:pPr>
        <w:spacing w:after="0" w:line="21" w:lineRule="exact"/>
        <w:rPr>
          <w:sz w:val="20"/>
          <w:szCs w:val="20"/>
          <w:color w:val="auto"/>
        </w:rPr>
      </w:pPr>
    </w:p>
    <w:p>
      <w:pPr>
        <w:ind w:right="300"/>
        <w:spacing w:after="0" w:line="266" w:lineRule="auto"/>
        <w:rPr>
          <w:sz w:val="20"/>
          <w:szCs w:val="20"/>
          <w:color w:val="auto"/>
        </w:rPr>
      </w:pPr>
      <w:r>
        <w:rPr>
          <w:rFonts w:ascii="Arial" w:cs="Arial" w:eastAsia="Arial" w:hAnsi="Arial"/>
          <w:sz w:val="16"/>
          <w:szCs w:val="16"/>
          <w:color w:val="auto"/>
        </w:rPr>
        <w:t>Based upon the results of Kodak’s December 31, 2017 analysis, Kodak concluded that no impairment of goodwill was indicated. Impairment of goodwill could occur in the future if a reporting unit’s fair value changes significantly, if Kodak’s market capitalization significantly declines, if a reporting unit’s carrying value changes materially compared with changes in its fair values, or as a result of changes in operating segments or reporting units.</w:t>
      </w:r>
    </w:p>
    <w:p>
      <w:pPr>
        <w:spacing w:after="0" w:line="186" w:lineRule="exact"/>
        <w:rPr>
          <w:sz w:val="20"/>
          <w:szCs w:val="20"/>
          <w:color w:val="auto"/>
        </w:rPr>
      </w:pPr>
    </w:p>
    <w:p>
      <w:pPr>
        <w:ind w:right="200"/>
        <w:spacing w:after="0" w:line="266" w:lineRule="auto"/>
        <w:rPr>
          <w:sz w:val="20"/>
          <w:szCs w:val="20"/>
          <w:color w:val="auto"/>
        </w:rPr>
      </w:pPr>
      <w:r>
        <w:rPr>
          <w:rFonts w:ascii="Arial" w:cs="Arial" w:eastAsia="Arial" w:hAnsi="Arial"/>
          <w:sz w:val="16"/>
          <w:szCs w:val="16"/>
          <w:color w:val="auto"/>
        </w:rPr>
        <w:t>The carrying value of the indefinite-lived intangible asset related to the Kodak trade name is evaluated for potential impairment annually or whenever events or changes in circumstances indicate that it is more likely than not that the asset is impaired. Kodak performed an interim impairment test related to the Kodak trade name as of September 30, 2017 given the revised financial projections.</w:t>
      </w:r>
    </w:p>
    <w:p>
      <w:pPr>
        <w:spacing w:after="0" w:line="186" w:lineRule="exact"/>
        <w:rPr>
          <w:sz w:val="20"/>
          <w:szCs w:val="20"/>
          <w:color w:val="auto"/>
        </w:rPr>
      </w:pPr>
    </w:p>
    <w:p>
      <w:pPr>
        <w:ind w:right="60"/>
        <w:spacing w:after="0" w:line="284" w:lineRule="auto"/>
        <w:rPr>
          <w:sz w:val="20"/>
          <w:szCs w:val="20"/>
          <w:color w:val="auto"/>
        </w:rPr>
      </w:pPr>
      <w:r>
        <w:rPr>
          <w:rFonts w:ascii="Arial" w:cs="Arial" w:eastAsia="Arial" w:hAnsi="Arial"/>
          <w:sz w:val="15"/>
          <w:szCs w:val="15"/>
          <w:color w:val="auto"/>
        </w:rPr>
        <w:t>The fair value of the Kodak trade name, which as of September 30, 2017 had a carrying value of $40 million, was valued using the income approach, specifically the relief from royalty method based on the following significant assumptions: (a) forecasted revenues ranging from October 1, 2017 to December 31, 2022, including a terminal year with growth rates ranging from -4.5% to 2.5%; (b) after-tax royalty rates ranging from .4% to .8% of expected net sales determined with regard to comparable market transactions and profitability analysis; and (c) discount rates ranging from 10.2% to 45.0%, which were based on the after-tax weighted-average cost of capital.</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color w:val="auto"/>
        </w:rPr>
        <w:t>Based on the results of Kodak’s September 30, 2017 assessment, the fair value of the Kodak trade name exceeded its carrying value by 8% and no impairment was indicated.</w:t>
      </w:r>
    </w:p>
    <w:p>
      <w:pPr>
        <w:spacing w:after="0" w:line="129" w:lineRule="exact"/>
        <w:rPr>
          <w:sz w:val="20"/>
          <w:szCs w:val="20"/>
          <w:color w:val="auto"/>
        </w:rPr>
      </w:pPr>
    </w:p>
    <w:p>
      <w:pPr>
        <w:spacing w:after="0" w:line="310" w:lineRule="auto"/>
        <w:rPr>
          <w:sz w:val="20"/>
          <w:szCs w:val="20"/>
          <w:color w:val="auto"/>
        </w:rPr>
      </w:pPr>
      <w:r>
        <w:rPr>
          <w:rFonts w:ascii="Arial" w:cs="Arial" w:eastAsia="Arial" w:hAnsi="Arial"/>
          <w:sz w:val="14"/>
          <w:szCs w:val="14"/>
          <w:color w:val="auto"/>
        </w:rPr>
        <w:t>Kodak performed its annual test of impairment for the Kodak trade name as of December 31, 2017. The fair value of the Kodak trade name was valued using the income approach, specifically the relief from royalty method based on the following significant assumptions: (a) forecasted revenues ranging from January 1, 2018 to December 31, 2022, including a terminal year with growth rates ranging from -10% to 2.5%; (b) after-tax royalty rates ranging from .4% to .8% of expected net sales determined with regard to comparable market transactions and profitability analysis; and (c) discount rates ranging from 10% to 55%, which were based on the after-tax weighted-average cost of capital</w:t>
      </w:r>
    </w:p>
    <w:p>
      <w:pPr>
        <w:spacing w:after="0" w:line="38" w:lineRule="exact"/>
        <w:rPr>
          <w:sz w:val="20"/>
          <w:szCs w:val="20"/>
          <w:color w:val="auto"/>
        </w:rPr>
      </w:pPr>
    </w:p>
    <w:p>
      <w:pPr>
        <w:ind w:right="220"/>
        <w:spacing w:after="0" w:line="266" w:lineRule="auto"/>
        <w:rPr>
          <w:sz w:val="20"/>
          <w:szCs w:val="20"/>
          <w:color w:val="auto"/>
        </w:rPr>
      </w:pPr>
      <w:r>
        <w:rPr>
          <w:rFonts w:ascii="Arial" w:cs="Arial" w:eastAsia="Arial" w:hAnsi="Arial"/>
          <w:sz w:val="16"/>
          <w:szCs w:val="16"/>
          <w:color w:val="auto"/>
        </w:rPr>
        <w:t>Based on the results of Kodak’s December 31, 2017 assessment, the carrying value of the Kodak trade name exceeded its fair value and Kodak recorded a pre-tax impairment charge of $2 million. Impairment of the Kodak trade name could occur in the future if expected revenues decline or if there are significant changes in the discount rates or royalty rates.</w:t>
      </w:r>
    </w:p>
    <w:p>
      <w:pPr>
        <w:spacing w:after="0" w:line="65" w:lineRule="exact"/>
        <w:rPr>
          <w:sz w:val="20"/>
          <w:szCs w:val="20"/>
          <w:color w:val="auto"/>
        </w:rPr>
      </w:pPr>
    </w:p>
    <w:p>
      <w:pPr>
        <w:ind w:right="80"/>
        <w:spacing w:after="0" w:line="261" w:lineRule="auto"/>
        <w:rPr>
          <w:sz w:val="20"/>
          <w:szCs w:val="20"/>
          <w:color w:val="auto"/>
        </w:rPr>
      </w:pPr>
      <w:r>
        <w:rPr>
          <w:rFonts w:ascii="Arial" w:cs="Arial" w:eastAsia="Arial" w:hAnsi="Arial"/>
          <w:sz w:val="16"/>
          <w:szCs w:val="16"/>
          <w:color w:val="auto"/>
        </w:rPr>
        <w:t>Long-lived assets other than goodwill and indefinite-lived intangible assets are evaluated for impairment whenever events or changes in circumstances indicate the carrying value may not be recoverable. When evaluating long-lived assets for impairment, the carrying value of an asset group is compared to its estimated undiscounted future cash flows. An impairment is indicated if the estimated future cash flows are less than the carrying value of the asset group. The impairment is the excess of the carrying value over the fair value of the long-lived asset group.</w:t>
      </w:r>
    </w:p>
    <w:p>
      <w:pPr>
        <w:spacing w:after="0" w:line="70" w:lineRule="exact"/>
        <w:rPr>
          <w:sz w:val="20"/>
          <w:szCs w:val="20"/>
          <w:color w:val="auto"/>
        </w:rPr>
      </w:pPr>
    </w:p>
    <w:p>
      <w:pPr>
        <w:ind w:right="180"/>
        <w:spacing w:after="0" w:line="310" w:lineRule="auto"/>
        <w:rPr>
          <w:sz w:val="20"/>
          <w:szCs w:val="20"/>
          <w:color w:val="auto"/>
        </w:rPr>
      </w:pPr>
      <w:r>
        <w:rPr>
          <w:rFonts w:ascii="Arial" w:cs="Arial" w:eastAsia="Arial" w:hAnsi="Arial"/>
          <w:sz w:val="14"/>
          <w:szCs w:val="14"/>
          <w:color w:val="auto"/>
        </w:rPr>
        <w:t>The value of property, plant, and equipment is depreciated over its expected useful life in such a way as to allocate it as equitably as possible to the periods during which services are obtained from their use, which aims to distribute the value over the remaining estimated useful life of the unit in a systematic and rational manner. An estimate of useful life not only considers the economic life of the asset, but also the remaining life of the asset to the entity. Impairment of long-lived assets other than goodwill and indefinite lived intangible assets could occur in the future if expected future cash flows decline or if there are significant changes in the estimated useful life of the assets.</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Series A Preferred Stock Embedded Conversion Features Derivative</w:t>
      </w:r>
    </w:p>
    <w:p>
      <w:pPr>
        <w:spacing w:after="0" w:line="106" w:lineRule="exact"/>
        <w:rPr>
          <w:sz w:val="20"/>
          <w:szCs w:val="20"/>
          <w:color w:val="auto"/>
        </w:rPr>
      </w:pPr>
    </w:p>
    <w:p>
      <w:pPr>
        <w:ind w:right="120"/>
        <w:spacing w:after="0" w:line="275" w:lineRule="auto"/>
        <w:rPr>
          <w:sz w:val="20"/>
          <w:szCs w:val="20"/>
          <w:color w:val="auto"/>
        </w:rPr>
      </w:pPr>
      <w:r>
        <w:rPr>
          <w:rFonts w:ascii="Arial" w:cs="Arial" w:eastAsia="Arial" w:hAnsi="Arial"/>
          <w:sz w:val="15"/>
          <w:szCs w:val="15"/>
          <w:color w:val="auto"/>
        </w:rPr>
        <w:t>On November 15, 2016, the Company issued 2,000,000 shares of 5.50% Series A Convertible Preferred Stock, no par value per share (the “Series A Preferred Stock”). The Company concluded that the Series A Preferred Stock is considered more akin to a debt-type instrument and that the economic characteristics and risks of the embedded conversion features, except where the conversion price is increased to the liquidation preference, were not considered clearly and closely related to the Series A Preferred Stock. Accordingly, these embedded conversion features were bifurcated from the Series A Preferred Stock and separately accounted for on a combined basis at fair value as a single derivative. The Company allocated $43 million of the net proceeds received to the derivative liability based on the aggregate fair value of the embedded conversion features on the date of issuance which reduced the original carrying value of the Series A Preferred Stock. The derivative is being accounted for at fair value with subsequent changes in the fair value being reported as part of Other (income) charges, net in the Consolidated Statement of Operations. The fair value of the derivative as of December 31, 2017 was an asset of $4 million and is included within Other long-term assets in the accompanying</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62865</wp:posOffset>
            </wp:positionV>
            <wp:extent cx="7301865" cy="406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301865" cy="40640"/>
                    </a:xfrm>
                    <a:prstGeom prst="rect">
                      <a:avLst/>
                    </a:prstGeom>
                    <a:noFill/>
                  </pic:spPr>
                </pic:pic>
              </a:graphicData>
            </a:graphic>
          </wp:anchor>
        </w:drawing>
      </w:r>
    </w:p>
    <w:p>
      <w:pPr>
        <w:sectPr>
          <w:pgSz w:w="11900" w:h="16838" w:orient="portrait"/>
          <w:cols w:equalWidth="0" w:num="1">
            <w:col w:w="11420"/>
          </w:cols>
          <w:pgMar w:left="240" w:top="224" w:right="239" w:bottom="1440" w:gutter="0" w:footer="0" w:header="0"/>
        </w:sectPr>
      </w:pPr>
    </w:p>
    <w:bookmarkStart w:id="33" w:name="page34"/>
    <w:bookmarkEnd w:id="33"/>
    <w:p>
      <w:pPr>
        <w:ind w:right="320"/>
        <w:spacing w:after="0" w:line="280" w:lineRule="auto"/>
        <w:rPr>
          <w:sz w:val="20"/>
          <w:szCs w:val="20"/>
          <w:color w:val="auto"/>
        </w:rPr>
      </w:pPr>
      <w:r>
        <w:rPr>
          <w:rFonts w:ascii="Arial" w:cs="Arial" w:eastAsia="Arial" w:hAnsi="Arial"/>
          <w:sz w:val="16"/>
          <w:szCs w:val="16"/>
          <w:color w:val="auto"/>
        </w:rPr>
        <w:t>Consolidated Statement of Financial Position. The fair value of the derivative as of December 31, 2016 was a liability of $43 million and is included within Other long-term liabilities in the accompanying Consolidated Statement of Financial Position.</w:t>
      </w:r>
    </w:p>
    <w:p>
      <w:pPr>
        <w:spacing w:after="0" w:line="175" w:lineRule="exact"/>
        <w:rPr>
          <w:sz w:val="20"/>
          <w:szCs w:val="20"/>
          <w:color w:val="auto"/>
        </w:rPr>
      </w:pPr>
    </w:p>
    <w:p>
      <w:pPr>
        <w:ind w:right="60"/>
        <w:spacing w:after="0" w:line="280" w:lineRule="auto"/>
        <w:rPr>
          <w:sz w:val="20"/>
          <w:szCs w:val="20"/>
          <w:color w:val="auto"/>
        </w:rPr>
      </w:pPr>
      <w:r>
        <w:rPr>
          <w:rFonts w:ascii="Arial" w:cs="Arial" w:eastAsia="Arial" w:hAnsi="Arial"/>
          <w:sz w:val="16"/>
          <w:szCs w:val="16"/>
          <w:color w:val="auto"/>
        </w:rPr>
        <w:t>The fair value of the Series A Preferred Stock embedded conversion features derivative is calculated using a binomial lattice model. The following table presents the key inputs in the determination of fair value at December 31, 2017 and 2016:</w:t>
      </w:r>
    </w:p>
    <w:p>
      <w:pPr>
        <w:spacing w:after="0" w:line="183" w:lineRule="exact"/>
        <w:rPr>
          <w:sz w:val="20"/>
          <w:szCs w:val="20"/>
          <w:color w:val="auto"/>
        </w:rPr>
      </w:pPr>
    </w:p>
    <w:tbl>
      <w:tblPr>
        <w:tblLayout w:type="fixed"/>
        <w:tblInd w:w="1720" w:type="dxa"/>
        <w:tblCellMar>
          <w:top w:w="0" w:type="dxa"/>
          <w:left w:w="0" w:type="dxa"/>
          <w:bottom w:w="0" w:type="dxa"/>
          <w:right w:w="0" w:type="dxa"/>
        </w:tblCellMar>
      </w:tblPr>
      <w:tr>
        <w:trPr>
          <w:trHeight w:val="205"/>
        </w:trPr>
        <w:tc>
          <w:tcPr>
            <w:tcW w:w="5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20" w:type="dxa"/>
            <w:vAlign w:val="bottom"/>
            <w:gridSpan w:val="3"/>
          </w:tcPr>
          <w:p>
            <w:pPr>
              <w:jc w:val="right"/>
              <w:ind w:right="242"/>
              <w:spacing w:after="0"/>
              <w:rPr>
                <w:sz w:val="20"/>
                <w:szCs w:val="20"/>
                <w:color w:val="auto"/>
              </w:rPr>
            </w:pPr>
            <w:r>
              <w:rPr>
                <w:rFonts w:ascii="Arial" w:cs="Arial" w:eastAsia="Arial" w:hAnsi="Arial"/>
                <w:sz w:val="16"/>
                <w:szCs w:val="16"/>
                <w:b w:val="1"/>
                <w:bCs w:val="1"/>
                <w:color w:val="auto"/>
              </w:rPr>
              <w:t>Valuation Date</w:t>
            </w: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193"/>
        </w:trPr>
        <w:tc>
          <w:tcPr>
            <w:tcW w:w="5400" w:type="dxa"/>
            <w:vAlign w:val="bottom"/>
          </w:tcPr>
          <w:p>
            <w:pPr>
              <w:spacing w:after="0"/>
              <w:rPr>
                <w:sz w:val="16"/>
                <w:szCs w:val="16"/>
                <w:color w:val="auto"/>
              </w:rPr>
            </w:pPr>
          </w:p>
        </w:tc>
        <w:tc>
          <w:tcPr>
            <w:tcW w:w="1260" w:type="dxa"/>
            <w:vAlign w:val="bottom"/>
            <w:gridSpan w:val="2"/>
          </w:tcPr>
          <w:p>
            <w:pPr>
              <w:jc w:val="right"/>
              <w:ind w:right="179"/>
              <w:spacing w:after="0"/>
              <w:rPr>
                <w:sz w:val="20"/>
                <w:szCs w:val="20"/>
                <w:color w:val="auto"/>
              </w:rPr>
            </w:pPr>
            <w:r>
              <w:rPr>
                <w:rFonts w:ascii="Arial" w:cs="Arial" w:eastAsia="Arial" w:hAnsi="Arial"/>
                <w:sz w:val="16"/>
                <w:szCs w:val="16"/>
                <w:b w:val="1"/>
                <w:bCs w:val="1"/>
                <w:color w:val="auto"/>
                <w:w w:val="94"/>
              </w:rPr>
              <w:t>December 31,</w:t>
            </w:r>
          </w:p>
        </w:tc>
        <w:tc>
          <w:tcPr>
            <w:tcW w:w="80" w:type="dxa"/>
            <w:vAlign w:val="bottom"/>
          </w:tcPr>
          <w:p>
            <w:pPr>
              <w:spacing w:after="0"/>
              <w:rPr>
                <w:sz w:val="16"/>
                <w:szCs w:val="16"/>
                <w:color w:val="auto"/>
              </w:rPr>
            </w:pPr>
          </w:p>
        </w:tc>
        <w:tc>
          <w:tcPr>
            <w:tcW w:w="126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w w:val="90"/>
              </w:rPr>
              <w:t>December 31,</w:t>
            </w:r>
          </w:p>
        </w:tc>
      </w:tr>
      <w:tr>
        <w:trPr>
          <w:trHeight w:val="210"/>
        </w:trPr>
        <w:tc>
          <w:tcPr>
            <w:tcW w:w="5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479"/>
              <w:spacing w:after="0"/>
              <w:rPr>
                <w:sz w:val="20"/>
                <w:szCs w:val="20"/>
                <w:color w:val="auto"/>
              </w:rPr>
            </w:pPr>
            <w:r>
              <w:rPr>
                <w:rFonts w:ascii="Arial" w:cs="Arial" w:eastAsia="Arial" w:hAnsi="Arial"/>
                <w:sz w:val="16"/>
                <w:szCs w:val="16"/>
                <w:b w:val="1"/>
                <w:bCs w:val="1"/>
                <w:color w:val="auto"/>
              </w:rPr>
              <w:t>2017</w:t>
            </w:r>
          </w:p>
        </w:tc>
        <w:tc>
          <w:tcPr>
            <w:tcW w:w="780" w:type="dxa"/>
            <w:vAlign w:val="bottom"/>
            <w:gridSpan w:val="2"/>
          </w:tcPr>
          <w:p>
            <w:pPr>
              <w:jc w:val="right"/>
              <w:spacing w:after="0"/>
              <w:rPr>
                <w:sz w:val="20"/>
                <w:szCs w:val="20"/>
                <w:color w:val="auto"/>
              </w:rPr>
            </w:pPr>
            <w:r>
              <w:rPr>
                <w:rFonts w:ascii="Arial" w:cs="Arial" w:eastAsia="Arial" w:hAnsi="Arial"/>
                <w:sz w:val="16"/>
                <w:szCs w:val="16"/>
                <w:b w:val="1"/>
                <w:bCs w:val="1"/>
                <w:color w:val="auto"/>
              </w:rPr>
              <w:t>2016</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198"/>
        </w:trPr>
        <w:tc>
          <w:tcPr>
            <w:tcW w:w="5400" w:type="dxa"/>
            <w:vAlign w:val="bottom"/>
            <w:tcBorders>
              <w:top w:val="single" w:sz="8" w:color="CFF0FC"/>
            </w:tcBorders>
            <w:shd w:val="clear" w:color="auto" w:fill="CFF0FC"/>
          </w:tcPr>
          <w:p>
            <w:pPr>
              <w:ind w:left="220"/>
              <w:spacing w:after="0"/>
              <w:rPr>
                <w:sz w:val="20"/>
                <w:szCs w:val="20"/>
                <w:color w:val="auto"/>
              </w:rPr>
            </w:pPr>
            <w:r>
              <w:rPr>
                <w:rFonts w:ascii="Arial" w:cs="Arial" w:eastAsia="Arial" w:hAnsi="Arial"/>
                <w:sz w:val="16"/>
                <w:szCs w:val="16"/>
                <w:color w:val="auto"/>
              </w:rPr>
              <w:t>Total value of embedded derivative (asset) liability ($ millions)</w:t>
            </w:r>
          </w:p>
        </w:tc>
        <w:tc>
          <w:tcPr>
            <w:tcW w:w="220" w:type="dxa"/>
            <w:vAlign w:val="bottom"/>
            <w:tcBorders>
              <w:top w:val="single" w:sz="8" w:color="auto"/>
            </w:tcBorders>
            <w:shd w:val="clear" w:color="auto" w:fill="CFF0FC"/>
          </w:tcPr>
          <w:p>
            <w:pPr>
              <w:jc w:val="right"/>
              <w:ind w:right="62"/>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(4)</w:t>
            </w:r>
          </w:p>
        </w:tc>
        <w:tc>
          <w:tcPr>
            <w:tcW w:w="80" w:type="dxa"/>
            <w:vAlign w:val="bottom"/>
            <w:tcBorders>
              <w:top w:val="single" w:sz="8" w:color="CFF0FC"/>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jc w:val="right"/>
              <w:ind w:right="542"/>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43</w:t>
            </w:r>
          </w:p>
        </w:tc>
        <w:tc>
          <w:tcPr>
            <w:tcW w:w="180" w:type="dxa"/>
            <w:vAlign w:val="bottom"/>
            <w:tcBorders>
              <w:top w:val="single" w:sz="8" w:color="CFF0FC"/>
            </w:tcBorders>
            <w:shd w:val="clear" w:color="auto" w:fill="CFF0FC"/>
          </w:tcPr>
          <w:p>
            <w:pPr>
              <w:spacing w:after="0"/>
              <w:rPr>
                <w:sz w:val="17"/>
                <w:szCs w:val="17"/>
                <w:color w:val="auto"/>
              </w:rPr>
            </w:pPr>
          </w:p>
        </w:tc>
      </w:tr>
      <w:tr>
        <w:trPr>
          <w:trHeight w:val="205"/>
        </w:trPr>
        <w:tc>
          <w:tcPr>
            <w:tcW w:w="5400" w:type="dxa"/>
            <w:vAlign w:val="bottom"/>
          </w:tcPr>
          <w:p>
            <w:pPr>
              <w:ind w:left="220"/>
              <w:spacing w:after="0"/>
              <w:rPr>
                <w:sz w:val="20"/>
                <w:szCs w:val="20"/>
                <w:color w:val="auto"/>
              </w:rPr>
            </w:pPr>
            <w:r>
              <w:rPr>
                <w:rFonts w:ascii="Arial" w:cs="Arial" w:eastAsia="Arial" w:hAnsi="Arial"/>
                <w:sz w:val="16"/>
                <w:szCs w:val="16"/>
                <w:color w:val="auto"/>
              </w:rPr>
              <w:t>Kodak's closing stock price</w:t>
            </w:r>
          </w:p>
        </w:tc>
        <w:tc>
          <w:tcPr>
            <w:tcW w:w="220" w:type="dxa"/>
            <w:vAlign w:val="bottom"/>
          </w:tcPr>
          <w:p>
            <w:pPr>
              <w:spacing w:after="0"/>
              <w:rPr>
                <w:sz w:val="17"/>
                <w:szCs w:val="17"/>
                <w:color w:val="auto"/>
              </w:rPr>
            </w:pP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3.10</w:t>
            </w: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w w:val="89"/>
              </w:rPr>
              <w:t>15.50</w:t>
            </w:r>
          </w:p>
        </w:tc>
        <w:tc>
          <w:tcPr>
            <w:tcW w:w="180" w:type="dxa"/>
            <w:vAlign w:val="bottom"/>
          </w:tcPr>
          <w:p>
            <w:pPr>
              <w:spacing w:after="0"/>
              <w:rPr>
                <w:sz w:val="17"/>
                <w:szCs w:val="17"/>
                <w:color w:val="auto"/>
              </w:rPr>
            </w:pPr>
          </w:p>
        </w:tc>
      </w:tr>
      <w:tr>
        <w:trPr>
          <w:trHeight w:val="205"/>
        </w:trPr>
        <w:tc>
          <w:tcPr>
            <w:tcW w:w="5400" w:type="dxa"/>
            <w:vAlign w:val="bottom"/>
            <w:shd w:val="clear" w:color="auto" w:fill="CFF0FC"/>
          </w:tcPr>
          <w:p>
            <w:pPr>
              <w:ind w:left="220"/>
              <w:spacing w:after="0"/>
              <w:rPr>
                <w:sz w:val="20"/>
                <w:szCs w:val="20"/>
                <w:color w:val="auto"/>
              </w:rPr>
            </w:pPr>
            <w:r>
              <w:rPr>
                <w:rFonts w:ascii="Arial" w:cs="Arial" w:eastAsia="Arial" w:hAnsi="Arial"/>
                <w:sz w:val="16"/>
                <w:szCs w:val="16"/>
                <w:color w:val="auto"/>
              </w:rPr>
              <w:t>Expected stock price volatility</w:t>
            </w: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58.22%</w:t>
            </w:r>
          </w:p>
        </w:tc>
        <w:tc>
          <w:tcPr>
            <w:tcW w:w="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5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w w:val="92"/>
              </w:rPr>
              <w:t>42.85%</w:t>
            </w:r>
          </w:p>
        </w:tc>
      </w:tr>
      <w:tr>
        <w:trPr>
          <w:trHeight w:val="205"/>
        </w:trPr>
        <w:tc>
          <w:tcPr>
            <w:tcW w:w="5400" w:type="dxa"/>
            <w:vAlign w:val="bottom"/>
          </w:tcPr>
          <w:p>
            <w:pPr>
              <w:ind w:left="220"/>
              <w:spacing w:after="0"/>
              <w:rPr>
                <w:sz w:val="20"/>
                <w:szCs w:val="20"/>
                <w:color w:val="auto"/>
              </w:rPr>
            </w:pPr>
            <w:r>
              <w:rPr>
                <w:rFonts w:ascii="Arial" w:cs="Arial" w:eastAsia="Arial" w:hAnsi="Arial"/>
                <w:sz w:val="16"/>
                <w:szCs w:val="16"/>
                <w:color w:val="auto"/>
              </w:rPr>
              <w:t>Risk free rate</w:t>
            </w:r>
          </w:p>
        </w:tc>
        <w:tc>
          <w:tcPr>
            <w:tcW w:w="2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2.08%</w:t>
            </w: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6"/>
                <w:szCs w:val="16"/>
                <w:color w:val="auto"/>
              </w:rPr>
              <w:t>1.93%</w:t>
            </w:r>
          </w:p>
        </w:tc>
      </w:tr>
      <w:tr>
        <w:trPr>
          <w:trHeight w:val="205"/>
        </w:trPr>
        <w:tc>
          <w:tcPr>
            <w:tcW w:w="5400" w:type="dxa"/>
            <w:vAlign w:val="bottom"/>
            <w:shd w:val="clear" w:color="auto" w:fill="CFF0FC"/>
          </w:tcPr>
          <w:p>
            <w:pPr>
              <w:ind w:left="220"/>
              <w:spacing w:after="0"/>
              <w:rPr>
                <w:sz w:val="20"/>
                <w:szCs w:val="20"/>
                <w:color w:val="auto"/>
              </w:rPr>
            </w:pPr>
            <w:r>
              <w:rPr>
                <w:rFonts w:ascii="Arial" w:cs="Arial" w:eastAsia="Arial" w:hAnsi="Arial"/>
                <w:sz w:val="16"/>
                <w:szCs w:val="16"/>
                <w:color w:val="auto"/>
              </w:rPr>
              <w:t>Yield on the preferred stock</w:t>
            </w: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22.31%</w:t>
            </w:r>
          </w:p>
        </w:tc>
        <w:tc>
          <w:tcPr>
            <w:tcW w:w="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5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w w:val="92"/>
              </w:rPr>
              <w:t>11.38%</w:t>
            </w:r>
          </w:p>
        </w:tc>
      </w:tr>
    </w:tbl>
    <w:p>
      <w:pPr>
        <w:spacing w:after="0" w:line="181" w:lineRule="exact"/>
        <w:rPr>
          <w:sz w:val="20"/>
          <w:szCs w:val="20"/>
          <w:color w:val="auto"/>
        </w:rPr>
      </w:pPr>
    </w:p>
    <w:p>
      <w:pPr>
        <w:spacing w:after="0" w:line="278" w:lineRule="auto"/>
        <w:rPr>
          <w:sz w:val="20"/>
          <w:szCs w:val="20"/>
          <w:color w:val="auto"/>
        </w:rPr>
      </w:pPr>
      <w:r>
        <w:rPr>
          <w:rFonts w:ascii="Arial" w:cs="Arial" w:eastAsia="Arial" w:hAnsi="Arial"/>
          <w:sz w:val="15"/>
          <w:szCs w:val="15"/>
          <w:color w:val="auto"/>
        </w:rPr>
        <w:t>The Fundamental Change and Reorganization Conversion value at issuance was calculated as the difference between the total value of the Series A Preferred Stock and the sum of the net present value of the cash flows if the Series A Preferred Stock is redeemed on its fifth anniversary and the values of the other embedded derivatives. The Fundamental Change and Reorganization Conversion value reduces the value of the embedded conversion features derivative liability. Unless events occur which would alter the likelihood of a fundamental change or reorganization event, the value of the Fundamental Change and Reorganization Conversion reflects the value as of the issuance date, amortized for the passage of time. The Fundamental Change and Reorganization Conversion value exceeded the value of the embedded conversion features derivative liability at December 31, 2017 resulting in the derivative being reported as an asset.</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Taxes</w:t>
      </w:r>
    </w:p>
    <w:p>
      <w:pPr>
        <w:spacing w:after="0" w:line="106" w:lineRule="exact"/>
        <w:rPr>
          <w:sz w:val="20"/>
          <w:szCs w:val="20"/>
          <w:color w:val="auto"/>
        </w:rPr>
      </w:pPr>
    </w:p>
    <w:p>
      <w:pPr>
        <w:spacing w:after="0" w:line="272" w:lineRule="auto"/>
        <w:rPr>
          <w:sz w:val="20"/>
          <w:szCs w:val="20"/>
          <w:color w:val="auto"/>
        </w:rPr>
      </w:pPr>
      <w:r>
        <w:rPr>
          <w:rFonts w:ascii="Arial" w:cs="Arial" w:eastAsia="Arial" w:hAnsi="Arial"/>
          <w:sz w:val="15"/>
          <w:szCs w:val="15"/>
          <w:color w:val="auto"/>
        </w:rPr>
        <w:t>Kodak recognizes deferred tax liabilities and assets for the expected future tax consequences of operating losses, credit carry-forwards and temporary differences between the carrying amounts and tax basis of Kodak’s assets and liabilities. Kodak records a valuation allowance to reduce its net deferred tax assets to the amount that is more likely than not to be realized. Kodak has considered forecasted earnings, future taxable income, the geographical mix of earnings in the jurisdictions in which Kodak operates and prudent and feasible tax planning strategies in determining the need for these valuation allowances. As of December 31, 2017, Kodak has net deferred tax assets before valuation allowances of approximately $1,028 million and a valuation allowance related to those net deferred tax assets of approximately $856 million, resulting in net deferred tax assets of approximately $172 million. The net deferred tax assets can be used to offset taxable income in future periods and reduce Kodak’s income tax payable in those future periods. At this time, it is considered more likely than not that taxable income in the future will be sufficient to allow realization of these net deferred tax assets. However, if Kodak is unable to generate sufficient taxable income, then a valuation allowance to reduce net deferred tax assets may be required, which could materially increase expenses in the period the valuation allowance is recognized. Conversely, if Kodak were to make a determination that it is more likely than not that deferred tax assets, for which there is currently a valuation allowance, would be realized, the related valuation allowance would be reduced and a benefit to earnings would be recorded. Kodak considers both positive and negative evidence in determining whether a valuation allowance is needed by territory, including, but not limited to, whether particular entities are in three-year cumulative income positions. During 2017, Kodak determined that it was more likely than not that a portion of the deferred tax assets outside the U.S. would be realized as a result of increased profits in a location outside the U.S. and accordingly, recorded a benefit of $101 million associated with the release of a valuation allowance on those deferred tax assets. Additionally, during 2017, Kodak determined that it was more likely than not that a portion of the deferred tax assets outside the U.S. would not be realized due to reduced manufacturing volumes negatively impacting profitability in a location outside the U.S. and accordingly, recorded a provision of $7 million associated with the establishment of a valuation allowance on those deferred tax assets.</w:t>
      </w:r>
    </w:p>
    <w:p>
      <w:pPr>
        <w:spacing w:after="0" w:line="63" w:lineRule="exact"/>
        <w:rPr>
          <w:sz w:val="20"/>
          <w:szCs w:val="20"/>
          <w:color w:val="auto"/>
        </w:rPr>
      </w:pPr>
    </w:p>
    <w:p>
      <w:pPr>
        <w:ind w:right="40"/>
        <w:spacing w:after="0" w:line="257" w:lineRule="auto"/>
        <w:rPr>
          <w:sz w:val="20"/>
          <w:szCs w:val="20"/>
          <w:color w:val="auto"/>
        </w:rPr>
      </w:pPr>
      <w:r>
        <w:rPr>
          <w:rFonts w:ascii="Arial" w:cs="Arial" w:eastAsia="Arial" w:hAnsi="Arial"/>
          <w:sz w:val="16"/>
          <w:szCs w:val="16"/>
          <w:color w:val="auto"/>
        </w:rPr>
        <w:t>Kodak continues to improve profitability in its businesses, particularly outside the U.S. Accordingly, Kodak may be able to make the determination that the realization of those deferred tax assets in certain foreign jurisdictions are more likely than not in the near future. If Kodak was to make a determination that it is more likely than not that deferred tax assets, for which there is currently a valuation allowance, would be realized, the related valuation allowance would be reduced and a benefit to earnings would be recorded. Kodak will continue to evaluate whether valuation allowances are needed, at a jurisdictional level, in future reporting periods. It is possible that sufficient positive evidence, including sustained profitability, may become available in future periods with respect to one or more jurisdictions to reach a conclusion that all or part of the valuation allowance with respect to such jurisdictions could be reversed.</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62865</wp:posOffset>
            </wp:positionV>
            <wp:extent cx="7301865" cy="406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301865" cy="40640"/>
                    </a:xfrm>
                    <a:prstGeom prst="rect">
                      <a:avLst/>
                    </a:prstGeom>
                    <a:noFill/>
                  </pic:spPr>
                </pic:pic>
              </a:graphicData>
            </a:graphic>
          </wp:anchor>
        </w:drawing>
      </w:r>
    </w:p>
    <w:p>
      <w:pPr>
        <w:sectPr>
          <w:pgSz w:w="11900" w:h="16838" w:orient="portrait"/>
          <w:cols w:equalWidth="0" w:num="1">
            <w:col w:w="11420"/>
          </w:cols>
          <w:pgMar w:left="240" w:top="224" w:right="239" w:bottom="1440" w:gutter="0" w:footer="0" w:header="0"/>
        </w:sectPr>
      </w:pPr>
    </w:p>
    <w:bookmarkStart w:id="34" w:name="page35"/>
    <w:bookmarkEnd w:id="34"/>
    <w:p>
      <w:pPr>
        <w:spacing w:after="0" w:line="255" w:lineRule="auto"/>
        <w:rPr>
          <w:sz w:val="20"/>
          <w:szCs w:val="20"/>
          <w:color w:val="auto"/>
        </w:rPr>
      </w:pPr>
      <w:r>
        <w:rPr>
          <w:rFonts w:ascii="Arial" w:cs="Arial" w:eastAsia="Arial" w:hAnsi="Arial"/>
          <w:sz w:val="16"/>
          <w:szCs w:val="16"/>
          <w:color w:val="auto"/>
        </w:rPr>
        <w:t>Utilization of post-emergence net operating losses (“NOL”) and tax credits may be subject to limitations in the event of significant changes in stock ownership of the Company in the future. Section 382 of the Internal Revenue Code of 1986, as amended, imposes annual limitations on the utilization of NOL carryforwards, other tax carryforwards, and certain built-in losses as defined under that Section, upon an ownership change. In general terms, an ownership change may result from transactions that increase the aggregate ownership of five percent stockholders in Kodak’s stock by more than 50 percentage points over a three-year testing period. The Company has a relatively high concentration of five percent stockholders. There have been reported transactions within the testing period that, combined with future transactions, could aggregate to an ownership change during the testing period in excess of 50 percentage points. A Section 382 ownership change would significantly impair Kodak’s ability to utilize NOLs and tax credits in the U.S. As of December 31, 2017, Kodak had available U.S. NOL carry-forwards for income tax purposes of approximately $633 million and unused foreign tax credits of $343 million. Any impairment of these tax attributes would be fully offset by a corresponding decrease in Kodak’s U.S. valuation allowance, which would result in no net tax provision.</w:t>
      </w:r>
    </w:p>
    <w:p>
      <w:pPr>
        <w:spacing w:after="0" w:line="175"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On December 22, 2017, the 2017 Tax Act was signed into law making significant changes to the Internal Revenue Code. (Refer to Note 15, “Income Taxes”). Changes include, but are not limited to, a one-time transition tax on the mandatory deemed repatriation of cumulative foreign earnings as of December 31, 2017. The one-time transition tax as of December 31, 2017 resulted in the recognition of a previously recorded deferred tax liability on the undistributed foreign earnings and was fully offset by Kodak’s U.S. valuation allowance, resulting in no net tax benefit. Kodak had a deferred tax liability (net of related foreign tax credits) of $56 million on the foreign subsidiaries’ undistributed earnings as of December 31, 2016. Kodak has a deferred tax liability of $20 million for the potential foreign withholding taxes on the undistributed earnings as of December 31, 2017 and 2016.</w:t>
      </w:r>
    </w:p>
    <w:p>
      <w:pPr>
        <w:spacing w:after="0" w:line="75"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In general, the amount of tax expense or benefit from continuing operations is determined without regard to the tax effects of other categories of income or loss, such as Other comprehensive (loss) income. However, an exception to this rule applies when there is a loss from continuing operations and income from items outside of continuing operations that must be considered. This exception requires that income from discontinued operations and items charged or credited directly to other comprehensive income be considered in determining the amount of tax benefit that results from a loss in continuing operations. This exception affects the allocation of the tax provision amongst categories of income.</w:t>
      </w:r>
    </w:p>
    <w:p>
      <w:pPr>
        <w:spacing w:after="0" w:line="71" w:lineRule="exact"/>
        <w:rPr>
          <w:sz w:val="20"/>
          <w:szCs w:val="20"/>
          <w:color w:val="auto"/>
        </w:rPr>
      </w:pPr>
    </w:p>
    <w:p>
      <w:pPr>
        <w:ind w:right="80"/>
        <w:spacing w:after="0" w:line="310" w:lineRule="auto"/>
        <w:rPr>
          <w:sz w:val="20"/>
          <w:szCs w:val="20"/>
          <w:color w:val="auto"/>
        </w:rPr>
      </w:pPr>
      <w:r>
        <w:rPr>
          <w:rFonts w:ascii="Arial" w:cs="Arial" w:eastAsia="Arial" w:hAnsi="Arial"/>
          <w:sz w:val="14"/>
          <w:szCs w:val="14"/>
          <w:color w:val="auto"/>
        </w:rPr>
        <w:t>Kodak operates within multiple taxing jurisdictions worldwide and is subject to audit in these jurisdictions. These audits can involve complex issues, which may require an extended period of time for resolution. Management’s ongoing assessments of the outcomes of these issues and related tax positions require judgment, and although management believes that adequate provisions have been made for such issues, there is the possibility that the ultimate resolution of such issues could have an adverse effect on the earnings of Kodak. Conversely, if these issues are resolved favorably in the future, the related provisions would be reduced, thus having a positive impact on earnings.</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Pension and Other Postretirement Benefits</w:t>
      </w:r>
    </w:p>
    <w:p>
      <w:pPr>
        <w:spacing w:after="0" w:line="106"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auto"/>
        </w:rPr>
        <w:t>Kodak’s defined benefit pension and other postretirement benefit costs and obligations are estimated using several key assumptions. These assumptions, which are reviewed at least annually by Kodak, include the discount rate, long-term expected rate of return on plan assets (“EROA”), salary growth, healthcare cost trend rate, mortality trends and other economic and demographic factors. Actual results that differ from Kodak’s assumptions are recorded as unrecognized gains and losses and are amortized to earnings over the estimated future service period of the active participants in the plan or, if the plan is almost entirely inactive, the average remaining lifetime expectancy of inactive participants, to the extent such total net unrecognized gains and losses exceed 10% of the greater of the plan's projected benefit obligation or the calculated value of plan assets. Significant differences in actual experience or significant changes in future assumptions would affect Kodak’s pension and other postretirement benefit costs and obligations.</w:t>
      </w:r>
    </w:p>
    <w:p>
      <w:pPr>
        <w:spacing w:after="0" w:line="77" w:lineRule="exact"/>
        <w:rPr>
          <w:sz w:val="20"/>
          <w:szCs w:val="20"/>
          <w:color w:val="auto"/>
        </w:rPr>
      </w:pPr>
    </w:p>
    <w:p>
      <w:pPr>
        <w:spacing w:after="0" w:line="275" w:lineRule="auto"/>
        <w:rPr>
          <w:sz w:val="20"/>
          <w:szCs w:val="20"/>
          <w:color w:val="auto"/>
        </w:rPr>
      </w:pPr>
      <w:r>
        <w:rPr>
          <w:rFonts w:ascii="Arial" w:cs="Arial" w:eastAsia="Arial" w:hAnsi="Arial"/>
          <w:sz w:val="15"/>
          <w:szCs w:val="15"/>
          <w:color w:val="auto"/>
        </w:rPr>
        <w:t>Asset and liability modeling studies are utilized by Kodak to adjust asset exposures and review a liability hedging program through the use of forward-looking correlation, risk and return estimates. Those forward-looking estimates of correlation, risk and return generated from the modeling studies are also used to estimate the EROA. The EROA is estimated utilizing a forward-looking building block model factoring in the expected risk of each asset category, return and correlation over a five to seven-year horizon, and weighting the exposures by the current asset allocation. Historical inputs are utilized in the forecasting model to frame the current market environment with adjustments made based on the forward-looking view. Kodak aggregates investments into major asset categories based on the underlying benchmark of the strategy. Kodak’s asset categories include broadly diversified exposure to U.S. and non-U.S. equities, U.S. and non-U.S. government and corporate bonds, inflation-linked bonds, commodities and absolute return strategies. Each allocation to these major asset categories is determined within the overall asset allocation to accomplish unique objectives, including enhancing portfolio return, providing portfolio diversification, or hedging plan liabilities.</w:t>
      </w:r>
    </w:p>
    <w:p>
      <w:pPr>
        <w:spacing w:after="0" w:line="63" w:lineRule="exact"/>
        <w:rPr>
          <w:sz w:val="20"/>
          <w:szCs w:val="20"/>
          <w:color w:val="auto"/>
        </w:rPr>
      </w:pPr>
    </w:p>
    <w:p>
      <w:pPr>
        <w:ind w:right="120"/>
        <w:spacing w:after="0" w:line="310" w:lineRule="auto"/>
        <w:rPr>
          <w:sz w:val="20"/>
          <w:szCs w:val="20"/>
          <w:color w:val="auto"/>
        </w:rPr>
      </w:pPr>
      <w:r>
        <w:rPr>
          <w:rFonts w:ascii="Arial" w:cs="Arial" w:eastAsia="Arial" w:hAnsi="Arial"/>
          <w:sz w:val="14"/>
          <w:szCs w:val="14"/>
          <w:color w:val="auto"/>
        </w:rPr>
        <w:t>The EROA, once set, is applied to the calculated value of plan assets in the determination of the expected return component of Kodak’s pension expense. Kodak uses a calculated value of plan assets, which recognizes gains and losses in the fair value of assets over a four-year period, to calculate expected return on assets. At December 31, 2017, the calculated value of the assets of Kodak’s major U.S. and non-U.S. defined benefit pension plans was approximately $4.4 billion and the fair value was approximately $4.5 billion. Asset gains and losses that are not yet reflected in the calculated value of plan assets are not included in amortization of unrecognized gains and losses.</w:t>
      </w:r>
    </w:p>
    <w:p>
      <w:pPr>
        <w:spacing w:after="0" w:line="38" w:lineRule="exact"/>
        <w:rPr>
          <w:sz w:val="20"/>
          <w:szCs w:val="20"/>
          <w:color w:val="auto"/>
        </w:rPr>
      </w:pPr>
    </w:p>
    <w:p>
      <w:pPr>
        <w:ind w:right="260"/>
        <w:spacing w:after="0" w:line="266" w:lineRule="auto"/>
        <w:rPr>
          <w:sz w:val="20"/>
          <w:szCs w:val="20"/>
          <w:color w:val="auto"/>
        </w:rPr>
      </w:pPr>
      <w:r>
        <w:rPr>
          <w:rFonts w:ascii="Arial" w:cs="Arial" w:eastAsia="Arial" w:hAnsi="Arial"/>
          <w:sz w:val="16"/>
          <w:szCs w:val="16"/>
          <w:color w:val="auto"/>
        </w:rPr>
        <w:t>Kodak reviews its EROA assumption annually. To facilitate this review, every three years, or when market conditions change materially, Kodak’s larger plans will undertake asset allocation or asset and liability modeling studies. The weighted average EROA used to determine the 2017 net pension expense for major U.S. and non-U.S. defined benefit pension plans was 7.00% and 4.21%, respectively.</w:t>
      </w:r>
    </w:p>
    <w:p>
      <w:pPr>
        <w:spacing w:after="0" w:line="65" w:lineRule="exact"/>
        <w:rPr>
          <w:sz w:val="20"/>
          <w:szCs w:val="20"/>
          <w:color w:val="auto"/>
        </w:rPr>
      </w:pPr>
    </w:p>
    <w:p>
      <w:pPr>
        <w:ind w:right="840"/>
        <w:spacing w:after="0" w:line="280" w:lineRule="auto"/>
        <w:rPr>
          <w:sz w:val="20"/>
          <w:szCs w:val="20"/>
          <w:color w:val="auto"/>
        </w:rPr>
      </w:pPr>
      <w:r>
        <w:rPr>
          <w:rFonts w:ascii="Arial" w:cs="Arial" w:eastAsia="Arial" w:hAnsi="Arial"/>
          <w:sz w:val="16"/>
          <w:szCs w:val="16"/>
          <w:color w:val="auto"/>
        </w:rPr>
        <w:t>Generally, Kodak bases the discount rate assumption for its significant plans on high quality corporate bond yields in the respective countries as of the measurement date. Specifically, for its U.S., Canadian, Euro-zone and UK plans, Kodak determines a discount rate using a cash flow model to</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62865</wp:posOffset>
            </wp:positionV>
            <wp:extent cx="7301865" cy="406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301865" cy="4064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35" w:name="page36"/>
    <w:bookmarkEnd w:id="35"/>
    <w:p>
      <w:pPr>
        <w:spacing w:after="0" w:line="266" w:lineRule="auto"/>
        <w:rPr>
          <w:sz w:val="20"/>
          <w:szCs w:val="20"/>
          <w:color w:val="auto"/>
        </w:rPr>
      </w:pPr>
      <w:r>
        <w:rPr>
          <w:rFonts w:ascii="Arial" w:cs="Arial" w:eastAsia="Arial" w:hAnsi="Arial"/>
          <w:sz w:val="16"/>
          <w:szCs w:val="16"/>
          <w:color w:val="auto"/>
        </w:rPr>
        <w:t>incorporate the expected timing of benefit payments and an AA-rated corporate bond yield curve. For Kodak's U.S. plans, the Citigroup Above Median Pension Discount Curve is used. For Kodak’s other non-U.S. plans, discount rates are determined by comparison to published local high quality bond yields or indices considering estimated plan duration and removing any outlying bonds, as warranted.</w:t>
      </w:r>
    </w:p>
    <w:p>
      <w:pPr>
        <w:spacing w:after="0" w:line="65" w:lineRule="exact"/>
        <w:rPr>
          <w:sz w:val="20"/>
          <w:szCs w:val="20"/>
          <w:color w:val="auto"/>
        </w:rPr>
      </w:pPr>
    </w:p>
    <w:p>
      <w:pPr>
        <w:ind w:right="560"/>
        <w:spacing w:after="0" w:line="280" w:lineRule="auto"/>
        <w:rPr>
          <w:sz w:val="20"/>
          <w:szCs w:val="20"/>
          <w:color w:val="auto"/>
        </w:rPr>
      </w:pPr>
      <w:r>
        <w:rPr>
          <w:rFonts w:ascii="Arial" w:cs="Arial" w:eastAsia="Arial" w:hAnsi="Arial"/>
          <w:sz w:val="16"/>
          <w:szCs w:val="16"/>
          <w:color w:val="auto"/>
        </w:rPr>
        <w:t>Kodak uses the spot yield curve approach to estimate the service and interest costs by applying the specific spot rates along the yield curve used to determine the benefit obligations to relevant projected cash outflows.</w:t>
      </w:r>
    </w:p>
    <w:p>
      <w:pPr>
        <w:spacing w:after="0" w:line="54" w:lineRule="exact"/>
        <w:rPr>
          <w:sz w:val="20"/>
          <w:szCs w:val="20"/>
          <w:color w:val="auto"/>
        </w:rPr>
      </w:pPr>
    </w:p>
    <w:p>
      <w:pPr>
        <w:ind w:right="100"/>
        <w:spacing w:after="0" w:line="280" w:lineRule="auto"/>
        <w:rPr>
          <w:sz w:val="20"/>
          <w:szCs w:val="20"/>
          <w:color w:val="auto"/>
        </w:rPr>
      </w:pPr>
      <w:r>
        <w:rPr>
          <w:rFonts w:ascii="Arial" w:cs="Arial" w:eastAsia="Arial" w:hAnsi="Arial"/>
          <w:sz w:val="16"/>
          <w:szCs w:val="16"/>
          <w:color w:val="auto"/>
        </w:rPr>
        <w:t>The salary growth assumptions are determined based on Kodak’s long-term actual experience and future and near-term outlook. The healthcare cost trend rate assumptions are based on historical cost and payment data, the near-term outlook and an assessment of the likely long-term trends.</w:t>
      </w:r>
    </w:p>
    <w:p>
      <w:pPr>
        <w:spacing w:after="0" w:line="54" w:lineRule="exact"/>
        <w:rPr>
          <w:sz w:val="20"/>
          <w:szCs w:val="20"/>
          <w:color w:val="auto"/>
        </w:rPr>
      </w:pPr>
    </w:p>
    <w:p>
      <w:pPr>
        <w:ind w:right="60"/>
        <w:spacing w:after="0" w:line="280" w:lineRule="auto"/>
        <w:rPr>
          <w:sz w:val="20"/>
          <w:szCs w:val="20"/>
          <w:color w:val="auto"/>
        </w:rPr>
      </w:pPr>
      <w:r>
        <w:rPr>
          <w:rFonts w:ascii="Arial" w:cs="Arial" w:eastAsia="Arial" w:hAnsi="Arial"/>
          <w:sz w:val="16"/>
          <w:szCs w:val="16"/>
          <w:color w:val="auto"/>
        </w:rPr>
        <w:t>The following table illustrates the sensitivity to a change to certain key assumptions used in the calculation of expense for the year ending December 31, 2018 and the projected benefit obligation (“PBO”) at December 31, 2017 for Kodak's major U.S. and non-U.S. defined benefit pension plans:</w:t>
      </w:r>
    </w:p>
    <w:p>
      <w:pPr>
        <w:spacing w:after="0" w:line="163" w:lineRule="exact"/>
        <w:rPr>
          <w:sz w:val="20"/>
          <w:szCs w:val="20"/>
          <w:color w:val="auto"/>
        </w:rPr>
      </w:pPr>
    </w:p>
    <w:tbl>
      <w:tblPr>
        <w:tblLayout w:type="fixed"/>
        <w:tblInd w:w="580" w:type="dxa"/>
        <w:tblCellMar>
          <w:top w:w="0" w:type="dxa"/>
          <w:left w:w="0" w:type="dxa"/>
          <w:bottom w:w="0" w:type="dxa"/>
          <w:right w:w="0" w:type="dxa"/>
        </w:tblCellMar>
      </w:tblPr>
      <w:tr>
        <w:trPr>
          <w:trHeight w:val="149"/>
        </w:trPr>
        <w:tc>
          <w:tcPr>
            <w:tcW w:w="40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20" w:type="dxa"/>
            <w:vAlign w:val="bottom"/>
            <w:gridSpan w:val="3"/>
          </w:tcPr>
          <w:p>
            <w:pPr>
              <w:jc w:val="center"/>
              <w:ind w:right="396"/>
              <w:spacing w:after="0"/>
              <w:rPr>
                <w:sz w:val="20"/>
                <w:szCs w:val="20"/>
                <w:color w:val="auto"/>
              </w:rPr>
            </w:pPr>
            <w:r>
              <w:rPr>
                <w:rFonts w:ascii="Arial" w:cs="Arial" w:eastAsia="Arial" w:hAnsi="Arial"/>
                <w:sz w:val="13"/>
                <w:szCs w:val="13"/>
                <w:b w:val="1"/>
                <w:bCs w:val="1"/>
                <w:color w:val="auto"/>
                <w:w w:val="89"/>
              </w:rPr>
              <w:t>Impact on 2018</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20" w:type="dxa"/>
            <w:vAlign w:val="bottom"/>
            <w:gridSpan w:val="3"/>
          </w:tcPr>
          <w:p>
            <w:pPr>
              <w:jc w:val="center"/>
              <w:ind w:right="136"/>
              <w:spacing w:after="0"/>
              <w:rPr>
                <w:sz w:val="20"/>
                <w:szCs w:val="20"/>
                <w:color w:val="auto"/>
              </w:rPr>
            </w:pPr>
            <w:r>
              <w:rPr>
                <w:rFonts w:ascii="Arial" w:cs="Arial" w:eastAsia="Arial" w:hAnsi="Arial"/>
                <w:sz w:val="13"/>
                <w:szCs w:val="13"/>
                <w:b w:val="1"/>
                <w:bCs w:val="1"/>
                <w:color w:val="auto"/>
                <w:w w:val="92"/>
              </w:rPr>
              <w:t>Impact on PBO</w:t>
            </w: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4040" w:type="dxa"/>
            <w:vAlign w:val="bottom"/>
            <w:vMerge w:val="restart"/>
          </w:tcPr>
          <w:p>
            <w:pPr>
              <w:spacing w:after="0"/>
              <w:rPr>
                <w:sz w:val="20"/>
                <w:szCs w:val="20"/>
                <w:color w:val="auto"/>
              </w:rPr>
            </w:pPr>
            <w:r>
              <w:rPr>
                <w:rFonts w:ascii="Arial" w:cs="Arial" w:eastAsia="Arial" w:hAnsi="Arial"/>
                <w:sz w:val="13"/>
                <w:szCs w:val="13"/>
                <w:b w:val="1"/>
                <w:bCs w:val="1"/>
                <w:color w:val="auto"/>
              </w:rPr>
              <w:t>(in millions)</w:t>
            </w:r>
          </w:p>
        </w:tc>
        <w:tc>
          <w:tcPr>
            <w:tcW w:w="1300" w:type="dxa"/>
            <w:vAlign w:val="bottom"/>
          </w:tcPr>
          <w:p>
            <w:pPr>
              <w:spacing w:after="0"/>
              <w:rPr>
                <w:sz w:val="11"/>
                <w:szCs w:val="11"/>
                <w:color w:val="auto"/>
              </w:rPr>
            </w:pPr>
          </w:p>
        </w:tc>
        <w:tc>
          <w:tcPr>
            <w:tcW w:w="2080" w:type="dxa"/>
            <w:vAlign w:val="bottom"/>
            <w:gridSpan w:val="4"/>
          </w:tcPr>
          <w:p>
            <w:pPr>
              <w:jc w:val="center"/>
              <w:ind w:left="136"/>
              <w:spacing w:after="0" w:line="133" w:lineRule="exact"/>
              <w:rPr>
                <w:sz w:val="20"/>
                <w:szCs w:val="20"/>
                <w:color w:val="auto"/>
              </w:rPr>
            </w:pPr>
            <w:r>
              <w:rPr>
                <w:rFonts w:ascii="Arial" w:cs="Arial" w:eastAsia="Arial" w:hAnsi="Arial"/>
                <w:sz w:val="13"/>
                <w:szCs w:val="13"/>
                <w:b w:val="1"/>
                <w:bCs w:val="1"/>
                <w:color w:val="auto"/>
                <w:w w:val="88"/>
              </w:rPr>
              <w:t>Pre-Tax Pension Expense</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20" w:type="dxa"/>
            <w:vAlign w:val="bottom"/>
            <w:gridSpan w:val="3"/>
          </w:tcPr>
          <w:p>
            <w:pPr>
              <w:jc w:val="center"/>
              <w:ind w:right="116"/>
              <w:spacing w:after="0" w:line="133" w:lineRule="exact"/>
              <w:rPr>
                <w:sz w:val="20"/>
                <w:szCs w:val="20"/>
                <w:color w:val="auto"/>
              </w:rPr>
            </w:pPr>
            <w:r>
              <w:rPr>
                <w:rFonts w:ascii="Arial" w:cs="Arial" w:eastAsia="Arial" w:hAnsi="Arial"/>
                <w:sz w:val="13"/>
                <w:szCs w:val="13"/>
                <w:b w:val="1"/>
                <w:bCs w:val="1"/>
                <w:color w:val="auto"/>
                <w:w w:val="88"/>
              </w:rPr>
              <w:t>December 31, 2017</w:t>
            </w: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040" w:type="dxa"/>
            <w:vAlign w:val="bottom"/>
            <w:vMerge w:val="continue"/>
          </w:tcPr>
          <w:p>
            <w:pPr>
              <w:spacing w:after="0"/>
              <w:rPr>
                <w:sz w:val="13"/>
                <w:szCs w:val="13"/>
                <w:color w:val="auto"/>
              </w:rPr>
            </w:pPr>
          </w:p>
        </w:tc>
        <w:tc>
          <w:tcPr>
            <w:tcW w:w="1300" w:type="dxa"/>
            <w:vAlign w:val="bottom"/>
          </w:tcPr>
          <w:p>
            <w:pPr>
              <w:spacing w:after="0"/>
              <w:rPr>
                <w:sz w:val="13"/>
                <w:szCs w:val="13"/>
                <w:color w:val="auto"/>
              </w:rPr>
            </w:pPr>
          </w:p>
        </w:tc>
        <w:tc>
          <w:tcPr>
            <w:tcW w:w="2080" w:type="dxa"/>
            <w:vAlign w:val="bottom"/>
            <w:tcBorders>
              <w:bottom w:val="single" w:sz="8" w:color="auto"/>
            </w:tcBorders>
            <w:gridSpan w:val="4"/>
          </w:tcPr>
          <w:p>
            <w:pPr>
              <w:jc w:val="center"/>
              <w:ind w:left="136"/>
              <w:spacing w:after="0"/>
              <w:rPr>
                <w:sz w:val="20"/>
                <w:szCs w:val="20"/>
                <w:color w:val="auto"/>
              </w:rPr>
            </w:pPr>
            <w:r>
              <w:rPr>
                <w:rFonts w:ascii="Arial" w:cs="Arial" w:eastAsia="Arial" w:hAnsi="Arial"/>
                <w:sz w:val="13"/>
                <w:szCs w:val="13"/>
                <w:b w:val="1"/>
                <w:bCs w:val="1"/>
                <w:color w:val="auto"/>
                <w:w w:val="87"/>
              </w:rPr>
              <w:t>Increase (Decrease)</w:t>
            </w:r>
          </w:p>
        </w:tc>
        <w:tc>
          <w:tcPr>
            <w:tcW w:w="3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860" w:type="dxa"/>
            <w:vAlign w:val="bottom"/>
            <w:tcBorders>
              <w:bottom w:val="single" w:sz="8" w:color="auto"/>
            </w:tcBorders>
            <w:gridSpan w:val="4"/>
          </w:tcPr>
          <w:p>
            <w:pPr>
              <w:jc w:val="center"/>
              <w:ind w:left="396"/>
              <w:spacing w:after="0"/>
              <w:rPr>
                <w:sz w:val="20"/>
                <w:szCs w:val="20"/>
                <w:color w:val="auto"/>
              </w:rPr>
            </w:pPr>
            <w:r>
              <w:rPr>
                <w:rFonts w:ascii="Arial" w:cs="Arial" w:eastAsia="Arial" w:hAnsi="Arial"/>
                <w:sz w:val="13"/>
                <w:szCs w:val="13"/>
                <w:b w:val="1"/>
                <w:bCs w:val="1"/>
                <w:color w:val="auto"/>
                <w:w w:val="87"/>
              </w:rPr>
              <w:t>Increase (Decrease)</w:t>
            </w:r>
          </w:p>
        </w:tc>
        <w:tc>
          <w:tcPr>
            <w:tcW w:w="5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4040" w:type="dxa"/>
            <w:vAlign w:val="bottom"/>
            <w:tcBorders>
              <w:bottom w:val="single" w:sz="8" w:color="CFF0FC"/>
            </w:tcBorders>
          </w:tcPr>
          <w:p>
            <w:pPr>
              <w:spacing w:after="0"/>
              <w:rPr>
                <w:sz w:val="11"/>
                <w:szCs w:val="11"/>
                <w:color w:val="auto"/>
              </w:rPr>
            </w:pPr>
          </w:p>
        </w:tc>
        <w:tc>
          <w:tcPr>
            <w:tcW w:w="1300" w:type="dxa"/>
            <w:vAlign w:val="bottom"/>
            <w:tcBorders>
              <w:bottom w:val="single" w:sz="8" w:color="CFF0FC"/>
            </w:tcBorders>
          </w:tcPr>
          <w:p>
            <w:pPr>
              <w:spacing w:after="0"/>
              <w:rPr>
                <w:sz w:val="11"/>
                <w:szCs w:val="11"/>
                <w:color w:val="auto"/>
              </w:rPr>
            </w:pPr>
          </w:p>
        </w:tc>
        <w:tc>
          <w:tcPr>
            <w:tcW w:w="660" w:type="dxa"/>
            <w:vAlign w:val="bottom"/>
            <w:tcBorders>
              <w:bottom w:val="single" w:sz="8" w:color="auto"/>
            </w:tcBorders>
          </w:tcPr>
          <w:p>
            <w:pPr>
              <w:jc w:val="right"/>
              <w:spacing w:after="0" w:line="138" w:lineRule="exact"/>
              <w:rPr>
                <w:sz w:val="20"/>
                <w:szCs w:val="20"/>
                <w:color w:val="auto"/>
              </w:rPr>
            </w:pPr>
            <w:r>
              <w:rPr>
                <w:rFonts w:ascii="Arial" w:cs="Arial" w:eastAsia="Arial" w:hAnsi="Arial"/>
                <w:sz w:val="13"/>
                <w:szCs w:val="13"/>
                <w:b w:val="1"/>
                <w:bCs w:val="1"/>
                <w:color w:val="auto"/>
              </w:rPr>
              <w:t>U.S.</w:t>
            </w:r>
          </w:p>
        </w:tc>
        <w:tc>
          <w:tcPr>
            <w:tcW w:w="480" w:type="dxa"/>
            <w:vAlign w:val="bottom"/>
            <w:tcBorders>
              <w:bottom w:val="single" w:sz="8" w:color="auto"/>
            </w:tcBorders>
          </w:tcPr>
          <w:p>
            <w:pPr>
              <w:spacing w:after="0"/>
              <w:rPr>
                <w:sz w:val="11"/>
                <w:szCs w:val="11"/>
                <w:color w:val="auto"/>
              </w:rPr>
            </w:pPr>
          </w:p>
        </w:tc>
        <w:tc>
          <w:tcPr>
            <w:tcW w:w="120" w:type="dxa"/>
            <w:vAlign w:val="bottom"/>
            <w:tcBorders>
              <w:bottom w:val="single" w:sz="8" w:color="CFF0FC"/>
            </w:tcBorders>
          </w:tcPr>
          <w:p>
            <w:pPr>
              <w:spacing w:after="0"/>
              <w:rPr>
                <w:sz w:val="11"/>
                <w:szCs w:val="11"/>
                <w:color w:val="auto"/>
              </w:rPr>
            </w:pPr>
          </w:p>
        </w:tc>
        <w:tc>
          <w:tcPr>
            <w:tcW w:w="820" w:type="dxa"/>
            <w:vAlign w:val="bottom"/>
            <w:tcBorders>
              <w:bottom w:val="single" w:sz="8" w:color="auto"/>
            </w:tcBorders>
          </w:tcPr>
          <w:p>
            <w:pPr>
              <w:jc w:val="right"/>
              <w:spacing w:after="0" w:line="138" w:lineRule="exact"/>
              <w:rPr>
                <w:sz w:val="20"/>
                <w:szCs w:val="20"/>
                <w:color w:val="auto"/>
              </w:rPr>
            </w:pPr>
            <w:r>
              <w:rPr>
                <w:rFonts w:ascii="Arial" w:cs="Arial" w:eastAsia="Arial" w:hAnsi="Arial"/>
                <w:sz w:val="13"/>
                <w:szCs w:val="13"/>
                <w:b w:val="1"/>
                <w:bCs w:val="1"/>
                <w:color w:val="auto"/>
              </w:rPr>
              <w:t>Non-U.S.</w:t>
            </w:r>
          </w:p>
        </w:tc>
        <w:tc>
          <w:tcPr>
            <w:tcW w:w="320" w:type="dxa"/>
            <w:vAlign w:val="bottom"/>
            <w:tcBorders>
              <w:bottom w:val="single" w:sz="8" w:color="auto"/>
            </w:tcBorders>
          </w:tcPr>
          <w:p>
            <w:pPr>
              <w:spacing w:after="0"/>
              <w:rPr>
                <w:sz w:val="11"/>
                <w:szCs w:val="11"/>
                <w:color w:val="auto"/>
              </w:rPr>
            </w:pPr>
          </w:p>
        </w:tc>
        <w:tc>
          <w:tcPr>
            <w:tcW w:w="120" w:type="dxa"/>
            <w:vAlign w:val="bottom"/>
            <w:tcBorders>
              <w:bottom w:val="single" w:sz="8" w:color="CFF0FC"/>
            </w:tcBorders>
          </w:tcPr>
          <w:p>
            <w:pPr>
              <w:spacing w:after="0"/>
              <w:rPr>
                <w:sz w:val="11"/>
                <w:szCs w:val="11"/>
                <w:color w:val="auto"/>
              </w:rPr>
            </w:pPr>
          </w:p>
        </w:tc>
        <w:tc>
          <w:tcPr>
            <w:tcW w:w="640" w:type="dxa"/>
            <w:vAlign w:val="bottom"/>
            <w:tcBorders>
              <w:bottom w:val="single" w:sz="8" w:color="auto"/>
            </w:tcBorders>
          </w:tcPr>
          <w:p>
            <w:pPr>
              <w:ind w:left="400"/>
              <w:spacing w:after="0" w:line="138" w:lineRule="exact"/>
              <w:rPr>
                <w:sz w:val="20"/>
                <w:szCs w:val="20"/>
                <w:color w:val="auto"/>
              </w:rPr>
            </w:pPr>
            <w:r>
              <w:rPr>
                <w:rFonts w:ascii="Arial" w:cs="Arial" w:eastAsia="Arial" w:hAnsi="Arial"/>
                <w:sz w:val="13"/>
                <w:szCs w:val="13"/>
                <w:b w:val="1"/>
                <w:bCs w:val="1"/>
                <w:color w:val="auto"/>
                <w:w w:val="86"/>
              </w:rPr>
              <w:t>U.S.</w:t>
            </w:r>
          </w:p>
        </w:tc>
        <w:tc>
          <w:tcPr>
            <w:tcW w:w="520" w:type="dxa"/>
            <w:vAlign w:val="bottom"/>
            <w:tcBorders>
              <w:bottom w:val="single" w:sz="8" w:color="auto"/>
            </w:tcBorders>
          </w:tcPr>
          <w:p>
            <w:pPr>
              <w:spacing w:after="0"/>
              <w:rPr>
                <w:sz w:val="11"/>
                <w:szCs w:val="11"/>
                <w:color w:val="auto"/>
              </w:rPr>
            </w:pPr>
          </w:p>
        </w:tc>
        <w:tc>
          <w:tcPr>
            <w:tcW w:w="120" w:type="dxa"/>
            <w:vAlign w:val="bottom"/>
            <w:tcBorders>
              <w:bottom w:val="single" w:sz="8" w:color="CFF0FC"/>
            </w:tcBorders>
          </w:tcPr>
          <w:p>
            <w:pPr>
              <w:spacing w:after="0"/>
              <w:rPr>
                <w:sz w:val="11"/>
                <w:szCs w:val="11"/>
                <w:color w:val="auto"/>
              </w:rPr>
            </w:pPr>
          </w:p>
        </w:tc>
        <w:tc>
          <w:tcPr>
            <w:tcW w:w="1140" w:type="dxa"/>
            <w:vAlign w:val="bottom"/>
            <w:tcBorders>
              <w:bottom w:val="single" w:sz="8" w:color="auto"/>
            </w:tcBorders>
            <w:gridSpan w:val="2"/>
          </w:tcPr>
          <w:p>
            <w:pPr>
              <w:jc w:val="right"/>
              <w:ind w:right="299"/>
              <w:spacing w:after="0" w:line="138" w:lineRule="exact"/>
              <w:rPr>
                <w:sz w:val="20"/>
                <w:szCs w:val="20"/>
                <w:color w:val="auto"/>
              </w:rPr>
            </w:pPr>
            <w:r>
              <w:rPr>
                <w:rFonts w:ascii="Arial" w:cs="Arial" w:eastAsia="Arial" w:hAnsi="Arial"/>
                <w:sz w:val="13"/>
                <w:szCs w:val="13"/>
                <w:b w:val="1"/>
                <w:bCs w:val="1"/>
                <w:color w:val="auto"/>
              </w:rPr>
              <w:t>Non-U.S.</w:t>
            </w:r>
          </w:p>
        </w:tc>
        <w:tc>
          <w:tcPr>
            <w:tcW w:w="0" w:type="dxa"/>
            <w:vAlign w:val="bottom"/>
          </w:tcPr>
          <w:p>
            <w:pPr>
              <w:spacing w:after="0"/>
              <w:rPr>
                <w:sz w:val="1"/>
                <w:szCs w:val="1"/>
                <w:color w:val="auto"/>
              </w:rPr>
            </w:pPr>
          </w:p>
        </w:tc>
      </w:tr>
      <w:tr>
        <w:trPr>
          <w:trHeight w:val="198"/>
        </w:trPr>
        <w:tc>
          <w:tcPr>
            <w:tcW w:w="4040" w:type="dxa"/>
            <w:vAlign w:val="bottom"/>
            <w:shd w:val="clear" w:color="auto" w:fill="CFF0FC"/>
          </w:tcPr>
          <w:p>
            <w:pPr>
              <w:spacing w:after="0"/>
              <w:rPr>
                <w:sz w:val="20"/>
                <w:szCs w:val="20"/>
                <w:color w:val="auto"/>
              </w:rPr>
            </w:pPr>
            <w:r>
              <w:rPr>
                <w:rFonts w:ascii="Arial" w:cs="Arial" w:eastAsia="Arial" w:hAnsi="Arial"/>
                <w:sz w:val="16"/>
                <w:szCs w:val="16"/>
                <w:color w:val="auto"/>
              </w:rPr>
              <w:t>Change in assumption:</w:t>
            </w:r>
          </w:p>
        </w:tc>
        <w:tc>
          <w:tcPr>
            <w:tcW w:w="13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040" w:type="dxa"/>
            <w:vAlign w:val="bottom"/>
          </w:tcPr>
          <w:p>
            <w:pPr>
              <w:ind w:left="220"/>
              <w:spacing w:after="0"/>
              <w:rPr>
                <w:sz w:val="20"/>
                <w:szCs w:val="20"/>
                <w:color w:val="auto"/>
              </w:rPr>
            </w:pPr>
            <w:r>
              <w:rPr>
                <w:rFonts w:ascii="Arial" w:cs="Arial" w:eastAsia="Arial" w:hAnsi="Arial"/>
                <w:sz w:val="16"/>
                <w:szCs w:val="16"/>
                <w:color w:val="auto"/>
              </w:rPr>
              <w:t>25 basis point decrease in discount rate</w:t>
            </w:r>
          </w:p>
        </w:tc>
        <w:tc>
          <w:tcPr>
            <w:tcW w:w="1960" w:type="dxa"/>
            <w:vAlign w:val="bottom"/>
            <w:gridSpan w:val="2"/>
          </w:tcPr>
          <w:p>
            <w:pPr>
              <w:jc w:val="right"/>
              <w:ind w:right="516"/>
              <w:spacing w:after="0"/>
              <w:rPr>
                <w:sz w:val="20"/>
                <w:szCs w:val="20"/>
                <w:color w:val="auto"/>
              </w:rPr>
            </w:pPr>
            <w:r>
              <w:rPr>
                <w:rFonts w:ascii="Arial" w:cs="Arial" w:eastAsia="Arial" w:hAnsi="Arial"/>
                <w:sz w:val="16"/>
                <w:szCs w:val="16"/>
                <w:color w:val="auto"/>
              </w:rPr>
              <w:t>$</w:t>
            </w:r>
          </w:p>
        </w:tc>
        <w:tc>
          <w:tcPr>
            <w:tcW w:w="480" w:type="dxa"/>
            <w:vAlign w:val="bottom"/>
          </w:tcPr>
          <w:p>
            <w:pPr>
              <w:jc w:val="right"/>
              <w:ind w:right="43"/>
              <w:spacing w:after="0"/>
              <w:rPr>
                <w:sz w:val="20"/>
                <w:szCs w:val="20"/>
                <w:color w:val="auto"/>
              </w:rPr>
            </w:pPr>
            <w:r>
              <w:rPr>
                <w:rFonts w:ascii="Arial" w:cs="Arial" w:eastAsia="Arial" w:hAnsi="Arial"/>
                <w:sz w:val="16"/>
                <w:szCs w:val="16"/>
                <w:color w:val="auto"/>
              </w:rPr>
              <w:t>4</w:t>
            </w:r>
          </w:p>
        </w:tc>
        <w:tc>
          <w:tcPr>
            <w:tcW w:w="940" w:type="dxa"/>
            <w:vAlign w:val="bottom"/>
            <w:gridSpan w:val="2"/>
          </w:tcPr>
          <w:p>
            <w:pPr>
              <w:jc w:val="right"/>
              <w:ind w:right="676"/>
              <w:spacing w:after="0"/>
              <w:rPr>
                <w:sz w:val="20"/>
                <w:szCs w:val="20"/>
                <w:color w:val="auto"/>
              </w:rPr>
            </w:pPr>
            <w:r>
              <w:rPr>
                <w:rFonts w:ascii="Arial" w:cs="Arial" w:eastAsia="Arial" w:hAnsi="Arial"/>
                <w:sz w:val="16"/>
                <w:szCs w:val="16"/>
                <w:color w:val="auto"/>
              </w:rPr>
              <w:t>$</w:t>
            </w:r>
          </w:p>
        </w:tc>
        <w:tc>
          <w:tcPr>
            <w:tcW w:w="1080" w:type="dxa"/>
            <w:vAlign w:val="bottom"/>
            <w:gridSpan w:val="3"/>
          </w:tcPr>
          <w:p>
            <w:pPr>
              <w:ind w:left="40"/>
              <w:spacing w:after="0"/>
              <w:rPr>
                <w:sz w:val="20"/>
                <w:szCs w:val="20"/>
                <w:color w:val="auto"/>
              </w:rPr>
            </w:pPr>
            <w:r>
              <w:rPr>
                <w:rFonts w:ascii="Arial" w:cs="Arial" w:eastAsia="Arial" w:hAnsi="Arial"/>
                <w:sz w:val="16"/>
                <w:szCs w:val="16"/>
                <w:color w:val="auto"/>
              </w:rPr>
              <w:t>—   $</w:t>
            </w:r>
          </w:p>
        </w:tc>
        <w:tc>
          <w:tcPr>
            <w:tcW w:w="520" w:type="dxa"/>
            <w:vAlign w:val="bottom"/>
          </w:tcPr>
          <w:p>
            <w:pPr>
              <w:jc w:val="right"/>
              <w:ind w:right="45"/>
              <w:spacing w:after="0"/>
              <w:rPr>
                <w:sz w:val="20"/>
                <w:szCs w:val="20"/>
                <w:color w:val="auto"/>
              </w:rPr>
            </w:pPr>
            <w:r>
              <w:rPr>
                <w:rFonts w:ascii="Arial" w:cs="Arial" w:eastAsia="Arial" w:hAnsi="Arial"/>
                <w:sz w:val="16"/>
                <w:szCs w:val="16"/>
                <w:color w:val="auto"/>
              </w:rPr>
              <w:t>87</w:t>
            </w:r>
          </w:p>
        </w:tc>
        <w:tc>
          <w:tcPr>
            <w:tcW w:w="700" w:type="dxa"/>
            <w:vAlign w:val="bottom"/>
            <w:gridSpan w:val="2"/>
          </w:tcPr>
          <w:p>
            <w:pPr>
              <w:jc w:val="right"/>
              <w:ind w:right="456"/>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05"/>
        </w:trPr>
        <w:tc>
          <w:tcPr>
            <w:tcW w:w="4040" w:type="dxa"/>
            <w:vAlign w:val="bottom"/>
            <w:shd w:val="clear" w:color="auto" w:fill="CFF0FC"/>
          </w:tcPr>
          <w:p>
            <w:pPr>
              <w:ind w:left="220"/>
              <w:spacing w:after="0"/>
              <w:rPr>
                <w:sz w:val="20"/>
                <w:szCs w:val="20"/>
                <w:color w:val="auto"/>
              </w:rPr>
            </w:pPr>
            <w:r>
              <w:rPr>
                <w:rFonts w:ascii="Arial" w:cs="Arial" w:eastAsia="Arial" w:hAnsi="Arial"/>
                <w:sz w:val="16"/>
                <w:szCs w:val="16"/>
                <w:color w:val="auto"/>
              </w:rPr>
              <w:t>25 basis point increase in discount rate</w:t>
            </w:r>
          </w:p>
        </w:tc>
        <w:tc>
          <w:tcPr>
            <w:tcW w:w="13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480" w:type="dxa"/>
            <w:vAlign w:val="bottom"/>
            <w:shd w:val="clear" w:color="auto" w:fill="CFF0FC"/>
          </w:tcPr>
          <w:p>
            <w:pPr>
              <w:jc w:val="right"/>
              <w:ind w:right="43"/>
              <w:spacing w:after="0"/>
              <w:rPr>
                <w:sz w:val="20"/>
                <w:szCs w:val="20"/>
                <w:color w:val="auto"/>
              </w:rPr>
            </w:pPr>
            <w:r>
              <w:rPr>
                <w:rFonts w:ascii="Arial" w:cs="Arial" w:eastAsia="Arial" w:hAnsi="Arial"/>
                <w:sz w:val="16"/>
                <w:szCs w:val="16"/>
                <w:color w:val="auto"/>
              </w:rPr>
              <w:t>1</w:t>
            </w:r>
          </w:p>
        </w:tc>
        <w:tc>
          <w:tcPr>
            <w:tcW w:w="1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080" w:type="dxa"/>
            <w:vAlign w:val="bottom"/>
            <w:gridSpan w:val="3"/>
            <w:shd w:val="clear" w:color="auto" w:fill="CFF0FC"/>
          </w:tcPr>
          <w:p>
            <w:pPr>
              <w:jc w:val="right"/>
              <w:ind w:right="796"/>
              <w:spacing w:after="0"/>
              <w:rPr>
                <w:sz w:val="20"/>
                <w:szCs w:val="20"/>
                <w:color w:val="auto"/>
              </w:rPr>
            </w:pPr>
            <w:r>
              <w:rPr>
                <w:rFonts w:ascii="Arial" w:cs="Arial" w:eastAsia="Arial" w:hAnsi="Arial"/>
                <w:sz w:val="16"/>
                <w:szCs w:val="16"/>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(84)</w:t>
            </w:r>
          </w:p>
        </w:tc>
        <w:tc>
          <w:tcPr>
            <w:tcW w:w="12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05"/>
        </w:trPr>
        <w:tc>
          <w:tcPr>
            <w:tcW w:w="4040" w:type="dxa"/>
            <w:vAlign w:val="bottom"/>
          </w:tcPr>
          <w:p>
            <w:pPr>
              <w:ind w:left="220"/>
              <w:spacing w:after="0"/>
              <w:rPr>
                <w:sz w:val="20"/>
                <w:szCs w:val="20"/>
                <w:color w:val="auto"/>
              </w:rPr>
            </w:pPr>
            <w:r>
              <w:rPr>
                <w:rFonts w:ascii="Arial" w:cs="Arial" w:eastAsia="Arial" w:hAnsi="Arial"/>
                <w:sz w:val="16"/>
                <w:szCs w:val="16"/>
                <w:color w:val="auto"/>
              </w:rPr>
              <w:t>25 basis point decrease in EROA</w:t>
            </w:r>
          </w:p>
        </w:tc>
        <w:tc>
          <w:tcPr>
            <w:tcW w:w="1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jc w:val="right"/>
              <w:ind w:right="43"/>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20" w:type="dxa"/>
            <w:vAlign w:val="bottom"/>
          </w:tcPr>
          <w:p>
            <w:pPr>
              <w:jc w:val="right"/>
              <w:ind w:right="45"/>
              <w:spacing w:after="0"/>
              <w:rPr>
                <w:sz w:val="20"/>
                <w:szCs w:val="20"/>
                <w:color w:val="auto"/>
              </w:rPr>
            </w:pPr>
            <w:r>
              <w:rPr>
                <w:rFonts w:ascii="Arial" w:cs="Arial" w:eastAsia="Arial" w:hAnsi="Arial"/>
                <w:sz w:val="16"/>
                <w:szCs w:val="16"/>
                <w:color w:val="auto"/>
              </w:rPr>
              <w:t>N/A</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05"/>
        </w:trPr>
        <w:tc>
          <w:tcPr>
            <w:tcW w:w="4040" w:type="dxa"/>
            <w:vAlign w:val="bottom"/>
            <w:shd w:val="clear" w:color="auto" w:fill="CFF0FC"/>
          </w:tcPr>
          <w:p>
            <w:pPr>
              <w:ind w:left="220"/>
              <w:spacing w:after="0"/>
              <w:rPr>
                <w:sz w:val="20"/>
                <w:szCs w:val="20"/>
                <w:color w:val="auto"/>
              </w:rPr>
            </w:pPr>
            <w:r>
              <w:rPr>
                <w:rFonts w:ascii="Arial" w:cs="Arial" w:eastAsia="Arial" w:hAnsi="Arial"/>
                <w:sz w:val="16"/>
                <w:szCs w:val="16"/>
                <w:color w:val="auto"/>
              </w:rPr>
              <w:t>25 basis point increase in EROA</w:t>
            </w:r>
          </w:p>
        </w:tc>
        <w:tc>
          <w:tcPr>
            <w:tcW w:w="13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w:t>
            </w:r>
          </w:p>
        </w:tc>
        <w:tc>
          <w:tcPr>
            <w:tcW w:w="1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520" w:type="dxa"/>
            <w:vAlign w:val="bottom"/>
            <w:shd w:val="clear" w:color="auto" w:fill="CFF0FC"/>
          </w:tcPr>
          <w:p>
            <w:pPr>
              <w:jc w:val="right"/>
              <w:ind w:right="45"/>
              <w:spacing w:after="0"/>
              <w:rPr>
                <w:sz w:val="20"/>
                <w:szCs w:val="20"/>
                <w:color w:val="auto"/>
              </w:rPr>
            </w:pPr>
            <w:r>
              <w:rPr>
                <w:rFonts w:ascii="Arial" w:cs="Arial" w:eastAsia="Arial" w:hAnsi="Arial"/>
                <w:sz w:val="16"/>
                <w:szCs w:val="16"/>
                <w:color w:val="auto"/>
              </w:rPr>
              <w:t>N/A</w:t>
            </w:r>
          </w:p>
        </w:tc>
        <w:tc>
          <w:tcPr>
            <w:tcW w:w="12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5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bl>
    <w:p>
      <w:pPr>
        <w:spacing w:after="0" w:line="205" w:lineRule="exact"/>
        <w:rPr>
          <w:sz w:val="20"/>
          <w:szCs w:val="20"/>
          <w:color w:val="auto"/>
        </w:rPr>
      </w:pPr>
    </w:p>
    <w:p>
      <w:pPr>
        <w:spacing w:after="0" w:line="284" w:lineRule="auto"/>
        <w:rPr>
          <w:sz w:val="20"/>
          <w:szCs w:val="20"/>
          <w:color w:val="auto"/>
        </w:rPr>
      </w:pPr>
      <w:r>
        <w:rPr>
          <w:rFonts w:ascii="Arial" w:cs="Arial" w:eastAsia="Arial" w:hAnsi="Arial"/>
          <w:sz w:val="15"/>
          <w:szCs w:val="15"/>
          <w:color w:val="auto"/>
        </w:rPr>
        <w:t>Total pension income from continuing operations before special termination benefits, curtailments and settlements for the major defined benefit pension plan in the U.S. was $123 million for 2017 and is expected to be approximately $103 million in 2018. Pension income from continuing operations before special termination benefits, curtailments and settlements for the major non-U.S. defined benefit pension plans was $9 million for 2017 and is projected to be approximately $6 million in 2018. The reductions in income are driven primarily by lower 2018 EROA assumptions in the U.S., and higher expected 2018 loss amortization outside the U.S.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Inventories</w:t>
      </w:r>
    </w:p>
    <w:p>
      <w:pPr>
        <w:spacing w:after="0" w:line="106" w:lineRule="exact"/>
        <w:rPr>
          <w:sz w:val="20"/>
          <w:szCs w:val="20"/>
          <w:color w:val="auto"/>
        </w:rPr>
      </w:pPr>
    </w:p>
    <w:p>
      <w:pPr>
        <w:ind w:right="200"/>
        <w:spacing w:after="0" w:line="266" w:lineRule="auto"/>
        <w:rPr>
          <w:sz w:val="20"/>
          <w:szCs w:val="20"/>
          <w:color w:val="auto"/>
        </w:rPr>
      </w:pPr>
      <w:r>
        <w:rPr>
          <w:rFonts w:ascii="Arial" w:cs="Arial" w:eastAsia="Arial" w:hAnsi="Arial"/>
          <w:sz w:val="16"/>
          <w:szCs w:val="16"/>
          <w:color w:val="auto"/>
        </w:rPr>
        <w:t>Inventories are stated at the lower of cost or market. Carrying values of excess and obsolete inventories are reduced to net realizable value. Judgment is required to assess the ultimate demand for and realizable value of inventory. The analysis of inventory carrying values considers several factors including length of time inventory is on hand, historical sales, product shelf life, product life cycle, product category, and product obsolescence.</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Accounts Receivable Reserves</w:t>
      </w:r>
    </w:p>
    <w:p>
      <w:pPr>
        <w:spacing w:after="0" w:line="106" w:lineRule="exact"/>
        <w:rPr>
          <w:sz w:val="20"/>
          <w:szCs w:val="20"/>
          <w:color w:val="auto"/>
        </w:rPr>
      </w:pPr>
    </w:p>
    <w:p>
      <w:pPr>
        <w:ind w:right="120"/>
        <w:spacing w:after="0" w:line="266" w:lineRule="auto"/>
        <w:rPr>
          <w:sz w:val="20"/>
          <w:szCs w:val="20"/>
          <w:color w:val="auto"/>
        </w:rPr>
      </w:pPr>
      <w:r>
        <w:rPr>
          <w:rFonts w:ascii="Arial" w:cs="Arial" w:eastAsia="Arial" w:hAnsi="Arial"/>
          <w:sz w:val="16"/>
          <w:szCs w:val="16"/>
          <w:color w:val="auto"/>
        </w:rPr>
        <w:t>Accounts receivable reserves are based on historical collections experience as well as reserves for specific receivables deemed to be at risk for collection. The collectability of customer receivables is reviewed on an ongoing basis considering past due invoices and the current creditworthiness of each customer. Judgment is required in assessing the ultimate realization of accounts receivables.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New Accounting Pronouncements</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A description of new accounting pronouncements is contained in Note 1, “Summary of Significant Accounting Policies”.</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Revenue declined $112 million (6.8%) from 2016 to 2017 and $160 million from 2015 to 2016 (8.9%).</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Kodak’s strategy is to:</w:t>
      </w:r>
    </w:p>
    <w:p>
      <w:pPr>
        <w:spacing w:after="0" w:line="106" w:lineRule="exact"/>
        <w:rPr>
          <w:sz w:val="20"/>
          <w:szCs w:val="20"/>
          <w:color w:val="auto"/>
        </w:rPr>
      </w:pPr>
    </w:p>
    <w:p>
      <w:pPr>
        <w:ind w:left="1020" w:hanging="516"/>
        <w:spacing w:after="0"/>
        <w:tabs>
          <w:tab w:leader="none" w:pos="10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Use Kodak’s divisional structure to drive accountability, transparency, and speed of decision making;</w:t>
      </w:r>
    </w:p>
    <w:p>
      <w:pPr>
        <w:spacing w:after="0" w:line="106" w:lineRule="exact"/>
        <w:rPr>
          <w:rFonts w:ascii="Arial" w:cs="Arial" w:eastAsia="Arial" w:hAnsi="Arial"/>
          <w:sz w:val="16"/>
          <w:szCs w:val="16"/>
          <w:color w:val="auto"/>
        </w:rPr>
      </w:pPr>
    </w:p>
    <w:p>
      <w:pPr>
        <w:ind w:left="1020" w:right="240" w:hanging="516"/>
        <w:spacing w:after="0" w:line="280" w:lineRule="auto"/>
        <w:tabs>
          <w:tab w:leader="none" w:pos="10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Focus product investment in growth engines - Sonora, Prosper and Ultrastream, FLEXCEL NX Systems and Plates, Advanced Materials and 3D Printing and Software and Services;</w:t>
      </w:r>
    </w:p>
    <w:p>
      <w:pPr>
        <w:spacing w:after="0" w:line="54" w:lineRule="exact"/>
        <w:rPr>
          <w:rFonts w:ascii="Arial" w:cs="Arial" w:eastAsia="Arial" w:hAnsi="Arial"/>
          <w:sz w:val="16"/>
          <w:szCs w:val="16"/>
          <w:color w:val="auto"/>
        </w:rPr>
      </w:pPr>
    </w:p>
    <w:p>
      <w:pPr>
        <w:ind w:left="1020" w:hanging="516"/>
        <w:spacing w:after="0"/>
        <w:tabs>
          <w:tab w:leader="none" w:pos="10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Maintain market leadership position and cash flows associated with Print Systems;</w:t>
      </w:r>
    </w:p>
    <w:p>
      <w:pPr>
        <w:spacing w:after="0" w:line="106" w:lineRule="exact"/>
        <w:rPr>
          <w:rFonts w:ascii="Arial" w:cs="Arial" w:eastAsia="Arial" w:hAnsi="Arial"/>
          <w:sz w:val="16"/>
          <w:szCs w:val="16"/>
          <w:color w:val="auto"/>
        </w:rPr>
      </w:pPr>
    </w:p>
    <w:p>
      <w:pPr>
        <w:ind w:left="1020" w:hanging="516"/>
        <w:spacing w:after="0"/>
        <w:tabs>
          <w:tab w:leader="none" w:pos="10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Manage the expected decline in and maximize cash generated by mature businesses;</w:t>
      </w:r>
    </w:p>
    <w:p>
      <w:pPr>
        <w:spacing w:after="0" w:line="106" w:lineRule="exact"/>
        <w:rPr>
          <w:rFonts w:ascii="Arial" w:cs="Arial" w:eastAsia="Arial" w:hAnsi="Arial"/>
          <w:sz w:val="16"/>
          <w:szCs w:val="16"/>
          <w:color w:val="auto"/>
        </w:rPr>
      </w:pPr>
    </w:p>
    <w:p>
      <w:pPr>
        <w:ind w:left="1020" w:hanging="516"/>
        <w:spacing w:after="0"/>
        <w:tabs>
          <w:tab w:leader="none" w:pos="10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Continue to streamline processes to drive cost reductions and improve operating leverage; and</w:t>
      </w:r>
    </w:p>
    <w:p>
      <w:pPr>
        <w:spacing w:after="0" w:line="106" w:lineRule="exact"/>
        <w:rPr>
          <w:rFonts w:ascii="Arial" w:cs="Arial" w:eastAsia="Arial" w:hAnsi="Arial"/>
          <w:sz w:val="16"/>
          <w:szCs w:val="16"/>
          <w:color w:val="auto"/>
        </w:rPr>
      </w:pPr>
    </w:p>
    <w:p>
      <w:pPr>
        <w:ind w:left="1020" w:hanging="516"/>
        <w:spacing w:after="0"/>
        <w:tabs>
          <w:tab w:leader="none" w:pos="10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Continue to explore opportunities to monetize the asset base.</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62865</wp:posOffset>
            </wp:positionV>
            <wp:extent cx="7301865" cy="406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301865" cy="40640"/>
                    </a:xfrm>
                    <a:prstGeom prst="rect">
                      <a:avLst/>
                    </a:prstGeom>
                    <a:noFill/>
                  </pic:spPr>
                </pic:pic>
              </a:graphicData>
            </a:graphic>
          </wp:anchor>
        </w:drawing>
      </w:r>
    </w:p>
    <w:p>
      <w:pPr>
        <w:sectPr>
          <w:pgSz w:w="11900" w:h="16838" w:orient="portrait"/>
          <w:cols w:equalWidth="0" w:num="1">
            <w:col w:w="11400"/>
          </w:cols>
          <w:pgMar w:left="240" w:top="224" w:right="259" w:bottom="1440" w:gutter="0" w:footer="0" w:header="0"/>
        </w:sectPr>
      </w:pPr>
    </w:p>
    <w:bookmarkStart w:id="36" w:name="page37"/>
    <w:bookmarkEnd w:id="36"/>
    <w:p>
      <w:pPr>
        <w:spacing w:after="0"/>
        <w:rPr>
          <w:sz w:val="20"/>
          <w:szCs w:val="20"/>
          <w:color w:val="auto"/>
        </w:rPr>
      </w:pPr>
      <w:r>
        <w:rPr>
          <w:rFonts w:ascii="Arial" w:cs="Arial" w:eastAsia="Arial" w:hAnsi="Arial"/>
          <w:sz w:val="16"/>
          <w:szCs w:val="16"/>
          <w:color w:val="auto"/>
        </w:rPr>
        <w:t>A discussion of opportunities and challenges related to Kodak’s strategy follows:</w:t>
      </w:r>
    </w:p>
    <w:p>
      <w:pPr>
        <w:spacing w:after="0" w:line="324" w:lineRule="exact"/>
        <w:rPr>
          <w:sz w:val="20"/>
          <w:szCs w:val="20"/>
          <w:color w:val="auto"/>
        </w:rPr>
      </w:pPr>
    </w:p>
    <w:p>
      <w:pPr>
        <w:ind w:left="1020" w:right="40" w:hanging="516"/>
        <w:spacing w:after="0" w:line="271" w:lineRule="auto"/>
        <w:tabs>
          <w:tab w:leader="none" w:pos="1020" w:val="left"/>
        </w:tabs>
        <w:numPr>
          <w:ilvl w:val="1"/>
          <w:numId w:val="29"/>
        </w:numPr>
        <w:rPr>
          <w:rFonts w:ascii="Arial" w:cs="Arial" w:eastAsia="Arial" w:hAnsi="Arial"/>
          <w:sz w:val="15"/>
          <w:szCs w:val="15"/>
          <w:color w:val="auto"/>
        </w:rPr>
      </w:pPr>
      <w:r>
        <w:rPr>
          <w:rFonts w:ascii="Arial" w:cs="Arial" w:eastAsia="Arial" w:hAnsi="Arial"/>
          <w:sz w:val="15"/>
          <w:szCs w:val="15"/>
          <w:color w:val="auto"/>
        </w:rPr>
        <w:t>Print Systems’ digital plate products include traditional digital plates and KODAK SONORA Process Free Plates. SONORA process free plates allow Kodak customers to skip the plate processing step prior to mounting plates on a printing press. This improvement in the printing process saves time and costs for customers. Also, SONORA process free plates reduce the environmental impact of the printing process because they eliminate the use of chemicals (including solvents), water and power that is otherwise required to process a traditional plate. While traditional digital plate offerings are experiencing pricing pressure, innovations in Kodak product lines which command premium prices, such as SONORA Process Free Plates, are expected to offset some of the long-term price erosion in the market and manufacturing efficiencies are expected to mitigate the impact on earnings from revenue declines. Print Systems’ revenues, which accounted for 62% of Kodak’s total revenues in 2017, declined $76 million (7%) in 2017 and $89 million (8%) in 2016. Segment earnings declined $48 million from 2016 to 2017 driven by competitive pricing pressures and lower volumes but increased $7 million from 2015 to 2016 due to cost</w:t>
      </w:r>
    </w:p>
    <w:p>
      <w:pPr>
        <w:spacing w:after="0" w:line="1" w:lineRule="exact"/>
        <w:rPr>
          <w:rFonts w:ascii="Arial" w:cs="Arial" w:eastAsia="Arial" w:hAnsi="Arial"/>
          <w:sz w:val="15"/>
          <w:szCs w:val="15"/>
          <w:color w:val="auto"/>
        </w:rPr>
      </w:pPr>
    </w:p>
    <w:p>
      <w:pPr>
        <w:ind w:left="1020"/>
        <w:spacing w:after="0"/>
        <w:rPr>
          <w:rFonts w:ascii="Arial" w:cs="Arial" w:eastAsia="Arial" w:hAnsi="Arial"/>
          <w:sz w:val="15"/>
          <w:szCs w:val="15"/>
          <w:color w:val="auto"/>
        </w:rPr>
      </w:pPr>
      <w:r>
        <w:rPr>
          <w:rFonts w:ascii="Arial" w:cs="Arial" w:eastAsia="Arial" w:hAnsi="Arial"/>
          <w:sz w:val="16"/>
          <w:szCs w:val="16"/>
          <w:color w:val="auto"/>
        </w:rPr>
        <w:t>reductions. Manufacturing efficiencies were offset by higher aluminum costs in the current year.</w:t>
      </w:r>
    </w:p>
    <w:p>
      <w:pPr>
        <w:spacing w:after="0" w:line="214" w:lineRule="exact"/>
        <w:rPr>
          <w:rFonts w:ascii="Arial" w:cs="Arial" w:eastAsia="Arial" w:hAnsi="Arial"/>
          <w:sz w:val="15"/>
          <w:szCs w:val="15"/>
          <w:color w:val="auto"/>
        </w:rPr>
      </w:pPr>
    </w:p>
    <w:p>
      <w:pPr>
        <w:ind w:left="1020" w:right="260" w:hanging="552"/>
        <w:spacing w:after="0" w:line="280" w:lineRule="auto"/>
        <w:tabs>
          <w:tab w:leader="none" w:pos="1020" w:val="left"/>
        </w:tabs>
        <w:numPr>
          <w:ilvl w:val="0"/>
          <w:numId w:val="29"/>
        </w:numPr>
        <w:rPr>
          <w:rFonts w:ascii="Arial" w:cs="Arial" w:eastAsia="Arial" w:hAnsi="Arial"/>
          <w:sz w:val="15"/>
          <w:szCs w:val="15"/>
          <w:color w:val="auto"/>
        </w:rPr>
      </w:pPr>
      <w:r>
        <w:rPr>
          <w:rFonts w:ascii="Arial" w:cs="Arial" w:eastAsia="Arial" w:hAnsi="Arial"/>
          <w:sz w:val="15"/>
          <w:szCs w:val="15"/>
          <w:color w:val="auto"/>
        </w:rPr>
        <w:t>In Enterprise Inkjet Systems, the legacy Versamark business is expected to continue to decline as a percentage of the segment’s total revenue as the Prosper business continues to grow. The Prosper Inkjet Systems business is expected to continue to build profitability. Investment in the next generation technology, Ultrastream, is focused on the ability to place Ultrastream writing systems in original equipment manufacturers and hybrid applications. Enterprise Inkjet Systems’ revenue declined $22 million in 2017 and was relatively flat in 2016. Segment earnings improved $21 million from 2016 to 2017 driven by a streamlining of the Prosper business. Segment earnings improved by $11 million from 2015 to 2016.</w:t>
      </w:r>
    </w:p>
    <w:p>
      <w:pPr>
        <w:spacing w:after="0" w:line="178" w:lineRule="exact"/>
        <w:rPr>
          <w:rFonts w:ascii="Arial" w:cs="Arial" w:eastAsia="Arial" w:hAnsi="Arial"/>
          <w:sz w:val="15"/>
          <w:szCs w:val="15"/>
          <w:color w:val="auto"/>
        </w:rPr>
      </w:pPr>
    </w:p>
    <w:p>
      <w:pPr>
        <w:ind w:left="1040" w:hanging="572"/>
        <w:spacing w:after="0" w:line="284" w:lineRule="auto"/>
        <w:tabs>
          <w:tab w:leader="none" w:pos="1040" w:val="left"/>
        </w:tabs>
        <w:numPr>
          <w:ilvl w:val="0"/>
          <w:numId w:val="29"/>
        </w:numPr>
        <w:rPr>
          <w:rFonts w:ascii="Arial" w:cs="Arial" w:eastAsia="Arial" w:hAnsi="Arial"/>
          <w:sz w:val="15"/>
          <w:szCs w:val="15"/>
          <w:color w:val="auto"/>
        </w:rPr>
      </w:pPr>
      <w:r>
        <w:rPr>
          <w:rFonts w:ascii="Arial" w:cs="Arial" w:eastAsia="Arial" w:hAnsi="Arial"/>
          <w:sz w:val="15"/>
          <w:szCs w:val="15"/>
          <w:color w:val="auto"/>
        </w:rPr>
        <w:t>Within the Flexographic Packaging segment, growth in the installed base of FLEXCEL NX System computer-to-plate (CtP) imaging and related equipment is expected to drive continued growth of FLEXCEL NX consumables. The Other Packaging Business includes packaging printing products and services that are in mature stages in their product life cycles. Flexographic Packaging revenue increased $13 million (10%) in 2017 and $5 million (4%) in 2016 primarily due to the growth in FLEXCEL NX consumables. Segment earnings improved $7 million from 2016 to 2017 and were unchanged from 2015 to 2016.</w:t>
      </w:r>
    </w:p>
    <w:p>
      <w:pPr>
        <w:spacing w:after="0" w:line="150" w:lineRule="exact"/>
        <w:rPr>
          <w:rFonts w:ascii="Arial" w:cs="Arial" w:eastAsia="Arial" w:hAnsi="Arial"/>
          <w:sz w:val="15"/>
          <w:szCs w:val="15"/>
          <w:color w:val="auto"/>
        </w:rPr>
      </w:pPr>
    </w:p>
    <w:p>
      <w:pPr>
        <w:ind w:left="1020" w:hanging="552"/>
        <w:spacing w:after="0" w:line="257" w:lineRule="auto"/>
        <w:tabs>
          <w:tab w:leader="none" w:pos="10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Software and Solutions segment is comprised of Unified Workflow Solutions and Kodak Technology Solutions. Unified Workflow Solutions is an established product line. Kodak Technology Solutions includes document management and managed print services businesses and Kodakit. The contributions these business initiatives make to earnings are expected to grow with a modest amount of additional investment. Software and Solutions’ revenue declined $5 million (6%) in 2017, reflecting volume declines and $30 million (25%) in 2016, primarily due to reductions in government contracts within Kodak Technology Solutions. Sales in Kodak Technology Solutions are project based and can vary from year to year depending on the nature and number of projects in existence in a given year.</w:t>
      </w:r>
    </w:p>
    <w:p>
      <w:pPr>
        <w:spacing w:after="0" w:line="195" w:lineRule="exact"/>
        <w:rPr>
          <w:rFonts w:ascii="Arial" w:cs="Arial" w:eastAsia="Arial" w:hAnsi="Arial"/>
          <w:sz w:val="16"/>
          <w:szCs w:val="16"/>
          <w:color w:val="auto"/>
        </w:rPr>
      </w:pPr>
    </w:p>
    <w:p>
      <w:pPr>
        <w:ind w:left="1020" w:right="200" w:hanging="516"/>
        <w:spacing w:after="0" w:line="284" w:lineRule="auto"/>
        <w:tabs>
          <w:tab w:leader="none" w:pos="1020" w:val="left"/>
        </w:tabs>
        <w:numPr>
          <w:ilvl w:val="1"/>
          <w:numId w:val="29"/>
        </w:numPr>
        <w:rPr>
          <w:rFonts w:ascii="Arial" w:cs="Arial" w:eastAsia="Arial" w:hAnsi="Arial"/>
          <w:sz w:val="15"/>
          <w:szCs w:val="15"/>
          <w:color w:val="auto"/>
        </w:rPr>
      </w:pPr>
      <w:r>
        <w:rPr>
          <w:rFonts w:ascii="Arial" w:cs="Arial" w:eastAsia="Arial" w:hAnsi="Arial"/>
          <w:sz w:val="15"/>
          <w:szCs w:val="15"/>
          <w:color w:val="auto"/>
        </w:rPr>
        <w:t>Consumer and Film’s revenue declined $23 million (10%) from 2017 to 2016 and $48 million (18%) from 2015 to 2016. Earnings of the Consumer and Film segment declined $32 million (200%) and $36 million (69%) from 2016 to 2017 and from 2015 to 2016, respectively, primarily due to lower sales of ink as a result of the declining installed base of consumer inkjet printers, increased unit costs in the film businesses and items that favorably impacted the prior year. Kodak plans to continue to promote the use of film to utilize as much film manufacturing capacity as possible.</w:t>
      </w:r>
    </w:p>
    <w:p>
      <w:pPr>
        <w:spacing w:after="0" w:line="150" w:lineRule="exact"/>
        <w:rPr>
          <w:rFonts w:ascii="Arial" w:cs="Arial" w:eastAsia="Arial" w:hAnsi="Arial"/>
          <w:sz w:val="15"/>
          <w:szCs w:val="15"/>
          <w:color w:val="auto"/>
        </w:rPr>
      </w:pPr>
    </w:p>
    <w:p>
      <w:pPr>
        <w:ind w:left="1020" w:right="180" w:hanging="516"/>
        <w:spacing w:after="0" w:line="280" w:lineRule="auto"/>
        <w:tabs>
          <w:tab w:leader="none" w:pos="1020" w:val="left"/>
        </w:tabs>
        <w:numPr>
          <w:ilvl w:val="1"/>
          <w:numId w:val="29"/>
        </w:numPr>
        <w:rPr>
          <w:rFonts w:ascii="Arial" w:cs="Arial" w:eastAsia="Arial" w:hAnsi="Arial"/>
          <w:sz w:val="16"/>
          <w:szCs w:val="16"/>
          <w:color w:val="auto"/>
        </w:rPr>
      </w:pPr>
      <w:r>
        <w:rPr>
          <w:rFonts w:ascii="Arial" w:cs="Arial" w:eastAsia="Arial" w:hAnsi="Arial"/>
          <w:sz w:val="16"/>
          <w:szCs w:val="16"/>
          <w:color w:val="auto"/>
        </w:rPr>
        <w:t>Film and related component manufacturing operations and Kodak Research Laboratories utilize capacity at Eastman Business Park (“EBP”), which helps cost absorption at EBP.</w:t>
      </w:r>
    </w:p>
    <w:p>
      <w:pPr>
        <w:spacing w:after="0" w:line="175" w:lineRule="exact"/>
        <w:rPr>
          <w:rFonts w:ascii="Arial" w:cs="Arial" w:eastAsia="Arial" w:hAnsi="Arial"/>
          <w:sz w:val="16"/>
          <w:szCs w:val="16"/>
          <w:color w:val="auto"/>
        </w:rPr>
      </w:pPr>
    </w:p>
    <w:p>
      <w:pPr>
        <w:ind w:left="1020" w:right="200" w:hanging="516"/>
        <w:spacing w:after="0" w:line="280" w:lineRule="auto"/>
        <w:tabs>
          <w:tab w:leader="none" w:pos="1020" w:val="left"/>
        </w:tabs>
        <w:numPr>
          <w:ilvl w:val="1"/>
          <w:numId w:val="29"/>
        </w:numPr>
        <w:rPr>
          <w:rFonts w:ascii="Arial" w:cs="Arial" w:eastAsia="Arial" w:hAnsi="Arial"/>
          <w:sz w:val="16"/>
          <w:szCs w:val="16"/>
          <w:color w:val="auto"/>
        </w:rPr>
      </w:pPr>
      <w:r>
        <w:rPr>
          <w:rFonts w:ascii="Arial" w:cs="Arial" w:eastAsia="Arial" w:hAnsi="Arial"/>
          <w:sz w:val="16"/>
          <w:szCs w:val="16"/>
          <w:color w:val="auto"/>
        </w:rPr>
        <w:t>Kodak plans to capitalize on its intellectual property through new business or licensing opportunities, focusing on opportunities in smart material applications and printed electronics markets and also pursuing limited opportunities in 3D printing materials.</w:t>
      </w:r>
    </w:p>
    <w:p>
      <w:pPr>
        <w:spacing w:after="0" w:line="150" w:lineRule="exact"/>
        <w:rPr>
          <w:rFonts w:ascii="Arial" w:cs="Arial" w:eastAsia="Arial" w:hAnsi="Arial"/>
          <w:sz w:val="16"/>
          <w:szCs w:val="16"/>
          <w:color w:val="auto"/>
        </w:rPr>
      </w:pPr>
    </w:p>
    <w:p>
      <w:pPr>
        <w:ind w:left="1020" w:right="100" w:hanging="516"/>
        <w:spacing w:after="0" w:line="280" w:lineRule="auto"/>
        <w:tabs>
          <w:tab w:leader="none" w:pos="1020" w:val="left"/>
        </w:tabs>
        <w:numPr>
          <w:ilvl w:val="1"/>
          <w:numId w:val="29"/>
        </w:numPr>
        <w:rPr>
          <w:rFonts w:ascii="Arial" w:cs="Arial" w:eastAsia="Arial" w:hAnsi="Arial"/>
          <w:sz w:val="16"/>
          <w:szCs w:val="16"/>
          <w:color w:val="auto"/>
        </w:rPr>
      </w:pPr>
      <w:r>
        <w:rPr>
          <w:rFonts w:ascii="Arial" w:cs="Arial" w:eastAsia="Arial" w:hAnsi="Arial"/>
          <w:sz w:val="16"/>
          <w:szCs w:val="16"/>
          <w:color w:val="auto"/>
        </w:rPr>
        <w:t>Kodak plans to continue to pursue monetization of its asset base, selling and licensing intellectual property, selling and leasing excess capacity in its properties, and pursuing rights to an earn-out from a previous divestiture.</w:t>
      </w:r>
    </w:p>
    <w:p>
      <w:pPr>
        <w:spacing w:after="0" w:line="36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62865</wp:posOffset>
            </wp:positionV>
            <wp:extent cx="7301865" cy="406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301865" cy="40640"/>
                    </a:xfrm>
                    <a:prstGeom prst="rect">
                      <a:avLst/>
                    </a:prstGeom>
                    <a:noFill/>
                  </pic:spPr>
                </pic:pic>
              </a:graphicData>
            </a:graphic>
          </wp:anchor>
        </w:drawing>
      </w:r>
    </w:p>
    <w:p>
      <w:pPr>
        <w:sectPr>
          <w:pgSz w:w="11900" w:h="16838" w:orient="portrait"/>
          <w:cols w:equalWidth="0" w:num="1">
            <w:col w:w="11380"/>
          </w:cols>
          <w:pgMar w:left="240" w:top="224" w:right="279" w:bottom="1440" w:gutter="0" w:footer="0" w:header="0"/>
        </w:sectPr>
      </w:pPr>
    </w:p>
    <w:bookmarkStart w:id="37" w:name="page38"/>
    <w:bookmarkEnd w:id="37"/>
    <w:p>
      <w:pPr>
        <w:ind w:left="3"/>
        <w:spacing w:after="0"/>
        <w:rPr>
          <w:sz w:val="20"/>
          <w:szCs w:val="20"/>
          <w:color w:val="auto"/>
        </w:rPr>
      </w:pPr>
      <w:r>
        <w:rPr>
          <w:rFonts w:ascii="Arial" w:cs="Arial" w:eastAsia="Arial" w:hAnsi="Arial"/>
          <w:sz w:val="16"/>
          <w:szCs w:val="16"/>
          <w:b w:val="1"/>
          <w:bCs w:val="1"/>
          <w:color w:val="auto"/>
        </w:rPr>
        <w:t>DETAILED RESULTS OF OPERATIONS</w:t>
      </w:r>
    </w:p>
    <w:p>
      <w:pPr>
        <w:spacing w:after="0" w:line="106"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Net Revenues from Continuing Operations by Reportable Segment</w:t>
      </w:r>
    </w:p>
    <w:p>
      <w:pPr>
        <w:spacing w:after="0" w:line="292" w:lineRule="exact"/>
        <w:rPr>
          <w:sz w:val="20"/>
          <w:szCs w:val="20"/>
          <w:color w:val="auto"/>
        </w:rPr>
      </w:pPr>
    </w:p>
    <w:tbl>
      <w:tblPr>
        <w:tblLayout w:type="fixed"/>
        <w:tblInd w:w="3" w:type="dxa"/>
        <w:tblCellMar>
          <w:top w:w="0" w:type="dxa"/>
          <w:left w:w="0" w:type="dxa"/>
          <w:bottom w:w="0" w:type="dxa"/>
          <w:right w:w="0" w:type="dxa"/>
        </w:tblCellMar>
      </w:tblPr>
      <w:tr>
        <w:trPr>
          <w:trHeight w:val="149"/>
        </w:trPr>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4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860" w:type="dxa"/>
            <w:vAlign w:val="bottom"/>
            <w:gridSpan w:val="8"/>
          </w:tcPr>
          <w:p>
            <w:pPr>
              <w:jc w:val="right"/>
              <w:ind w:right="400"/>
              <w:spacing w:after="0"/>
              <w:rPr>
                <w:sz w:val="20"/>
                <w:szCs w:val="20"/>
                <w:color w:val="auto"/>
              </w:rPr>
            </w:pPr>
            <w:r>
              <w:rPr>
                <w:rFonts w:ascii="Arial" w:cs="Arial" w:eastAsia="Arial" w:hAnsi="Arial"/>
                <w:sz w:val="13"/>
                <w:szCs w:val="13"/>
                <w:b w:val="1"/>
                <w:bCs w:val="1"/>
                <w:color w:val="auto"/>
                <w:w w:val="90"/>
              </w:rPr>
              <w:t>Year Ended December 31,</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400" w:type="dxa"/>
            <w:vAlign w:val="bottom"/>
            <w:vMerge w:val="restart"/>
          </w:tcPr>
          <w:p>
            <w:pPr>
              <w:spacing w:after="0"/>
              <w:rPr>
                <w:sz w:val="20"/>
                <w:szCs w:val="20"/>
                <w:color w:val="auto"/>
              </w:rPr>
            </w:pPr>
            <w:r>
              <w:rPr>
                <w:rFonts w:ascii="Arial" w:cs="Arial" w:eastAsia="Arial" w:hAnsi="Arial"/>
                <w:sz w:val="13"/>
                <w:szCs w:val="13"/>
                <w:color w:val="auto"/>
              </w:rPr>
              <w:t>(in millions)</w:t>
            </w:r>
          </w:p>
        </w:tc>
        <w:tc>
          <w:tcPr>
            <w:tcW w:w="10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2"/>
          </w:tcPr>
          <w:p>
            <w:pPr>
              <w:jc w:val="right"/>
              <w:ind w:right="344"/>
              <w:spacing w:after="0"/>
              <w:rPr>
                <w:sz w:val="20"/>
                <w:szCs w:val="20"/>
                <w:color w:val="auto"/>
              </w:rPr>
            </w:pPr>
            <w:r>
              <w:rPr>
                <w:rFonts w:ascii="Arial" w:cs="Arial" w:eastAsia="Arial" w:hAnsi="Arial"/>
                <w:sz w:val="13"/>
                <w:szCs w:val="13"/>
                <w:b w:val="1"/>
                <w:bCs w:val="1"/>
                <w:color w:val="auto"/>
              </w:rPr>
              <w:t>2017</w:t>
            </w:r>
          </w:p>
        </w:tc>
        <w:tc>
          <w:tcPr>
            <w:tcW w:w="20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2"/>
          </w:tcPr>
          <w:p>
            <w:pPr>
              <w:jc w:val="right"/>
              <w:ind w:right="324"/>
              <w:spacing w:after="0"/>
              <w:rPr>
                <w:sz w:val="20"/>
                <w:szCs w:val="20"/>
                <w:color w:val="auto"/>
              </w:rPr>
            </w:pPr>
            <w:r>
              <w:rPr>
                <w:rFonts w:ascii="Arial" w:cs="Arial" w:eastAsia="Arial" w:hAnsi="Arial"/>
                <w:sz w:val="13"/>
                <w:szCs w:val="13"/>
                <w:b w:val="1"/>
                <w:bCs w:val="1"/>
                <w:color w:val="auto"/>
              </w:rPr>
              <w:t>2016</w:t>
            </w:r>
          </w:p>
        </w:tc>
        <w:tc>
          <w:tcPr>
            <w:tcW w:w="2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6"/>
              </w:rPr>
              <w:t>2015</w:t>
            </w:r>
          </w:p>
        </w:tc>
        <w:tc>
          <w:tcPr>
            <w:tcW w:w="4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0" w:type="dxa"/>
            <w:vAlign w:val="bottom"/>
            <w:vMerge w:val="continue"/>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5"/>
        </w:trPr>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00" w:type="dxa"/>
            <w:vAlign w:val="bottom"/>
            <w:shd w:val="clear" w:color="auto" w:fill="CFF0FC"/>
          </w:tcPr>
          <w:p>
            <w:pPr>
              <w:spacing w:after="0"/>
              <w:rPr>
                <w:sz w:val="20"/>
                <w:szCs w:val="20"/>
                <w:color w:val="auto"/>
              </w:rPr>
            </w:pPr>
            <w:r>
              <w:rPr>
                <w:rFonts w:ascii="Arial" w:cs="Arial" w:eastAsia="Arial" w:hAnsi="Arial"/>
                <w:sz w:val="16"/>
                <w:szCs w:val="16"/>
                <w:color w:val="auto"/>
              </w:rPr>
              <w:t>Print Systems</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942</w:t>
            </w:r>
          </w:p>
        </w:tc>
        <w:tc>
          <w:tcPr>
            <w:tcW w:w="360" w:type="dxa"/>
            <w:vAlign w:val="bottom"/>
            <w:gridSpan w:val="3"/>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1,018</w:t>
            </w:r>
          </w:p>
        </w:tc>
        <w:tc>
          <w:tcPr>
            <w:tcW w:w="420" w:type="dxa"/>
            <w:vAlign w:val="bottom"/>
            <w:gridSpan w:val="2"/>
            <w:shd w:val="clear" w:color="auto" w:fill="CFF0FC"/>
          </w:tcPr>
          <w:p>
            <w:pPr>
              <w:jc w:val="right"/>
              <w:ind w:right="41"/>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1,107</w:t>
            </w:r>
          </w:p>
        </w:tc>
        <w:tc>
          <w:tcPr>
            <w:tcW w:w="80" w:type="dxa"/>
            <w:vAlign w:val="bottom"/>
            <w:shd w:val="clear" w:color="auto" w:fill="CFF0FC"/>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00" w:type="dxa"/>
            <w:vAlign w:val="bottom"/>
          </w:tcPr>
          <w:p>
            <w:pPr>
              <w:spacing w:after="0"/>
              <w:rPr>
                <w:sz w:val="20"/>
                <w:szCs w:val="20"/>
                <w:color w:val="auto"/>
              </w:rPr>
            </w:pPr>
            <w:r>
              <w:rPr>
                <w:rFonts w:ascii="Arial" w:cs="Arial" w:eastAsia="Arial" w:hAnsi="Arial"/>
                <w:sz w:val="16"/>
                <w:szCs w:val="16"/>
                <w:color w:val="auto"/>
              </w:rPr>
              <w:t>Enterprise Inkjet Systems</w:t>
            </w: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144</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166</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165</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00" w:type="dxa"/>
            <w:vAlign w:val="bottom"/>
            <w:shd w:val="clear" w:color="auto" w:fill="CFF0FC"/>
          </w:tcPr>
          <w:p>
            <w:pPr>
              <w:spacing w:after="0"/>
              <w:rPr>
                <w:sz w:val="20"/>
                <w:szCs w:val="20"/>
                <w:color w:val="auto"/>
              </w:rPr>
            </w:pPr>
            <w:r>
              <w:rPr>
                <w:rFonts w:ascii="Arial" w:cs="Arial" w:eastAsia="Arial" w:hAnsi="Arial"/>
                <w:sz w:val="16"/>
                <w:szCs w:val="16"/>
                <w:color w:val="auto"/>
              </w:rPr>
              <w:t>Flexographic Packaging</w:t>
            </w:r>
          </w:p>
        </w:tc>
        <w:tc>
          <w:tcPr>
            <w:tcW w:w="10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145</w:t>
            </w:r>
          </w:p>
        </w:tc>
        <w:tc>
          <w:tcPr>
            <w:tcW w:w="2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132</w:t>
            </w: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127</w:t>
            </w:r>
          </w:p>
        </w:tc>
        <w:tc>
          <w:tcPr>
            <w:tcW w:w="80" w:type="dxa"/>
            <w:vAlign w:val="bottom"/>
            <w:shd w:val="clear" w:color="auto" w:fill="CFF0FC"/>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00" w:type="dxa"/>
            <w:vAlign w:val="bottom"/>
          </w:tcPr>
          <w:p>
            <w:pPr>
              <w:spacing w:after="0"/>
              <w:rPr>
                <w:sz w:val="20"/>
                <w:szCs w:val="20"/>
                <w:color w:val="auto"/>
              </w:rPr>
            </w:pPr>
            <w:r>
              <w:rPr>
                <w:rFonts w:ascii="Arial" w:cs="Arial" w:eastAsia="Arial" w:hAnsi="Arial"/>
                <w:sz w:val="16"/>
                <w:szCs w:val="16"/>
                <w:color w:val="auto"/>
              </w:rPr>
              <w:t>Software and Solutions</w:t>
            </w: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85</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90</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120</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00" w:type="dxa"/>
            <w:vAlign w:val="bottom"/>
            <w:shd w:val="clear" w:color="auto" w:fill="CFF0FC"/>
          </w:tcPr>
          <w:p>
            <w:pPr>
              <w:spacing w:after="0"/>
              <w:rPr>
                <w:sz w:val="20"/>
                <w:szCs w:val="20"/>
                <w:color w:val="auto"/>
              </w:rPr>
            </w:pPr>
            <w:r>
              <w:rPr>
                <w:rFonts w:ascii="Arial" w:cs="Arial" w:eastAsia="Arial" w:hAnsi="Arial"/>
                <w:sz w:val="16"/>
                <w:szCs w:val="16"/>
                <w:color w:val="auto"/>
              </w:rPr>
              <w:t>Consumer and Film</w:t>
            </w:r>
          </w:p>
        </w:tc>
        <w:tc>
          <w:tcPr>
            <w:tcW w:w="10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198</w:t>
            </w:r>
          </w:p>
        </w:tc>
        <w:tc>
          <w:tcPr>
            <w:tcW w:w="2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221</w:t>
            </w: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269</w:t>
            </w:r>
          </w:p>
        </w:tc>
        <w:tc>
          <w:tcPr>
            <w:tcW w:w="80" w:type="dxa"/>
            <w:vAlign w:val="bottom"/>
            <w:shd w:val="clear" w:color="auto" w:fill="CFF0FC"/>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00" w:type="dxa"/>
            <w:vAlign w:val="bottom"/>
          </w:tcPr>
          <w:p>
            <w:pPr>
              <w:spacing w:after="0"/>
              <w:rPr>
                <w:sz w:val="20"/>
                <w:szCs w:val="20"/>
                <w:color w:val="auto"/>
              </w:rPr>
            </w:pPr>
            <w:r>
              <w:rPr>
                <w:rFonts w:ascii="Arial" w:cs="Arial" w:eastAsia="Arial" w:hAnsi="Arial"/>
                <w:sz w:val="16"/>
                <w:szCs w:val="16"/>
                <w:color w:val="auto"/>
              </w:rPr>
              <w:t>Advanced Materials and 3D Printing Technology</w:t>
            </w: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1</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00" w:type="dxa"/>
            <w:vAlign w:val="bottom"/>
            <w:shd w:val="clear" w:color="auto" w:fill="CFF0FC"/>
          </w:tcPr>
          <w:p>
            <w:pPr>
              <w:spacing w:after="0"/>
              <w:rPr>
                <w:sz w:val="20"/>
                <w:szCs w:val="20"/>
                <w:color w:val="auto"/>
              </w:rPr>
            </w:pPr>
            <w:r>
              <w:rPr>
                <w:rFonts w:ascii="Arial" w:cs="Arial" w:eastAsia="Arial" w:hAnsi="Arial"/>
                <w:sz w:val="16"/>
                <w:szCs w:val="16"/>
                <w:color w:val="auto"/>
              </w:rPr>
              <w:t>Eastman Business Park</w:t>
            </w:r>
          </w:p>
        </w:tc>
        <w:tc>
          <w:tcPr>
            <w:tcW w:w="1000" w:type="dxa"/>
            <w:vAlign w:val="bottom"/>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6"/>
                <w:szCs w:val="16"/>
                <w:color w:val="auto"/>
              </w:rPr>
              <w:t>16</w:t>
            </w:r>
          </w:p>
        </w:tc>
        <w:tc>
          <w:tcPr>
            <w:tcW w:w="200" w:type="dxa"/>
            <w:vAlign w:val="bottom"/>
            <w:shd w:val="clear" w:color="auto" w:fill="CFF0FC"/>
          </w:tcPr>
          <w:p>
            <w:pPr>
              <w:spacing w:after="0"/>
              <w:rPr>
                <w:sz w:val="17"/>
                <w:szCs w:val="17"/>
                <w:color w:val="auto"/>
              </w:rPr>
            </w:pPr>
          </w:p>
        </w:tc>
        <w:tc>
          <w:tcPr>
            <w:tcW w:w="60" w:type="dxa"/>
            <w:vAlign w:val="bottom"/>
            <w:tcBorders>
              <w:bottom w:val="single" w:sz="8" w:color="auto"/>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6"/>
                <w:szCs w:val="16"/>
                <w:color w:val="auto"/>
              </w:rPr>
              <w:t>15</w:t>
            </w:r>
          </w:p>
        </w:tc>
        <w:tc>
          <w:tcPr>
            <w:tcW w:w="220" w:type="dxa"/>
            <w:vAlign w:val="bottom"/>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w:t>
            </w:r>
          </w:p>
        </w:tc>
        <w:tc>
          <w:tcPr>
            <w:tcW w:w="80" w:type="dxa"/>
            <w:vAlign w:val="bottom"/>
            <w:shd w:val="clear" w:color="auto" w:fill="CFF0FC"/>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00" w:type="dxa"/>
            <w:vAlign w:val="bottom"/>
          </w:tcPr>
          <w:p>
            <w:pPr>
              <w:ind w:left="220"/>
              <w:spacing w:after="0"/>
              <w:rPr>
                <w:sz w:val="20"/>
                <w:szCs w:val="20"/>
                <w:color w:val="auto"/>
              </w:rPr>
            </w:pPr>
            <w:r>
              <w:rPr>
                <w:rFonts w:ascii="Arial" w:cs="Arial" w:eastAsia="Arial" w:hAnsi="Arial"/>
                <w:sz w:val="16"/>
                <w:szCs w:val="16"/>
                <w:color w:val="auto"/>
              </w:rPr>
              <w:t>Consolidated total</w:t>
            </w:r>
          </w:p>
        </w:tc>
        <w:tc>
          <w:tcPr>
            <w:tcW w:w="10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1,531</w:t>
            </w:r>
          </w:p>
        </w:tc>
        <w:tc>
          <w:tcPr>
            <w:tcW w:w="200" w:type="dxa"/>
            <w:vAlign w:val="bottom"/>
          </w:tcPr>
          <w:p>
            <w:pPr>
              <w:spacing w:after="0"/>
              <w:rPr>
                <w:sz w:val="17"/>
                <w:szCs w:val="17"/>
                <w:color w:val="auto"/>
              </w:rPr>
            </w:pPr>
          </w:p>
        </w:tc>
        <w:tc>
          <w:tcPr>
            <w:tcW w:w="1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1,643</w:t>
            </w:r>
          </w:p>
        </w:tc>
        <w:tc>
          <w:tcPr>
            <w:tcW w:w="220" w:type="dxa"/>
            <w:vAlign w:val="bottom"/>
          </w:tcPr>
          <w:p>
            <w:pPr>
              <w:spacing w:after="0"/>
              <w:rPr>
                <w:sz w:val="17"/>
                <w:szCs w:val="17"/>
                <w:color w:val="auto"/>
              </w:rPr>
            </w:pPr>
          </w:p>
        </w:tc>
        <w:tc>
          <w:tcPr>
            <w:tcW w:w="200" w:type="dxa"/>
            <w:vAlign w:val="bottom"/>
            <w:tcBorders>
              <w:bottom w:val="single" w:sz="8" w:color="auto"/>
            </w:tcBorders>
          </w:tcPr>
          <w:p>
            <w:pPr>
              <w:jc w:val="right"/>
              <w:ind w:right="41"/>
              <w:spacing w:after="0"/>
              <w:rPr>
                <w:sz w:val="20"/>
                <w:szCs w:val="20"/>
                <w:color w:val="auto"/>
              </w:rPr>
            </w:pPr>
            <w:r>
              <w:rPr>
                <w:rFonts w:ascii="Arial" w:cs="Arial" w:eastAsia="Arial" w:hAnsi="Arial"/>
                <w:sz w:val="15"/>
                <w:szCs w:val="15"/>
                <w:color w:val="auto"/>
                <w:w w:val="71"/>
              </w:rPr>
              <w:t>$</w:t>
            </w:r>
          </w:p>
        </w:tc>
        <w:tc>
          <w:tcPr>
            <w:tcW w:w="1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1,803</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960" w:type="dxa"/>
            <w:vAlign w:val="bottom"/>
            <w:gridSpan w:val="3"/>
          </w:tcPr>
          <w:p>
            <w:pPr>
              <w:spacing w:after="0" w:line="20" w:lineRule="exact"/>
              <w:rPr>
                <w:sz w:val="1"/>
                <w:szCs w:val="1"/>
                <w:color w:val="auto"/>
              </w:rPr>
            </w:pPr>
          </w:p>
        </w:tc>
        <w:tc>
          <w:tcPr>
            <w:tcW w:w="140" w:type="dxa"/>
            <w:vAlign w:val="bottom"/>
            <w:tcBorders>
              <w:bottom w:val="single" w:sz="8" w:color="auto"/>
            </w:tcBorders>
            <w:gridSpan w:val="2"/>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7"/>
        </w:trPr>
        <w:tc>
          <w:tcPr>
            <w:tcW w:w="7980" w:type="dxa"/>
            <w:vAlign w:val="bottom"/>
            <w:gridSpan w:val="10"/>
          </w:tcPr>
          <w:p>
            <w:pPr>
              <w:jc w:val="right"/>
              <w:ind w:right="20"/>
              <w:spacing w:after="0"/>
              <w:rPr>
                <w:sz w:val="20"/>
                <w:szCs w:val="20"/>
                <w:color w:val="auto"/>
              </w:rPr>
            </w:pPr>
            <w:r>
              <w:rPr>
                <w:rFonts w:ascii="Arial" w:cs="Arial" w:eastAsia="Arial" w:hAnsi="Arial"/>
                <w:sz w:val="16"/>
                <w:szCs w:val="16"/>
                <w:b w:val="1"/>
                <w:bCs w:val="1"/>
                <w:color w:val="auto"/>
                <w:w w:val="91"/>
              </w:rPr>
              <w:t>Segment Operational EBITDA and Consolidated Earnings (Loss) from Continuing Operations Before Income Taxes</w:t>
            </w: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gridSpan w:val="5"/>
          </w:tcPr>
          <w:p>
            <w:pPr>
              <w:jc w:val="right"/>
              <w:ind w:right="60"/>
              <w:spacing w:after="0"/>
              <w:rPr>
                <w:sz w:val="20"/>
                <w:szCs w:val="20"/>
                <w:color w:val="auto"/>
              </w:rPr>
            </w:pPr>
            <w:r>
              <w:rPr>
                <w:rFonts w:ascii="Arial" w:cs="Arial" w:eastAsia="Arial" w:hAnsi="Arial"/>
                <w:sz w:val="13"/>
                <w:szCs w:val="13"/>
                <w:b w:val="1"/>
                <w:bCs w:val="1"/>
                <w:color w:val="auto"/>
                <w:w w:val="88"/>
              </w:rPr>
              <w:t>Year Ended December 31,</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5540" w:type="dxa"/>
            <w:vAlign w:val="bottom"/>
            <w:gridSpan w:val="3"/>
          </w:tcPr>
          <w:p>
            <w:pPr>
              <w:ind w:left="580"/>
              <w:spacing w:after="0"/>
              <w:rPr>
                <w:sz w:val="20"/>
                <w:szCs w:val="20"/>
                <w:color w:val="auto"/>
              </w:rPr>
            </w:pPr>
            <w:r>
              <w:rPr>
                <w:rFonts w:ascii="Arial" w:cs="Arial" w:eastAsia="Arial" w:hAnsi="Arial"/>
                <w:sz w:val="13"/>
                <w:szCs w:val="13"/>
                <w:color w:val="auto"/>
              </w:rPr>
              <w:t>(in millions)</w:t>
            </w: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right"/>
              <w:ind w:right="144"/>
              <w:spacing w:after="0"/>
              <w:rPr>
                <w:sz w:val="20"/>
                <w:szCs w:val="20"/>
                <w:color w:val="auto"/>
              </w:rPr>
            </w:pPr>
            <w:r>
              <w:rPr>
                <w:rFonts w:ascii="Arial" w:cs="Arial" w:eastAsia="Arial" w:hAnsi="Arial"/>
                <w:sz w:val="13"/>
                <w:szCs w:val="13"/>
                <w:b w:val="1"/>
                <w:bCs w:val="1"/>
                <w:color w:val="auto"/>
              </w:rPr>
              <w:t>2017</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right"/>
              <w:spacing w:after="0"/>
              <w:rPr>
                <w:sz w:val="20"/>
                <w:szCs w:val="20"/>
                <w:color w:val="auto"/>
              </w:rPr>
            </w:pPr>
            <w:r>
              <w:rPr>
                <w:rFonts w:ascii="Arial" w:cs="Arial" w:eastAsia="Arial" w:hAnsi="Arial"/>
                <w:sz w:val="13"/>
                <w:szCs w:val="13"/>
                <w:b w:val="1"/>
                <w:bCs w:val="1"/>
                <w:color w:val="auto"/>
              </w:rPr>
              <w:t>2016</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gridSpan w:val="2"/>
          </w:tcPr>
          <w:p>
            <w:pPr>
              <w:jc w:val="right"/>
              <w:spacing w:after="0"/>
              <w:rPr>
                <w:sz w:val="20"/>
                <w:szCs w:val="20"/>
                <w:color w:val="auto"/>
              </w:rPr>
            </w:pPr>
            <w:r>
              <w:rPr>
                <w:rFonts w:ascii="Arial" w:cs="Arial" w:eastAsia="Arial" w:hAnsi="Arial"/>
                <w:sz w:val="13"/>
                <w:szCs w:val="13"/>
                <w:b w:val="1"/>
                <w:bCs w:val="1"/>
                <w:color w:val="auto"/>
              </w:rPr>
              <w:t>2015</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580" w:type="dxa"/>
            <w:vAlign w:val="bottom"/>
          </w:tcPr>
          <w:p>
            <w:pPr>
              <w:spacing w:after="0"/>
              <w:rPr>
                <w:sz w:val="17"/>
                <w:szCs w:val="17"/>
                <w:color w:val="auto"/>
              </w:rPr>
            </w:pPr>
          </w:p>
        </w:tc>
        <w:tc>
          <w:tcPr>
            <w:tcW w:w="49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Print Systems</w:t>
            </w:r>
          </w:p>
        </w:tc>
        <w:tc>
          <w:tcPr>
            <w:tcW w:w="100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jc w:val="right"/>
              <w:ind w:right="784"/>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6"/>
                <w:szCs w:val="16"/>
                <w:color w:val="auto"/>
              </w:rPr>
              <w:t>58</w:t>
            </w:r>
          </w:p>
        </w:tc>
        <w:tc>
          <w:tcPr>
            <w:tcW w:w="10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jc w:val="right"/>
              <w:ind w:right="624"/>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6"/>
                <w:szCs w:val="16"/>
                <w:color w:val="auto"/>
              </w:rPr>
              <w:t>106</w:t>
            </w:r>
          </w:p>
        </w:tc>
        <w:tc>
          <w:tcPr>
            <w:tcW w:w="16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6"/>
                <w:szCs w:val="16"/>
                <w:color w:val="auto"/>
              </w:rPr>
              <w:t>99</w:t>
            </w: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80" w:type="dxa"/>
            <w:vAlign w:val="bottom"/>
          </w:tcPr>
          <w:p>
            <w:pPr>
              <w:spacing w:after="0"/>
              <w:rPr>
                <w:sz w:val="17"/>
                <w:szCs w:val="17"/>
                <w:color w:val="auto"/>
              </w:rPr>
            </w:pPr>
          </w:p>
        </w:tc>
        <w:tc>
          <w:tcPr>
            <w:tcW w:w="4960" w:type="dxa"/>
            <w:vAlign w:val="bottom"/>
            <w:gridSpan w:val="2"/>
          </w:tcPr>
          <w:p>
            <w:pPr>
              <w:spacing w:after="0"/>
              <w:rPr>
                <w:sz w:val="20"/>
                <w:szCs w:val="20"/>
                <w:color w:val="auto"/>
              </w:rPr>
            </w:pPr>
            <w:r>
              <w:rPr>
                <w:rFonts w:ascii="Arial" w:cs="Arial" w:eastAsia="Arial" w:hAnsi="Arial"/>
                <w:sz w:val="16"/>
                <w:szCs w:val="16"/>
                <w:color w:val="auto"/>
              </w:rPr>
              <w:t>Enterprise Inkjet Systems</w:t>
            </w: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80" w:type="dxa"/>
            <w:vAlign w:val="bottom"/>
            <w:gridSpan w:val="3"/>
          </w:tcPr>
          <w:p>
            <w:pPr>
              <w:jc w:val="right"/>
              <w:ind w:right="100"/>
              <w:spacing w:after="0"/>
              <w:rPr>
                <w:sz w:val="20"/>
                <w:szCs w:val="20"/>
                <w:color w:val="auto"/>
              </w:rPr>
            </w:pPr>
            <w:r>
              <w:rPr>
                <w:rFonts w:ascii="Arial" w:cs="Arial" w:eastAsia="Arial" w:hAnsi="Arial"/>
                <w:sz w:val="16"/>
                <w:szCs w:val="16"/>
                <w:color w:val="auto"/>
              </w:rPr>
              <w:t>(16)</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4"/>
          </w:tcPr>
          <w:p>
            <w:pPr>
              <w:jc w:val="right"/>
              <w:ind w:right="40"/>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05"/>
        </w:trPr>
        <w:tc>
          <w:tcPr>
            <w:tcW w:w="580" w:type="dxa"/>
            <w:vAlign w:val="bottom"/>
          </w:tcPr>
          <w:p>
            <w:pPr>
              <w:spacing w:after="0"/>
              <w:rPr>
                <w:sz w:val="17"/>
                <w:szCs w:val="17"/>
                <w:color w:val="auto"/>
              </w:rPr>
            </w:pPr>
          </w:p>
        </w:tc>
        <w:tc>
          <w:tcPr>
            <w:tcW w:w="49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Flexographic Packaging</w:t>
            </w:r>
          </w:p>
        </w:tc>
        <w:tc>
          <w:tcPr>
            <w:tcW w:w="10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31</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24</w:t>
            </w: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6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80" w:type="dxa"/>
            <w:vAlign w:val="bottom"/>
          </w:tcPr>
          <w:p>
            <w:pPr>
              <w:spacing w:after="0"/>
              <w:rPr>
                <w:sz w:val="17"/>
                <w:szCs w:val="17"/>
                <w:color w:val="auto"/>
              </w:rPr>
            </w:pPr>
          </w:p>
        </w:tc>
        <w:tc>
          <w:tcPr>
            <w:tcW w:w="4960" w:type="dxa"/>
            <w:vAlign w:val="bottom"/>
            <w:gridSpan w:val="2"/>
          </w:tcPr>
          <w:p>
            <w:pPr>
              <w:spacing w:after="0"/>
              <w:rPr>
                <w:sz w:val="20"/>
                <w:szCs w:val="20"/>
                <w:color w:val="auto"/>
              </w:rPr>
            </w:pPr>
            <w:r>
              <w:rPr>
                <w:rFonts w:ascii="Arial" w:cs="Arial" w:eastAsia="Arial" w:hAnsi="Arial"/>
                <w:sz w:val="16"/>
                <w:szCs w:val="16"/>
                <w:color w:val="auto"/>
              </w:rPr>
              <w:t>Software and Solutions</w:t>
            </w: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20" w:type="dxa"/>
            <w:vAlign w:val="bottom"/>
            <w:gridSpan w:val="2"/>
          </w:tcPr>
          <w:p>
            <w:pPr>
              <w:jc w:val="right"/>
              <w:spacing w:after="0"/>
              <w:rPr>
                <w:sz w:val="20"/>
                <w:szCs w:val="20"/>
                <w:color w:val="auto"/>
              </w:rPr>
            </w:pPr>
            <w:r>
              <w:rPr>
                <w:rFonts w:ascii="Arial" w:cs="Arial" w:eastAsia="Arial" w:hAnsi="Arial"/>
                <w:sz w:val="16"/>
                <w:szCs w:val="16"/>
                <w:color w:val="auto"/>
              </w:rPr>
              <w:t>1</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3"/>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80" w:type="dxa"/>
            <w:vAlign w:val="bottom"/>
          </w:tcPr>
          <w:p>
            <w:pPr>
              <w:spacing w:after="0"/>
              <w:rPr>
                <w:sz w:val="17"/>
                <w:szCs w:val="17"/>
                <w:color w:val="auto"/>
              </w:rPr>
            </w:pPr>
          </w:p>
        </w:tc>
        <w:tc>
          <w:tcPr>
            <w:tcW w:w="49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Consumer and Film</w:t>
            </w:r>
          </w:p>
        </w:tc>
        <w:tc>
          <w:tcPr>
            <w:tcW w:w="10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360" w:type="dxa"/>
            <w:vAlign w:val="bottom"/>
            <w:gridSpan w:val="3"/>
            <w:shd w:val="clear" w:color="auto" w:fill="CFF0FC"/>
          </w:tcPr>
          <w:p>
            <w:pPr>
              <w:jc w:val="right"/>
              <w:ind w:right="40"/>
              <w:spacing w:after="0"/>
              <w:rPr>
                <w:sz w:val="20"/>
                <w:szCs w:val="20"/>
                <w:color w:val="auto"/>
              </w:rPr>
            </w:pPr>
            <w:r>
              <w:rPr>
                <w:rFonts w:ascii="Arial" w:cs="Arial" w:eastAsia="Arial" w:hAnsi="Arial"/>
                <w:sz w:val="16"/>
                <w:szCs w:val="16"/>
                <w:color w:val="auto"/>
              </w:rPr>
              <w:t>(16)</w:t>
            </w:r>
          </w:p>
        </w:tc>
        <w:tc>
          <w:tcPr>
            <w:tcW w:w="1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16</w:t>
            </w: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6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52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80" w:type="dxa"/>
            <w:vAlign w:val="bottom"/>
          </w:tcPr>
          <w:p>
            <w:pPr>
              <w:spacing w:after="0"/>
              <w:rPr>
                <w:sz w:val="17"/>
                <w:szCs w:val="17"/>
                <w:color w:val="auto"/>
              </w:rPr>
            </w:pPr>
          </w:p>
        </w:tc>
        <w:tc>
          <w:tcPr>
            <w:tcW w:w="4960" w:type="dxa"/>
            <w:vAlign w:val="bottom"/>
            <w:gridSpan w:val="2"/>
          </w:tcPr>
          <w:p>
            <w:pPr>
              <w:spacing w:after="0"/>
              <w:rPr>
                <w:sz w:val="20"/>
                <w:szCs w:val="20"/>
                <w:color w:val="auto"/>
              </w:rPr>
            </w:pPr>
            <w:r>
              <w:rPr>
                <w:rFonts w:ascii="Arial" w:cs="Arial" w:eastAsia="Arial" w:hAnsi="Arial"/>
                <w:sz w:val="16"/>
                <w:szCs w:val="16"/>
                <w:color w:val="auto"/>
              </w:rPr>
              <w:t>Advanced Materials and 3D Printing Technology</w:t>
            </w: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60" w:type="dxa"/>
            <w:vAlign w:val="bottom"/>
            <w:gridSpan w:val="3"/>
          </w:tcPr>
          <w:p>
            <w:pPr>
              <w:jc w:val="right"/>
              <w:ind w:right="40"/>
              <w:spacing w:after="0"/>
              <w:rPr>
                <w:sz w:val="20"/>
                <w:szCs w:val="20"/>
                <w:color w:val="auto"/>
              </w:rPr>
            </w:pPr>
            <w:r>
              <w:rPr>
                <w:rFonts w:ascii="Arial" w:cs="Arial" w:eastAsia="Arial" w:hAnsi="Arial"/>
                <w:sz w:val="16"/>
                <w:szCs w:val="16"/>
                <w:color w:val="auto"/>
              </w:rPr>
              <w:t>(26)</w:t>
            </w: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80" w:type="dxa"/>
            <w:vAlign w:val="bottom"/>
            <w:gridSpan w:val="3"/>
          </w:tcPr>
          <w:p>
            <w:pPr>
              <w:jc w:val="right"/>
              <w:ind w:right="100"/>
              <w:spacing w:after="0"/>
              <w:rPr>
                <w:sz w:val="20"/>
                <w:szCs w:val="20"/>
                <w:color w:val="auto"/>
              </w:rPr>
            </w:pPr>
            <w:r>
              <w:rPr>
                <w:rFonts w:ascii="Arial" w:cs="Arial" w:eastAsia="Arial" w:hAnsi="Arial"/>
                <w:sz w:val="16"/>
                <w:szCs w:val="16"/>
                <w:color w:val="auto"/>
              </w:rPr>
              <w:t>(26)</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4"/>
          </w:tcPr>
          <w:p>
            <w:pPr>
              <w:jc w:val="right"/>
              <w:ind w:right="40"/>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05"/>
        </w:trPr>
        <w:tc>
          <w:tcPr>
            <w:tcW w:w="580" w:type="dxa"/>
            <w:vAlign w:val="bottom"/>
          </w:tcPr>
          <w:p>
            <w:pPr>
              <w:spacing w:after="0"/>
              <w:rPr>
                <w:sz w:val="17"/>
                <w:szCs w:val="17"/>
                <w:color w:val="auto"/>
              </w:rPr>
            </w:pPr>
          </w:p>
        </w:tc>
        <w:tc>
          <w:tcPr>
            <w:tcW w:w="49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Eastman Business Park</w:t>
            </w:r>
          </w:p>
        </w:tc>
        <w:tc>
          <w:tcPr>
            <w:tcW w:w="10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6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80" w:type="dxa"/>
            <w:vAlign w:val="bottom"/>
          </w:tcPr>
          <w:p>
            <w:pPr>
              <w:spacing w:after="0"/>
              <w:rPr>
                <w:sz w:val="17"/>
                <w:szCs w:val="17"/>
                <w:color w:val="auto"/>
              </w:rPr>
            </w:pPr>
          </w:p>
        </w:tc>
        <w:tc>
          <w:tcPr>
            <w:tcW w:w="4960" w:type="dxa"/>
            <w:vAlign w:val="bottom"/>
            <w:gridSpan w:val="2"/>
          </w:tcPr>
          <w:p>
            <w:pPr>
              <w:spacing w:after="0"/>
              <w:rPr>
                <w:sz w:val="20"/>
                <w:szCs w:val="20"/>
                <w:color w:val="auto"/>
              </w:rPr>
            </w:pPr>
            <w:r>
              <w:rPr>
                <w:rFonts w:ascii="Arial" w:cs="Arial" w:eastAsia="Arial" w:hAnsi="Arial"/>
                <w:sz w:val="16"/>
                <w:szCs w:val="16"/>
                <w:color w:val="auto"/>
              </w:rPr>
              <w:t xml:space="preserve">All Other </w:t>
            </w:r>
            <w:r>
              <w:rPr>
                <w:rFonts w:ascii="Arial" w:cs="Arial" w:eastAsia="Arial" w:hAnsi="Arial"/>
                <w:sz w:val="13"/>
                <w:szCs w:val="13"/>
                <w:color w:val="auto"/>
              </w:rPr>
              <w:t>(1)</w:t>
            </w: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6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20" w:type="dxa"/>
            <w:vAlign w:val="bottom"/>
            <w:gridSpan w:val="2"/>
          </w:tcPr>
          <w:p>
            <w:pPr>
              <w:jc w:val="right"/>
              <w:spacing w:after="0"/>
              <w:rPr>
                <w:sz w:val="20"/>
                <w:szCs w:val="20"/>
                <w:color w:val="auto"/>
              </w:rPr>
            </w:pPr>
            <w:r>
              <w:rPr>
                <w:rFonts w:ascii="Arial" w:cs="Arial" w:eastAsia="Arial" w:hAnsi="Arial"/>
                <w:sz w:val="16"/>
                <w:szCs w:val="16"/>
                <w:color w:val="auto"/>
              </w:rPr>
              <w:t>3</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3"/>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80" w:type="dxa"/>
            <w:vAlign w:val="bottom"/>
          </w:tcPr>
          <w:p>
            <w:pPr>
              <w:spacing w:after="0"/>
              <w:rPr>
                <w:sz w:val="17"/>
                <w:szCs w:val="17"/>
                <w:color w:val="auto"/>
              </w:rPr>
            </w:pPr>
          </w:p>
        </w:tc>
        <w:tc>
          <w:tcPr>
            <w:tcW w:w="49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 xml:space="preserve">Corporate components of pension and OPEB income </w:t>
            </w:r>
            <w:r>
              <w:rPr>
                <w:rFonts w:ascii="Arial" w:cs="Arial" w:eastAsia="Arial" w:hAnsi="Arial"/>
                <w:sz w:val="13"/>
                <w:szCs w:val="13"/>
                <w:color w:val="auto"/>
              </w:rPr>
              <w:t>(2)</w:t>
            </w:r>
          </w:p>
        </w:tc>
        <w:tc>
          <w:tcPr>
            <w:tcW w:w="10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w w:val="89"/>
              </w:rPr>
              <w:t>144</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161</w:t>
            </w: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6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133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80" w:type="dxa"/>
            <w:vAlign w:val="bottom"/>
          </w:tcPr>
          <w:p>
            <w:pPr>
              <w:spacing w:after="0"/>
              <w:rPr>
                <w:sz w:val="17"/>
                <w:szCs w:val="17"/>
                <w:color w:val="auto"/>
              </w:rPr>
            </w:pPr>
          </w:p>
        </w:tc>
        <w:tc>
          <w:tcPr>
            <w:tcW w:w="4960" w:type="dxa"/>
            <w:vAlign w:val="bottom"/>
            <w:gridSpan w:val="2"/>
          </w:tcPr>
          <w:p>
            <w:pPr>
              <w:spacing w:after="0"/>
              <w:rPr>
                <w:sz w:val="20"/>
                <w:szCs w:val="20"/>
                <w:color w:val="auto"/>
              </w:rPr>
            </w:pPr>
            <w:r>
              <w:rPr>
                <w:rFonts w:ascii="Arial" w:cs="Arial" w:eastAsia="Arial" w:hAnsi="Arial"/>
                <w:sz w:val="16"/>
                <w:szCs w:val="16"/>
                <w:color w:val="auto"/>
              </w:rPr>
              <w:t>Depreciation and amortization</w:t>
            </w: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60" w:type="dxa"/>
            <w:vAlign w:val="bottom"/>
            <w:gridSpan w:val="3"/>
          </w:tcPr>
          <w:p>
            <w:pPr>
              <w:jc w:val="right"/>
              <w:ind w:right="40"/>
              <w:spacing w:after="0"/>
              <w:rPr>
                <w:sz w:val="20"/>
                <w:szCs w:val="20"/>
                <w:color w:val="auto"/>
              </w:rPr>
            </w:pPr>
            <w:r>
              <w:rPr>
                <w:rFonts w:ascii="Arial" w:cs="Arial" w:eastAsia="Arial" w:hAnsi="Arial"/>
                <w:sz w:val="16"/>
                <w:szCs w:val="16"/>
                <w:color w:val="auto"/>
              </w:rPr>
              <w:t>(80)</w:t>
            </w: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80" w:type="dxa"/>
            <w:vAlign w:val="bottom"/>
            <w:gridSpan w:val="3"/>
          </w:tcPr>
          <w:p>
            <w:pPr>
              <w:jc w:val="right"/>
              <w:ind w:right="100"/>
              <w:spacing w:after="0"/>
              <w:rPr>
                <w:sz w:val="20"/>
                <w:szCs w:val="20"/>
                <w:color w:val="auto"/>
              </w:rPr>
            </w:pPr>
            <w:r>
              <w:rPr>
                <w:rFonts w:ascii="Arial" w:cs="Arial" w:eastAsia="Arial" w:hAnsi="Arial"/>
                <w:sz w:val="16"/>
                <w:szCs w:val="16"/>
                <w:color w:val="auto"/>
              </w:rPr>
              <w:t>(105)</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4"/>
          </w:tcPr>
          <w:p>
            <w:pPr>
              <w:jc w:val="right"/>
              <w:ind w:right="40"/>
              <w:spacing w:after="0"/>
              <w:rPr>
                <w:sz w:val="20"/>
                <w:szCs w:val="20"/>
                <w:color w:val="auto"/>
              </w:rPr>
            </w:pPr>
            <w:r>
              <w:rPr>
                <w:rFonts w:ascii="Arial" w:cs="Arial" w:eastAsia="Arial" w:hAnsi="Arial"/>
                <w:sz w:val="16"/>
                <w:szCs w:val="16"/>
                <w:color w:val="auto"/>
              </w:rPr>
              <w:t>(145)</w:t>
            </w:r>
          </w:p>
        </w:tc>
        <w:tc>
          <w:tcPr>
            <w:tcW w:w="0" w:type="dxa"/>
            <w:vAlign w:val="bottom"/>
          </w:tcPr>
          <w:p>
            <w:pPr>
              <w:spacing w:after="0"/>
              <w:rPr>
                <w:sz w:val="1"/>
                <w:szCs w:val="1"/>
                <w:color w:val="auto"/>
              </w:rPr>
            </w:pPr>
          </w:p>
        </w:tc>
      </w:tr>
      <w:tr>
        <w:trPr>
          <w:trHeight w:val="205"/>
        </w:trPr>
        <w:tc>
          <w:tcPr>
            <w:tcW w:w="580" w:type="dxa"/>
            <w:vAlign w:val="bottom"/>
          </w:tcPr>
          <w:p>
            <w:pPr>
              <w:spacing w:after="0"/>
              <w:rPr>
                <w:sz w:val="17"/>
                <w:szCs w:val="17"/>
                <w:color w:val="auto"/>
              </w:rPr>
            </w:pPr>
          </w:p>
        </w:tc>
        <w:tc>
          <w:tcPr>
            <w:tcW w:w="49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Restructuring costs and other</w:t>
            </w:r>
          </w:p>
        </w:tc>
        <w:tc>
          <w:tcPr>
            <w:tcW w:w="10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360" w:type="dxa"/>
            <w:vAlign w:val="bottom"/>
            <w:gridSpan w:val="3"/>
            <w:shd w:val="clear" w:color="auto" w:fill="CFF0FC"/>
          </w:tcPr>
          <w:p>
            <w:pPr>
              <w:jc w:val="right"/>
              <w:ind w:right="40"/>
              <w:spacing w:after="0"/>
              <w:rPr>
                <w:sz w:val="20"/>
                <w:szCs w:val="20"/>
                <w:color w:val="auto"/>
              </w:rPr>
            </w:pPr>
            <w:r>
              <w:rPr>
                <w:rFonts w:ascii="Arial" w:cs="Arial" w:eastAsia="Arial" w:hAnsi="Arial"/>
                <w:sz w:val="16"/>
                <w:szCs w:val="16"/>
                <w:color w:val="auto"/>
              </w:rPr>
              <w:t>(38)</w:t>
            </w:r>
          </w:p>
        </w:tc>
        <w:tc>
          <w:tcPr>
            <w:tcW w:w="1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580" w:type="dxa"/>
            <w:vAlign w:val="bottom"/>
            <w:gridSpan w:val="3"/>
            <w:shd w:val="clear" w:color="auto" w:fill="CFF0FC"/>
          </w:tcPr>
          <w:p>
            <w:pPr>
              <w:jc w:val="right"/>
              <w:ind w:right="100"/>
              <w:spacing w:after="0"/>
              <w:rPr>
                <w:sz w:val="20"/>
                <w:szCs w:val="20"/>
                <w:color w:val="auto"/>
              </w:rPr>
            </w:pPr>
            <w:r>
              <w:rPr>
                <w:rFonts w:ascii="Arial" w:cs="Arial" w:eastAsia="Arial" w:hAnsi="Arial"/>
                <w:sz w:val="16"/>
                <w:szCs w:val="16"/>
                <w:color w:val="auto"/>
              </w:rPr>
              <w:t>(16)</w:t>
            </w: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60" w:type="dxa"/>
            <w:vAlign w:val="bottom"/>
            <w:gridSpan w:val="4"/>
            <w:shd w:val="clear" w:color="auto" w:fill="CFF0FC"/>
          </w:tcPr>
          <w:p>
            <w:pPr>
              <w:jc w:val="right"/>
              <w:ind w:right="40"/>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05"/>
        </w:trPr>
        <w:tc>
          <w:tcPr>
            <w:tcW w:w="580" w:type="dxa"/>
            <w:vAlign w:val="bottom"/>
          </w:tcPr>
          <w:p>
            <w:pPr>
              <w:spacing w:after="0"/>
              <w:rPr>
                <w:sz w:val="17"/>
                <w:szCs w:val="17"/>
                <w:color w:val="auto"/>
              </w:rPr>
            </w:pPr>
          </w:p>
        </w:tc>
        <w:tc>
          <w:tcPr>
            <w:tcW w:w="4960" w:type="dxa"/>
            <w:vAlign w:val="bottom"/>
            <w:gridSpan w:val="2"/>
          </w:tcPr>
          <w:p>
            <w:pPr>
              <w:spacing w:after="0"/>
              <w:rPr>
                <w:sz w:val="20"/>
                <w:szCs w:val="20"/>
                <w:color w:val="auto"/>
              </w:rPr>
            </w:pPr>
            <w:r>
              <w:rPr>
                <w:rFonts w:ascii="Arial" w:cs="Arial" w:eastAsia="Arial" w:hAnsi="Arial"/>
                <w:sz w:val="16"/>
                <w:szCs w:val="16"/>
                <w:color w:val="auto"/>
              </w:rPr>
              <w:t>Stock-based compensation</w:t>
            </w: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60" w:type="dxa"/>
            <w:vAlign w:val="bottom"/>
            <w:gridSpan w:val="3"/>
          </w:tcPr>
          <w:p>
            <w:pPr>
              <w:jc w:val="right"/>
              <w:ind w:right="40"/>
              <w:spacing w:after="0"/>
              <w:rPr>
                <w:sz w:val="20"/>
                <w:szCs w:val="20"/>
                <w:color w:val="auto"/>
              </w:rPr>
            </w:pPr>
            <w:r>
              <w:rPr>
                <w:rFonts w:ascii="Arial" w:cs="Arial" w:eastAsia="Arial" w:hAnsi="Arial"/>
                <w:sz w:val="16"/>
                <w:szCs w:val="16"/>
                <w:color w:val="auto"/>
              </w:rPr>
              <w:t>(9)</w:t>
            </w: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80" w:type="dxa"/>
            <w:vAlign w:val="bottom"/>
            <w:gridSpan w:val="3"/>
          </w:tcPr>
          <w:p>
            <w:pPr>
              <w:jc w:val="right"/>
              <w:ind w:right="100"/>
              <w:spacing w:after="0"/>
              <w:rPr>
                <w:sz w:val="20"/>
                <w:szCs w:val="20"/>
                <w:color w:val="auto"/>
              </w:rPr>
            </w:pPr>
            <w:r>
              <w:rPr>
                <w:rFonts w:ascii="Arial" w:cs="Arial" w:eastAsia="Arial" w:hAnsi="Arial"/>
                <w:sz w:val="16"/>
                <w:szCs w:val="16"/>
                <w:color w:val="auto"/>
              </w:rPr>
              <w:t>(8)</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4"/>
          </w:tcPr>
          <w:p>
            <w:pPr>
              <w:jc w:val="right"/>
              <w:ind w:right="40"/>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05"/>
        </w:trPr>
        <w:tc>
          <w:tcPr>
            <w:tcW w:w="580" w:type="dxa"/>
            <w:vAlign w:val="bottom"/>
          </w:tcPr>
          <w:p>
            <w:pPr>
              <w:spacing w:after="0"/>
              <w:rPr>
                <w:sz w:val="17"/>
                <w:szCs w:val="17"/>
                <w:color w:val="auto"/>
              </w:rPr>
            </w:pPr>
          </w:p>
        </w:tc>
        <w:tc>
          <w:tcPr>
            <w:tcW w:w="4960" w:type="dxa"/>
            <w:vAlign w:val="bottom"/>
            <w:gridSpan w:val="2"/>
            <w:shd w:val="clear" w:color="auto" w:fill="CFF0FC"/>
          </w:tcPr>
          <w:p>
            <w:pPr>
              <w:spacing w:after="0" w:line="205" w:lineRule="exact"/>
              <w:rPr>
                <w:sz w:val="20"/>
                <w:szCs w:val="20"/>
                <w:color w:val="auto"/>
              </w:rPr>
            </w:pPr>
            <w:r>
              <w:rPr>
                <w:rFonts w:ascii="Arial" w:cs="Arial" w:eastAsia="Arial" w:hAnsi="Arial"/>
                <w:sz w:val="16"/>
                <w:szCs w:val="16"/>
                <w:color w:val="auto"/>
              </w:rPr>
              <w:t xml:space="preserve">Consulting and other costs </w:t>
            </w:r>
            <w:r>
              <w:rPr>
                <w:rFonts w:ascii="Arial" w:cs="Arial" w:eastAsia="Arial" w:hAnsi="Arial"/>
                <w:sz w:val="23"/>
                <w:szCs w:val="23"/>
                <w:color w:val="auto"/>
                <w:vertAlign w:val="superscript"/>
              </w:rPr>
              <w:t>(3)</w:t>
            </w:r>
          </w:p>
        </w:tc>
        <w:tc>
          <w:tcPr>
            <w:tcW w:w="10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360" w:type="dxa"/>
            <w:vAlign w:val="bottom"/>
            <w:gridSpan w:val="3"/>
            <w:shd w:val="clear" w:color="auto" w:fill="CFF0FC"/>
          </w:tcPr>
          <w:p>
            <w:pPr>
              <w:jc w:val="right"/>
              <w:ind w:right="40"/>
              <w:spacing w:after="0"/>
              <w:rPr>
                <w:sz w:val="20"/>
                <w:szCs w:val="20"/>
                <w:color w:val="auto"/>
              </w:rPr>
            </w:pPr>
            <w:r>
              <w:rPr>
                <w:rFonts w:ascii="Arial" w:cs="Arial" w:eastAsia="Arial" w:hAnsi="Arial"/>
                <w:sz w:val="16"/>
                <w:szCs w:val="16"/>
                <w:color w:val="auto"/>
              </w:rPr>
              <w:t>(5)</w:t>
            </w:r>
          </w:p>
        </w:tc>
        <w:tc>
          <w:tcPr>
            <w:tcW w:w="1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580" w:type="dxa"/>
            <w:vAlign w:val="bottom"/>
            <w:gridSpan w:val="3"/>
            <w:shd w:val="clear" w:color="auto" w:fill="CFF0FC"/>
          </w:tcPr>
          <w:p>
            <w:pPr>
              <w:jc w:val="right"/>
              <w:ind w:right="100"/>
              <w:spacing w:after="0"/>
              <w:rPr>
                <w:sz w:val="20"/>
                <w:szCs w:val="20"/>
                <w:color w:val="auto"/>
              </w:rPr>
            </w:pPr>
            <w:r>
              <w:rPr>
                <w:rFonts w:ascii="Arial" w:cs="Arial" w:eastAsia="Arial" w:hAnsi="Arial"/>
                <w:sz w:val="16"/>
                <w:szCs w:val="16"/>
                <w:color w:val="auto"/>
              </w:rPr>
              <w:t>(7)</w:t>
            </w: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60" w:type="dxa"/>
            <w:vAlign w:val="bottom"/>
            <w:gridSpan w:val="4"/>
            <w:shd w:val="clear" w:color="auto" w:fill="CFF0FC"/>
          </w:tcPr>
          <w:p>
            <w:pPr>
              <w:jc w:val="right"/>
              <w:ind w:right="40"/>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05"/>
        </w:trPr>
        <w:tc>
          <w:tcPr>
            <w:tcW w:w="580" w:type="dxa"/>
            <w:vAlign w:val="bottom"/>
          </w:tcPr>
          <w:p>
            <w:pPr>
              <w:spacing w:after="0"/>
              <w:rPr>
                <w:sz w:val="17"/>
                <w:szCs w:val="17"/>
                <w:color w:val="auto"/>
              </w:rPr>
            </w:pPr>
          </w:p>
        </w:tc>
        <w:tc>
          <w:tcPr>
            <w:tcW w:w="4960" w:type="dxa"/>
            <w:vAlign w:val="bottom"/>
            <w:gridSpan w:val="2"/>
          </w:tcPr>
          <w:p>
            <w:pPr>
              <w:spacing w:after="0"/>
              <w:rPr>
                <w:sz w:val="20"/>
                <w:szCs w:val="20"/>
                <w:color w:val="auto"/>
              </w:rPr>
            </w:pPr>
            <w:r>
              <w:rPr>
                <w:rFonts w:ascii="Arial" w:cs="Arial" w:eastAsia="Arial" w:hAnsi="Arial"/>
                <w:sz w:val="16"/>
                <w:szCs w:val="16"/>
                <w:color w:val="auto"/>
              </w:rPr>
              <w:t xml:space="preserve">Idle costs </w:t>
            </w:r>
            <w:r>
              <w:rPr>
                <w:rFonts w:ascii="Arial" w:cs="Arial" w:eastAsia="Arial" w:hAnsi="Arial"/>
                <w:sz w:val="13"/>
                <w:szCs w:val="13"/>
                <w:color w:val="auto"/>
              </w:rPr>
              <w:t>(5)</w:t>
            </w: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60" w:type="dxa"/>
            <w:vAlign w:val="bottom"/>
            <w:gridSpan w:val="3"/>
          </w:tcPr>
          <w:p>
            <w:pPr>
              <w:jc w:val="right"/>
              <w:ind w:right="40"/>
              <w:spacing w:after="0"/>
              <w:rPr>
                <w:sz w:val="20"/>
                <w:szCs w:val="20"/>
                <w:color w:val="auto"/>
              </w:rPr>
            </w:pPr>
            <w:r>
              <w:rPr>
                <w:rFonts w:ascii="Arial" w:cs="Arial" w:eastAsia="Arial" w:hAnsi="Arial"/>
                <w:sz w:val="16"/>
                <w:szCs w:val="16"/>
                <w:color w:val="auto"/>
              </w:rPr>
              <w:t>(3)</w:t>
            </w: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80" w:type="dxa"/>
            <w:vAlign w:val="bottom"/>
            <w:gridSpan w:val="3"/>
          </w:tcPr>
          <w:p>
            <w:pPr>
              <w:jc w:val="right"/>
              <w:ind w:right="100"/>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4"/>
          </w:tcPr>
          <w:p>
            <w:pPr>
              <w:jc w:val="right"/>
              <w:ind w:right="4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5"/>
        </w:trPr>
        <w:tc>
          <w:tcPr>
            <w:tcW w:w="580" w:type="dxa"/>
            <w:vAlign w:val="bottom"/>
          </w:tcPr>
          <w:p>
            <w:pPr>
              <w:spacing w:after="0"/>
              <w:rPr>
                <w:sz w:val="17"/>
                <w:szCs w:val="17"/>
                <w:color w:val="auto"/>
              </w:rPr>
            </w:pPr>
          </w:p>
        </w:tc>
        <w:tc>
          <w:tcPr>
            <w:tcW w:w="4960" w:type="dxa"/>
            <w:vAlign w:val="bottom"/>
            <w:gridSpan w:val="2"/>
            <w:shd w:val="clear" w:color="auto" w:fill="CFF0FC"/>
          </w:tcPr>
          <w:p>
            <w:pPr>
              <w:spacing w:after="0" w:line="205" w:lineRule="exact"/>
              <w:rPr>
                <w:sz w:val="20"/>
                <w:szCs w:val="20"/>
                <w:color w:val="auto"/>
              </w:rPr>
            </w:pPr>
            <w:r>
              <w:rPr>
                <w:rFonts w:ascii="Arial" w:cs="Arial" w:eastAsia="Arial" w:hAnsi="Arial"/>
                <w:sz w:val="16"/>
                <w:szCs w:val="16"/>
                <w:color w:val="auto"/>
              </w:rPr>
              <w:t xml:space="preserve">Change in U.S. vacation benefits </w:t>
            </w:r>
            <w:r>
              <w:rPr>
                <w:rFonts w:ascii="Arial" w:cs="Arial" w:eastAsia="Arial" w:hAnsi="Arial"/>
                <w:sz w:val="23"/>
                <w:szCs w:val="23"/>
                <w:color w:val="auto"/>
                <w:vertAlign w:val="superscript"/>
              </w:rPr>
              <w:t>(4)</w:t>
            </w:r>
          </w:p>
        </w:tc>
        <w:tc>
          <w:tcPr>
            <w:tcW w:w="10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360" w:type="dxa"/>
            <w:vAlign w:val="bottom"/>
            <w:gridSpan w:val="3"/>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6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580" w:type="dxa"/>
            <w:vAlign w:val="bottom"/>
          </w:tcPr>
          <w:p>
            <w:pPr>
              <w:spacing w:after="0"/>
              <w:rPr>
                <w:sz w:val="16"/>
                <w:szCs w:val="16"/>
                <w:color w:val="auto"/>
              </w:rPr>
            </w:pPr>
          </w:p>
        </w:tc>
        <w:tc>
          <w:tcPr>
            <w:tcW w:w="4960" w:type="dxa"/>
            <w:vAlign w:val="bottom"/>
            <w:gridSpan w:val="2"/>
          </w:tcPr>
          <w:p>
            <w:pPr>
              <w:spacing w:after="0"/>
              <w:rPr>
                <w:sz w:val="20"/>
                <w:szCs w:val="20"/>
                <w:color w:val="auto"/>
              </w:rPr>
            </w:pPr>
            <w:r>
              <w:rPr>
                <w:rFonts w:ascii="Arial" w:cs="Arial" w:eastAsia="Arial" w:hAnsi="Arial"/>
                <w:sz w:val="16"/>
                <w:szCs w:val="16"/>
                <w:color w:val="auto"/>
              </w:rPr>
              <w:t>Manufacturing costs originally planned to be absorbed by</w:t>
            </w: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580" w:type="dxa"/>
            <w:vAlign w:val="bottom"/>
          </w:tcPr>
          <w:p>
            <w:pPr>
              <w:spacing w:after="0"/>
              <w:rPr>
                <w:sz w:val="17"/>
                <w:szCs w:val="17"/>
                <w:color w:val="auto"/>
              </w:rPr>
            </w:pPr>
          </w:p>
        </w:tc>
        <w:tc>
          <w:tcPr>
            <w:tcW w:w="4960" w:type="dxa"/>
            <w:vAlign w:val="bottom"/>
            <w:gridSpan w:val="2"/>
          </w:tcPr>
          <w:p>
            <w:pPr>
              <w:ind w:left="120"/>
              <w:spacing w:after="0"/>
              <w:rPr>
                <w:sz w:val="20"/>
                <w:szCs w:val="20"/>
                <w:color w:val="auto"/>
              </w:rPr>
            </w:pPr>
            <w:r>
              <w:rPr>
                <w:rFonts w:ascii="Arial" w:cs="Arial" w:eastAsia="Arial" w:hAnsi="Arial"/>
                <w:sz w:val="16"/>
                <w:szCs w:val="16"/>
                <w:color w:val="auto"/>
              </w:rPr>
              <w:t xml:space="preserve">silver halide touch screen production </w:t>
            </w:r>
            <w:r>
              <w:rPr>
                <w:rFonts w:ascii="Arial" w:cs="Arial" w:eastAsia="Arial" w:hAnsi="Arial"/>
                <w:sz w:val="13"/>
                <w:szCs w:val="13"/>
                <w:color w:val="auto"/>
              </w:rPr>
              <w:t>(6)</w:t>
            </w: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6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80" w:type="dxa"/>
            <w:vAlign w:val="bottom"/>
            <w:gridSpan w:val="3"/>
          </w:tcPr>
          <w:p>
            <w:pPr>
              <w:jc w:val="right"/>
              <w:ind w:right="100"/>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4"/>
          </w:tcPr>
          <w:p>
            <w:pPr>
              <w:jc w:val="right"/>
              <w:ind w:right="4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6"/>
        </w:trPr>
        <w:tc>
          <w:tcPr>
            <w:tcW w:w="580" w:type="dxa"/>
            <w:vAlign w:val="bottom"/>
          </w:tcPr>
          <w:p>
            <w:pPr>
              <w:spacing w:after="0"/>
              <w:rPr>
                <w:sz w:val="17"/>
                <w:szCs w:val="17"/>
                <w:color w:val="auto"/>
              </w:rPr>
            </w:pPr>
          </w:p>
        </w:tc>
        <w:tc>
          <w:tcPr>
            <w:tcW w:w="49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 xml:space="preserve">Costs previously allocated to discontinued operations </w:t>
            </w:r>
            <w:r>
              <w:rPr>
                <w:rFonts w:ascii="Arial" w:cs="Arial" w:eastAsia="Arial" w:hAnsi="Arial"/>
                <w:sz w:val="13"/>
                <w:szCs w:val="13"/>
                <w:color w:val="auto"/>
              </w:rPr>
              <w:t>(7)</w:t>
            </w:r>
          </w:p>
        </w:tc>
        <w:tc>
          <w:tcPr>
            <w:tcW w:w="10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360" w:type="dxa"/>
            <w:vAlign w:val="bottom"/>
            <w:gridSpan w:val="3"/>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60" w:type="dxa"/>
            <w:vAlign w:val="bottom"/>
            <w:gridSpan w:val="4"/>
            <w:shd w:val="clear" w:color="auto" w:fill="CFF0FC"/>
          </w:tcPr>
          <w:p>
            <w:pPr>
              <w:jc w:val="right"/>
              <w:ind w:right="4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92"/>
        </w:trPr>
        <w:tc>
          <w:tcPr>
            <w:tcW w:w="580" w:type="dxa"/>
            <w:vAlign w:val="bottom"/>
          </w:tcPr>
          <w:p>
            <w:pPr>
              <w:spacing w:after="0"/>
              <w:rPr>
                <w:sz w:val="16"/>
                <w:szCs w:val="16"/>
                <w:color w:val="auto"/>
              </w:rPr>
            </w:pPr>
          </w:p>
        </w:tc>
        <w:tc>
          <w:tcPr>
            <w:tcW w:w="4960" w:type="dxa"/>
            <w:vAlign w:val="bottom"/>
            <w:gridSpan w:val="2"/>
          </w:tcPr>
          <w:p>
            <w:pPr>
              <w:spacing w:after="0"/>
              <w:rPr>
                <w:sz w:val="20"/>
                <w:szCs w:val="20"/>
                <w:color w:val="auto"/>
              </w:rPr>
            </w:pPr>
            <w:r>
              <w:rPr>
                <w:rFonts w:ascii="Arial" w:cs="Arial" w:eastAsia="Arial" w:hAnsi="Arial"/>
                <w:sz w:val="16"/>
                <w:szCs w:val="16"/>
                <w:color w:val="auto"/>
              </w:rPr>
              <w:t>Other operating (expense) income, net excluding gain related</w:t>
            </w: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580" w:type="dxa"/>
            <w:vAlign w:val="bottom"/>
          </w:tcPr>
          <w:p>
            <w:pPr>
              <w:spacing w:after="0"/>
              <w:rPr>
                <w:sz w:val="17"/>
                <w:szCs w:val="17"/>
                <w:color w:val="auto"/>
              </w:rPr>
            </w:pPr>
          </w:p>
        </w:tc>
        <w:tc>
          <w:tcPr>
            <w:tcW w:w="4960" w:type="dxa"/>
            <w:vAlign w:val="bottom"/>
            <w:gridSpan w:val="2"/>
          </w:tcPr>
          <w:p>
            <w:pPr>
              <w:ind w:left="120"/>
              <w:spacing w:after="0"/>
              <w:rPr>
                <w:sz w:val="20"/>
                <w:szCs w:val="20"/>
                <w:color w:val="auto"/>
              </w:rPr>
            </w:pPr>
            <w:r>
              <w:rPr>
                <w:rFonts w:ascii="Arial" w:cs="Arial" w:eastAsia="Arial" w:hAnsi="Arial"/>
                <w:sz w:val="16"/>
                <w:szCs w:val="16"/>
                <w:color w:val="auto"/>
              </w:rPr>
              <w:t xml:space="preserve">to Unipixel termination </w:t>
            </w:r>
            <w:r>
              <w:rPr>
                <w:rFonts w:ascii="Arial" w:cs="Arial" w:eastAsia="Arial" w:hAnsi="Arial"/>
                <w:sz w:val="13"/>
                <w:szCs w:val="13"/>
                <w:color w:val="auto"/>
              </w:rPr>
              <w:t>(8)</w:t>
            </w: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60" w:type="dxa"/>
            <w:vAlign w:val="bottom"/>
            <w:gridSpan w:val="3"/>
          </w:tcPr>
          <w:p>
            <w:pPr>
              <w:jc w:val="right"/>
              <w:ind w:right="40"/>
              <w:spacing w:after="0"/>
              <w:rPr>
                <w:sz w:val="20"/>
                <w:szCs w:val="20"/>
                <w:color w:val="auto"/>
              </w:rPr>
            </w:pPr>
            <w:r>
              <w:rPr>
                <w:rFonts w:ascii="Arial" w:cs="Arial" w:eastAsia="Arial" w:hAnsi="Arial"/>
                <w:sz w:val="16"/>
                <w:szCs w:val="16"/>
                <w:color w:val="auto"/>
              </w:rPr>
              <w:t>(28)</w:t>
            </w: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80" w:type="dxa"/>
            <w:vAlign w:val="bottom"/>
            <w:gridSpan w:val="3"/>
          </w:tcPr>
          <w:p>
            <w:pPr>
              <w:jc w:val="right"/>
              <w:ind w:right="100"/>
              <w:spacing w:after="0"/>
              <w:rPr>
                <w:sz w:val="20"/>
                <w:szCs w:val="20"/>
                <w:color w:val="auto"/>
              </w:rPr>
            </w:pPr>
            <w:r>
              <w:rPr>
                <w:rFonts w:ascii="Arial" w:cs="Arial" w:eastAsia="Arial" w:hAnsi="Arial"/>
                <w:sz w:val="16"/>
                <w:szCs w:val="16"/>
                <w:color w:val="auto"/>
              </w:rPr>
              <w:t>(16)</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3"/>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80" w:type="dxa"/>
            <w:vAlign w:val="bottom"/>
          </w:tcPr>
          <w:p>
            <w:pPr>
              <w:spacing w:after="0"/>
              <w:rPr>
                <w:sz w:val="17"/>
                <w:szCs w:val="17"/>
                <w:color w:val="auto"/>
              </w:rPr>
            </w:pPr>
          </w:p>
        </w:tc>
        <w:tc>
          <w:tcPr>
            <w:tcW w:w="49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 xml:space="preserve">Goodwill impairment loss </w:t>
            </w:r>
            <w:r>
              <w:rPr>
                <w:rFonts w:ascii="Arial" w:cs="Arial" w:eastAsia="Arial" w:hAnsi="Arial"/>
                <w:sz w:val="13"/>
                <w:szCs w:val="13"/>
                <w:color w:val="auto"/>
              </w:rPr>
              <w:t>(9)</w:t>
            </w:r>
          </w:p>
        </w:tc>
        <w:tc>
          <w:tcPr>
            <w:tcW w:w="10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360" w:type="dxa"/>
            <w:vAlign w:val="bottom"/>
            <w:gridSpan w:val="3"/>
            <w:shd w:val="clear" w:color="auto" w:fill="CFF0FC"/>
          </w:tcPr>
          <w:p>
            <w:pPr>
              <w:jc w:val="right"/>
              <w:ind w:right="40"/>
              <w:spacing w:after="0"/>
              <w:rPr>
                <w:sz w:val="20"/>
                <w:szCs w:val="20"/>
                <w:color w:val="auto"/>
              </w:rPr>
            </w:pPr>
            <w:r>
              <w:rPr>
                <w:rFonts w:ascii="Arial" w:cs="Arial" w:eastAsia="Arial" w:hAnsi="Arial"/>
                <w:sz w:val="16"/>
                <w:szCs w:val="16"/>
                <w:color w:val="auto"/>
              </w:rPr>
              <w:t>(56)</w:t>
            </w:r>
          </w:p>
        </w:tc>
        <w:tc>
          <w:tcPr>
            <w:tcW w:w="1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60" w:type="dxa"/>
            <w:vAlign w:val="bottom"/>
            <w:gridSpan w:val="4"/>
            <w:shd w:val="clear" w:color="auto" w:fill="CFF0FC"/>
          </w:tcPr>
          <w:p>
            <w:pPr>
              <w:jc w:val="right"/>
              <w:ind w:right="4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05"/>
        </w:trPr>
        <w:tc>
          <w:tcPr>
            <w:tcW w:w="580" w:type="dxa"/>
            <w:vAlign w:val="bottom"/>
          </w:tcPr>
          <w:p>
            <w:pPr>
              <w:spacing w:after="0"/>
              <w:rPr>
                <w:sz w:val="17"/>
                <w:szCs w:val="17"/>
                <w:color w:val="auto"/>
              </w:rPr>
            </w:pPr>
          </w:p>
        </w:tc>
        <w:tc>
          <w:tcPr>
            <w:tcW w:w="4960" w:type="dxa"/>
            <w:vAlign w:val="bottom"/>
            <w:gridSpan w:val="2"/>
          </w:tcPr>
          <w:p>
            <w:pPr>
              <w:spacing w:after="0"/>
              <w:rPr>
                <w:sz w:val="20"/>
                <w:szCs w:val="20"/>
                <w:color w:val="auto"/>
              </w:rPr>
            </w:pPr>
            <w:r>
              <w:rPr>
                <w:rFonts w:ascii="Arial" w:cs="Arial" w:eastAsia="Arial" w:hAnsi="Arial"/>
                <w:sz w:val="16"/>
                <w:szCs w:val="16"/>
                <w:color w:val="auto"/>
              </w:rPr>
              <w:t xml:space="preserve">Interest expense </w:t>
            </w:r>
            <w:r>
              <w:rPr>
                <w:rFonts w:ascii="Arial" w:cs="Arial" w:eastAsia="Arial" w:hAnsi="Arial"/>
                <w:sz w:val="13"/>
                <w:szCs w:val="13"/>
                <w:color w:val="auto"/>
              </w:rPr>
              <w:t>(9)</w:t>
            </w: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60" w:type="dxa"/>
            <w:vAlign w:val="bottom"/>
            <w:gridSpan w:val="3"/>
          </w:tcPr>
          <w:p>
            <w:pPr>
              <w:jc w:val="right"/>
              <w:ind w:right="40"/>
              <w:spacing w:after="0"/>
              <w:rPr>
                <w:sz w:val="20"/>
                <w:szCs w:val="20"/>
                <w:color w:val="auto"/>
              </w:rPr>
            </w:pPr>
            <w:r>
              <w:rPr>
                <w:rFonts w:ascii="Arial" w:cs="Arial" w:eastAsia="Arial" w:hAnsi="Arial"/>
                <w:sz w:val="16"/>
                <w:szCs w:val="16"/>
                <w:color w:val="auto"/>
              </w:rPr>
              <w:t>(32)</w:t>
            </w: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80" w:type="dxa"/>
            <w:vAlign w:val="bottom"/>
            <w:gridSpan w:val="3"/>
          </w:tcPr>
          <w:p>
            <w:pPr>
              <w:jc w:val="right"/>
              <w:ind w:right="100"/>
              <w:spacing w:after="0"/>
              <w:rPr>
                <w:sz w:val="20"/>
                <w:szCs w:val="20"/>
                <w:color w:val="auto"/>
              </w:rPr>
            </w:pPr>
            <w:r>
              <w:rPr>
                <w:rFonts w:ascii="Arial" w:cs="Arial" w:eastAsia="Arial" w:hAnsi="Arial"/>
                <w:sz w:val="16"/>
                <w:szCs w:val="16"/>
                <w:color w:val="auto"/>
              </w:rPr>
              <w:t>(60)</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4"/>
          </w:tcPr>
          <w:p>
            <w:pPr>
              <w:jc w:val="right"/>
              <w:ind w:right="40"/>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205"/>
        </w:trPr>
        <w:tc>
          <w:tcPr>
            <w:tcW w:w="580" w:type="dxa"/>
            <w:vAlign w:val="bottom"/>
          </w:tcPr>
          <w:p>
            <w:pPr>
              <w:spacing w:after="0"/>
              <w:rPr>
                <w:sz w:val="17"/>
                <w:szCs w:val="17"/>
                <w:color w:val="auto"/>
              </w:rPr>
            </w:pPr>
          </w:p>
        </w:tc>
        <w:tc>
          <w:tcPr>
            <w:tcW w:w="49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 xml:space="preserve">Loss on early extinguishment of debt, net </w:t>
            </w:r>
            <w:r>
              <w:rPr>
                <w:rFonts w:ascii="Arial" w:cs="Arial" w:eastAsia="Arial" w:hAnsi="Arial"/>
                <w:sz w:val="13"/>
                <w:szCs w:val="13"/>
                <w:color w:val="auto"/>
              </w:rPr>
              <w:t>(9)</w:t>
            </w:r>
          </w:p>
        </w:tc>
        <w:tc>
          <w:tcPr>
            <w:tcW w:w="10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360" w:type="dxa"/>
            <w:vAlign w:val="bottom"/>
            <w:gridSpan w:val="3"/>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580" w:type="dxa"/>
            <w:vAlign w:val="bottom"/>
            <w:gridSpan w:val="3"/>
            <w:shd w:val="clear" w:color="auto" w:fill="CFF0FC"/>
          </w:tcPr>
          <w:p>
            <w:pPr>
              <w:jc w:val="right"/>
              <w:ind w:right="100"/>
              <w:spacing w:after="0"/>
              <w:rPr>
                <w:sz w:val="20"/>
                <w:szCs w:val="20"/>
                <w:color w:val="auto"/>
              </w:rPr>
            </w:pPr>
            <w:r>
              <w:rPr>
                <w:rFonts w:ascii="Arial" w:cs="Arial" w:eastAsia="Arial" w:hAnsi="Arial"/>
                <w:sz w:val="16"/>
                <w:szCs w:val="16"/>
                <w:color w:val="auto"/>
              </w:rPr>
              <w:t>(4)</w:t>
            </w: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580" w:type="dxa"/>
            <w:vAlign w:val="bottom"/>
          </w:tcPr>
          <w:p>
            <w:pPr>
              <w:spacing w:after="0"/>
              <w:rPr>
                <w:sz w:val="17"/>
                <w:szCs w:val="17"/>
                <w:color w:val="auto"/>
              </w:rPr>
            </w:pPr>
          </w:p>
        </w:tc>
        <w:tc>
          <w:tcPr>
            <w:tcW w:w="4960" w:type="dxa"/>
            <w:vAlign w:val="bottom"/>
            <w:gridSpan w:val="2"/>
          </w:tcPr>
          <w:p>
            <w:pPr>
              <w:spacing w:after="0"/>
              <w:rPr>
                <w:sz w:val="20"/>
                <w:szCs w:val="20"/>
                <w:color w:val="auto"/>
              </w:rPr>
            </w:pPr>
            <w:r>
              <w:rPr>
                <w:rFonts w:ascii="Arial" w:cs="Arial" w:eastAsia="Arial" w:hAnsi="Arial"/>
                <w:sz w:val="16"/>
                <w:szCs w:val="16"/>
                <w:color w:val="auto"/>
              </w:rPr>
              <w:t xml:space="preserve">Other income (charges), net </w:t>
            </w:r>
            <w:r>
              <w:rPr>
                <w:rFonts w:ascii="Arial" w:cs="Arial" w:eastAsia="Arial" w:hAnsi="Arial"/>
                <w:sz w:val="13"/>
                <w:szCs w:val="13"/>
                <w:color w:val="auto"/>
              </w:rPr>
              <w:t>(9)</w:t>
            </w: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80" w:type="dxa"/>
            <w:vAlign w:val="bottom"/>
            <w:gridSpan w:val="3"/>
          </w:tcPr>
          <w:p>
            <w:pPr>
              <w:jc w:val="right"/>
              <w:ind w:right="100"/>
              <w:spacing w:after="0"/>
              <w:rPr>
                <w:sz w:val="20"/>
                <w:szCs w:val="20"/>
                <w:color w:val="auto"/>
              </w:rPr>
            </w:pPr>
            <w:r>
              <w:rPr>
                <w:rFonts w:ascii="Arial" w:cs="Arial" w:eastAsia="Arial" w:hAnsi="Arial"/>
                <w:sz w:val="16"/>
                <w:szCs w:val="16"/>
                <w:color w:val="auto"/>
              </w:rPr>
              <w:t>(4)</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4"/>
          </w:tcPr>
          <w:p>
            <w:pPr>
              <w:jc w:val="right"/>
              <w:ind w:right="40"/>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05"/>
        </w:trPr>
        <w:tc>
          <w:tcPr>
            <w:tcW w:w="580" w:type="dxa"/>
            <w:vAlign w:val="bottom"/>
          </w:tcPr>
          <w:p>
            <w:pPr>
              <w:spacing w:after="0"/>
              <w:rPr>
                <w:sz w:val="17"/>
                <w:szCs w:val="17"/>
                <w:color w:val="auto"/>
              </w:rPr>
            </w:pPr>
          </w:p>
        </w:tc>
        <w:tc>
          <w:tcPr>
            <w:tcW w:w="49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 xml:space="preserve">Reorganization items, net </w:t>
            </w:r>
            <w:r>
              <w:rPr>
                <w:rFonts w:ascii="Arial" w:cs="Arial" w:eastAsia="Arial" w:hAnsi="Arial"/>
                <w:sz w:val="13"/>
                <w:szCs w:val="13"/>
                <w:color w:val="auto"/>
              </w:rPr>
              <w:t>(9)</w:t>
            </w:r>
          </w:p>
        </w:tc>
        <w:tc>
          <w:tcPr>
            <w:tcW w:w="10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360" w:type="dxa"/>
            <w:vAlign w:val="bottom"/>
            <w:gridSpan w:val="3"/>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6</w:t>
            </w: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60" w:type="dxa"/>
            <w:vAlign w:val="bottom"/>
            <w:gridSpan w:val="4"/>
            <w:shd w:val="clear" w:color="auto" w:fill="CFF0FC"/>
          </w:tcPr>
          <w:p>
            <w:pPr>
              <w:jc w:val="right"/>
              <w:ind w:right="4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185"/>
        </w:trPr>
        <w:tc>
          <w:tcPr>
            <w:tcW w:w="580" w:type="dxa"/>
            <w:vAlign w:val="bottom"/>
          </w:tcPr>
          <w:p>
            <w:pPr>
              <w:spacing w:after="0"/>
              <w:rPr>
                <w:sz w:val="16"/>
                <w:szCs w:val="16"/>
                <w:color w:val="auto"/>
              </w:rPr>
            </w:pPr>
          </w:p>
        </w:tc>
        <w:tc>
          <w:tcPr>
            <w:tcW w:w="49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Consolidated (loss) earnings from continuing operations</w:t>
            </w:r>
          </w:p>
        </w:tc>
        <w:tc>
          <w:tcPr>
            <w:tcW w:w="1000" w:type="dxa"/>
            <w:vAlign w:val="bottom"/>
            <w:tcBorders>
              <w:top w:val="single" w:sz="8" w:color="CFF0FC"/>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20" w:type="dxa"/>
            <w:vAlign w:val="bottom"/>
            <w:tcBorders>
              <w:top w:val="single" w:sz="8" w:color="CFF0FC"/>
            </w:tcBorders>
            <w:shd w:val="clear" w:color="auto" w:fill="CFF0FC"/>
          </w:tcPr>
          <w:p>
            <w:pPr>
              <w:spacing w:after="0"/>
              <w:rPr>
                <w:sz w:val="16"/>
                <w:szCs w:val="16"/>
                <w:color w:val="auto"/>
              </w:rPr>
            </w:pPr>
          </w:p>
        </w:tc>
        <w:tc>
          <w:tcPr>
            <w:tcW w:w="940" w:type="dxa"/>
            <w:vAlign w:val="bottom"/>
            <w:tcBorders>
              <w:top w:val="single" w:sz="8" w:color="auto"/>
            </w:tcBorders>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spacing w:after="0"/>
              <w:rPr>
                <w:sz w:val="16"/>
                <w:szCs w:val="16"/>
                <w:color w:val="auto"/>
              </w:rPr>
            </w:pPr>
          </w:p>
        </w:tc>
        <w:tc>
          <w:tcPr>
            <w:tcW w:w="6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140" w:type="dxa"/>
            <w:vAlign w:val="bottom"/>
            <w:tcBorders>
              <w:top w:val="single" w:sz="8" w:color="CFF0FC"/>
            </w:tcBorders>
            <w:shd w:val="clear" w:color="auto" w:fill="CFF0FC"/>
          </w:tcPr>
          <w:p>
            <w:pPr>
              <w:spacing w:after="0"/>
              <w:rPr>
                <w:sz w:val="16"/>
                <w:szCs w:val="16"/>
                <w:color w:val="auto"/>
              </w:rPr>
            </w:pPr>
          </w:p>
        </w:tc>
        <w:tc>
          <w:tcPr>
            <w:tcW w:w="780" w:type="dxa"/>
            <w:vAlign w:val="bottom"/>
            <w:tcBorders>
              <w:top w:val="single" w:sz="8" w:color="auto"/>
            </w:tcBorders>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spacing w:after="0"/>
              <w:rPr>
                <w:sz w:val="16"/>
                <w:szCs w:val="16"/>
                <w:color w:val="auto"/>
              </w:rPr>
            </w:pPr>
          </w:p>
        </w:tc>
        <w:tc>
          <w:tcPr>
            <w:tcW w:w="16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240" w:type="dxa"/>
            <w:vAlign w:val="bottom"/>
            <w:tcBorders>
              <w:top w:val="single" w:sz="8" w:color="auto"/>
            </w:tcBorders>
            <w:shd w:val="clear" w:color="auto" w:fill="CFF0FC"/>
          </w:tcPr>
          <w:p>
            <w:pPr>
              <w:spacing w:after="0"/>
              <w:rPr>
                <w:sz w:val="16"/>
                <w:szCs w:val="16"/>
                <w:color w:val="auto"/>
              </w:rPr>
            </w:pPr>
          </w:p>
        </w:tc>
        <w:tc>
          <w:tcPr>
            <w:tcW w:w="400" w:type="dxa"/>
            <w:vAlign w:val="bottom"/>
            <w:tcBorders>
              <w:top w:val="single" w:sz="8" w:color="auto"/>
            </w:tcBorders>
            <w:shd w:val="clear" w:color="auto" w:fill="CFF0FC"/>
          </w:tcPr>
          <w:p>
            <w:pPr>
              <w:spacing w:after="0"/>
              <w:rPr>
                <w:sz w:val="16"/>
                <w:szCs w:val="16"/>
                <w:color w:val="auto"/>
              </w:rPr>
            </w:pPr>
          </w:p>
        </w:tc>
        <w:tc>
          <w:tcPr>
            <w:tcW w:w="80" w:type="dxa"/>
            <w:vAlign w:val="bottom"/>
            <w:tcBorders>
              <w:top w:val="single" w:sz="8" w:color="auto"/>
            </w:tcBorders>
            <w:shd w:val="clear" w:color="auto" w:fill="CFF0FC"/>
          </w:tcPr>
          <w:p>
            <w:pPr>
              <w:spacing w:after="0"/>
              <w:rPr>
                <w:sz w:val="16"/>
                <w:szCs w:val="16"/>
                <w:color w:val="auto"/>
              </w:rPr>
            </w:pPr>
          </w:p>
        </w:tc>
        <w:tc>
          <w:tcPr>
            <w:tcW w:w="48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580" w:type="dxa"/>
            <w:vAlign w:val="bottom"/>
          </w:tcPr>
          <w:p>
            <w:pPr>
              <w:spacing w:after="0"/>
              <w:rPr>
                <w:sz w:val="17"/>
                <w:szCs w:val="17"/>
                <w:color w:val="auto"/>
              </w:rPr>
            </w:pPr>
          </w:p>
        </w:tc>
        <w:tc>
          <w:tcPr>
            <w:tcW w:w="496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before income taxes</w:t>
            </w:r>
          </w:p>
        </w:tc>
        <w:tc>
          <w:tcPr>
            <w:tcW w:w="10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784"/>
              <w:spacing w:after="0"/>
              <w:rPr>
                <w:sz w:val="20"/>
                <w:szCs w:val="20"/>
                <w:color w:val="auto"/>
              </w:rPr>
            </w:pPr>
            <w:r>
              <w:rPr>
                <w:rFonts w:ascii="Arial" w:cs="Arial" w:eastAsia="Arial" w:hAnsi="Arial"/>
                <w:sz w:val="16"/>
                <w:szCs w:val="16"/>
                <w:color w:val="auto"/>
                <w:w w:val="89"/>
              </w:rPr>
              <w:t>$</w:t>
            </w:r>
          </w:p>
        </w:tc>
        <w:tc>
          <w:tcPr>
            <w:tcW w:w="360" w:type="dxa"/>
            <w:vAlign w:val="bottom"/>
            <w:gridSpan w:val="3"/>
            <w:shd w:val="clear" w:color="auto" w:fill="CFF0FC"/>
          </w:tcPr>
          <w:p>
            <w:pPr>
              <w:jc w:val="right"/>
              <w:ind w:right="40"/>
              <w:spacing w:after="0"/>
              <w:rPr>
                <w:sz w:val="20"/>
                <w:szCs w:val="20"/>
                <w:color w:val="auto"/>
              </w:rPr>
            </w:pPr>
            <w:r>
              <w:rPr>
                <w:rFonts w:ascii="Arial" w:cs="Arial" w:eastAsia="Arial" w:hAnsi="Arial"/>
                <w:sz w:val="16"/>
                <w:szCs w:val="16"/>
                <w:color w:val="auto"/>
              </w:rPr>
              <w:t>(13)</w:t>
            </w:r>
          </w:p>
        </w:tc>
        <w:tc>
          <w:tcPr>
            <w:tcW w:w="920" w:type="dxa"/>
            <w:vAlign w:val="bottom"/>
            <w:gridSpan w:val="2"/>
            <w:shd w:val="clear" w:color="auto" w:fill="CFF0FC"/>
          </w:tcPr>
          <w:p>
            <w:pPr>
              <w:jc w:val="right"/>
              <w:ind w:right="624"/>
              <w:spacing w:after="0"/>
              <w:rPr>
                <w:sz w:val="20"/>
                <w:szCs w:val="20"/>
                <w:color w:val="auto"/>
              </w:rPr>
            </w:pPr>
            <w:r>
              <w:rPr>
                <w:rFonts w:ascii="Arial" w:cs="Arial" w:eastAsia="Arial" w:hAnsi="Arial"/>
                <w:sz w:val="16"/>
                <w:szCs w:val="16"/>
                <w:color w:val="auto"/>
              </w:rPr>
              <w:t>$</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51</w:t>
            </w:r>
          </w:p>
        </w:tc>
        <w:tc>
          <w:tcPr>
            <w:tcW w:w="160" w:type="dxa"/>
            <w:vAlign w:val="bottom"/>
            <w:shd w:val="clear" w:color="auto" w:fill="CFF0FC"/>
          </w:tcPr>
          <w:p>
            <w:pPr>
              <w:spacing w:after="0"/>
              <w:rPr>
                <w:sz w:val="17"/>
                <w:szCs w:val="17"/>
                <w:color w:val="auto"/>
              </w:rPr>
            </w:pPr>
          </w:p>
        </w:tc>
        <w:tc>
          <w:tcPr>
            <w:tcW w:w="320" w:type="dxa"/>
            <w:vAlign w:val="bottom"/>
            <w:gridSpan w:val="2"/>
            <w:shd w:val="clear" w:color="auto" w:fill="CFF0FC"/>
          </w:tcPr>
          <w:p>
            <w:pPr>
              <w:jc w:val="right"/>
              <w:ind w:right="84"/>
              <w:spacing w:after="0"/>
              <w:rPr>
                <w:sz w:val="20"/>
                <w:szCs w:val="20"/>
                <w:color w:val="auto"/>
              </w:rPr>
            </w:pPr>
            <w:r>
              <w:rPr>
                <w:rFonts w:ascii="Arial" w:cs="Arial" w:eastAsia="Arial" w:hAnsi="Arial"/>
                <w:sz w:val="16"/>
                <w:szCs w:val="16"/>
                <w:color w:val="auto"/>
              </w:rPr>
              <w:t>$</w:t>
            </w:r>
          </w:p>
        </w:tc>
        <w:tc>
          <w:tcPr>
            <w:tcW w:w="1060" w:type="dxa"/>
            <w:vAlign w:val="bottom"/>
            <w:gridSpan w:val="4"/>
            <w:shd w:val="clear" w:color="auto" w:fill="CFF0FC"/>
          </w:tcPr>
          <w:p>
            <w:pPr>
              <w:jc w:val="right"/>
              <w:ind w:right="40"/>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60" w:type="dxa"/>
            <w:vAlign w:val="bottom"/>
            <w:tcBorders>
              <w:top w:val="single" w:sz="8" w:color="CFF0FC"/>
            </w:tcBorders>
          </w:tcPr>
          <w:p>
            <w:pPr>
              <w:spacing w:after="0" w:line="20" w:lineRule="exact"/>
              <w:rPr>
                <w:sz w:val="1"/>
                <w:szCs w:val="1"/>
                <w:color w:val="auto"/>
              </w:rPr>
            </w:pPr>
          </w:p>
        </w:tc>
        <w:tc>
          <w:tcPr>
            <w:tcW w:w="440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ind w:left="383" w:hanging="383"/>
        <w:spacing w:after="0"/>
        <w:tabs>
          <w:tab w:leader="none" w:pos="383" w:val="left"/>
        </w:tabs>
        <w:numPr>
          <w:ilvl w:val="0"/>
          <w:numId w:val="30"/>
        </w:numPr>
        <w:rPr>
          <w:rFonts w:ascii="Arial" w:cs="Arial" w:eastAsia="Arial" w:hAnsi="Arial"/>
          <w:sz w:val="13"/>
          <w:szCs w:val="13"/>
          <w:color w:val="auto"/>
        </w:rPr>
      </w:pPr>
      <w:r>
        <w:rPr>
          <w:rFonts w:ascii="Arial" w:cs="Arial" w:eastAsia="Arial" w:hAnsi="Arial"/>
          <w:sz w:val="15"/>
          <w:szCs w:val="15"/>
          <w:color w:val="auto"/>
        </w:rPr>
        <w:t>RED utilities variable interest entity which was deconsolidated as of December 31, 2016 (interest and depreciation of RED are included in the respective lines below).</w:t>
      </w:r>
    </w:p>
    <w:p>
      <w:pPr>
        <w:spacing w:after="0" w:line="117" w:lineRule="exact"/>
        <w:rPr>
          <w:rFonts w:ascii="Arial" w:cs="Arial" w:eastAsia="Arial" w:hAnsi="Arial"/>
          <w:sz w:val="13"/>
          <w:szCs w:val="13"/>
          <w:color w:val="auto"/>
        </w:rPr>
      </w:pPr>
    </w:p>
    <w:p>
      <w:pPr>
        <w:ind w:left="383" w:right="320" w:hanging="383"/>
        <w:spacing w:after="0" w:line="280" w:lineRule="auto"/>
        <w:tabs>
          <w:tab w:leader="none" w:pos="383" w:val="left"/>
        </w:tabs>
        <w:numPr>
          <w:ilvl w:val="0"/>
          <w:numId w:val="30"/>
        </w:numPr>
        <w:rPr>
          <w:rFonts w:ascii="Arial" w:cs="Arial" w:eastAsia="Arial" w:hAnsi="Arial"/>
          <w:sz w:val="14"/>
          <w:szCs w:val="14"/>
          <w:color w:val="auto"/>
        </w:rPr>
      </w:pPr>
      <w:r>
        <w:rPr>
          <w:rFonts w:ascii="Arial" w:cs="Arial" w:eastAsia="Arial" w:hAnsi="Arial"/>
          <w:sz w:val="16"/>
          <w:szCs w:val="16"/>
          <w:color w:val="auto"/>
        </w:rPr>
        <w:t>Composed of interest cost, expected return on plan assets, amortization of actuarial gains and losses, and curtailments and settlement components of pension and other postretirement benefit expenses.</w:t>
      </w:r>
    </w:p>
    <w:p>
      <w:pPr>
        <w:spacing w:after="0" w:line="54" w:lineRule="exact"/>
        <w:rPr>
          <w:rFonts w:ascii="Arial" w:cs="Arial" w:eastAsia="Arial" w:hAnsi="Arial"/>
          <w:sz w:val="14"/>
          <w:szCs w:val="14"/>
          <w:color w:val="auto"/>
        </w:rPr>
      </w:pPr>
    </w:p>
    <w:p>
      <w:pPr>
        <w:ind w:left="383" w:hanging="383"/>
        <w:spacing w:after="0"/>
        <w:tabs>
          <w:tab w:leader="none" w:pos="383" w:val="left"/>
        </w:tabs>
        <w:numPr>
          <w:ilvl w:val="0"/>
          <w:numId w:val="30"/>
        </w:numPr>
        <w:rPr>
          <w:rFonts w:ascii="Arial" w:cs="Arial" w:eastAsia="Arial" w:hAnsi="Arial"/>
          <w:sz w:val="14"/>
          <w:szCs w:val="14"/>
          <w:color w:val="auto"/>
        </w:rPr>
      </w:pPr>
      <w:r>
        <w:rPr>
          <w:rFonts w:ascii="Arial" w:cs="Arial" w:eastAsia="Arial" w:hAnsi="Arial"/>
          <w:sz w:val="16"/>
          <w:szCs w:val="16"/>
          <w:color w:val="auto"/>
        </w:rPr>
        <w:t>Consulting and other costs are professional services and internal costs associated with certain corporate strategic initiatives.</w:t>
      </w:r>
    </w:p>
    <w:p>
      <w:pPr>
        <w:spacing w:after="0" w:line="106" w:lineRule="exact"/>
        <w:rPr>
          <w:rFonts w:ascii="Arial" w:cs="Arial" w:eastAsia="Arial" w:hAnsi="Arial"/>
          <w:sz w:val="14"/>
          <w:szCs w:val="14"/>
          <w:color w:val="auto"/>
        </w:rPr>
      </w:pPr>
    </w:p>
    <w:p>
      <w:pPr>
        <w:ind w:left="383" w:hanging="383"/>
        <w:spacing w:after="0" w:line="266" w:lineRule="auto"/>
        <w:tabs>
          <w:tab w:leader="none" w:pos="383" w:val="left"/>
        </w:tabs>
        <w:numPr>
          <w:ilvl w:val="0"/>
          <w:numId w:val="30"/>
        </w:numPr>
        <w:rPr>
          <w:rFonts w:ascii="Arial" w:cs="Arial" w:eastAsia="Arial" w:hAnsi="Arial"/>
          <w:sz w:val="14"/>
          <w:szCs w:val="14"/>
          <w:color w:val="auto"/>
        </w:rPr>
      </w:pPr>
      <w:r>
        <w:rPr>
          <w:rFonts w:ascii="Arial" w:cs="Arial" w:eastAsia="Arial" w:hAnsi="Arial"/>
          <w:sz w:val="16"/>
          <w:szCs w:val="16"/>
          <w:color w:val="auto"/>
        </w:rPr>
        <w:t>In the fourth quarter of 2015, Kodak changed the timing of when affected U.S. employees earn their vacation benefits, which reduced Kodak’s obligation to employees and the related accrual by $17 million as of December 31, 2015. The reduction in the accrual impacted gross profit by approximately $9 million, SG&amp;A by approximately $5 million, R&amp;D by approximately $3 million.</w:t>
      </w:r>
    </w:p>
    <w:p>
      <w:pPr>
        <w:spacing w:after="0" w:line="162"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62865</wp:posOffset>
            </wp:positionV>
            <wp:extent cx="7301865" cy="406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301865" cy="40640"/>
                    </a:xfrm>
                    <a:prstGeom prst="rect">
                      <a:avLst/>
                    </a:prstGeom>
                    <a:noFill/>
                  </pic:spPr>
                </pic:pic>
              </a:graphicData>
            </a:graphic>
          </wp:anchor>
        </w:drawing>
      </w:r>
    </w:p>
    <w:p>
      <w:pPr>
        <w:sectPr>
          <w:pgSz w:w="11900" w:h="16838" w:orient="portrait"/>
          <w:cols w:equalWidth="0" w:num="1">
            <w:col w:w="11423"/>
          </w:cols>
          <w:pgMar w:left="237" w:top="123" w:right="239" w:bottom="1440" w:gutter="0" w:footer="0" w:header="0"/>
        </w:sectPr>
      </w:pPr>
    </w:p>
    <w:bookmarkStart w:id="38" w:name="page39"/>
    <w:bookmarkEnd w:id="38"/>
    <w:p>
      <w:pPr>
        <w:ind w:left="383" w:hanging="383"/>
        <w:spacing w:after="0"/>
        <w:tabs>
          <w:tab w:leader="none" w:pos="383" w:val="left"/>
        </w:tabs>
        <w:numPr>
          <w:ilvl w:val="0"/>
          <w:numId w:val="31"/>
        </w:numPr>
        <w:rPr>
          <w:rFonts w:ascii="Arial" w:cs="Arial" w:eastAsia="Arial" w:hAnsi="Arial"/>
          <w:sz w:val="13"/>
          <w:szCs w:val="13"/>
          <w:color w:val="auto"/>
        </w:rPr>
      </w:pPr>
      <w:r>
        <w:rPr>
          <w:rFonts w:ascii="Arial" w:cs="Arial" w:eastAsia="Arial" w:hAnsi="Arial"/>
          <w:sz w:val="15"/>
          <w:szCs w:val="15"/>
          <w:color w:val="auto"/>
        </w:rPr>
        <w:t>Consists of third party costs such as security, maintenance, and utilities required to maintain land and buildings in certain locations not used in any Kodak operations.</w:t>
      </w:r>
    </w:p>
    <w:p>
      <w:pPr>
        <w:spacing w:after="0" w:line="238" w:lineRule="exact"/>
        <w:rPr>
          <w:rFonts w:ascii="Arial" w:cs="Arial" w:eastAsia="Arial" w:hAnsi="Arial"/>
          <w:sz w:val="13"/>
          <w:szCs w:val="13"/>
          <w:color w:val="auto"/>
        </w:rPr>
      </w:pPr>
    </w:p>
    <w:p>
      <w:pPr>
        <w:ind w:left="383" w:right="40" w:hanging="383"/>
        <w:spacing w:after="0" w:line="280" w:lineRule="auto"/>
        <w:tabs>
          <w:tab w:leader="none" w:pos="383" w:val="left"/>
        </w:tabs>
        <w:numPr>
          <w:ilvl w:val="0"/>
          <w:numId w:val="31"/>
        </w:numPr>
        <w:rPr>
          <w:rFonts w:ascii="Arial" w:cs="Arial" w:eastAsia="Arial" w:hAnsi="Arial"/>
          <w:sz w:val="14"/>
          <w:szCs w:val="14"/>
          <w:color w:val="auto"/>
        </w:rPr>
      </w:pPr>
      <w:r>
        <w:rPr>
          <w:rFonts w:ascii="Arial" w:cs="Arial" w:eastAsia="Arial" w:hAnsi="Arial"/>
          <w:sz w:val="16"/>
          <w:szCs w:val="16"/>
          <w:color w:val="auto"/>
        </w:rPr>
        <w:t>Consists of manufacturing costs originally planned to be absorbed by silver metal mesh touch screen production that are now excluded from the measure of segment profit and loss.</w:t>
      </w:r>
    </w:p>
    <w:p>
      <w:pPr>
        <w:spacing w:after="0" w:line="175" w:lineRule="exact"/>
        <w:rPr>
          <w:rFonts w:ascii="Arial" w:cs="Arial" w:eastAsia="Arial" w:hAnsi="Arial"/>
          <w:sz w:val="14"/>
          <w:szCs w:val="14"/>
          <w:color w:val="auto"/>
        </w:rPr>
      </w:pPr>
    </w:p>
    <w:p>
      <w:pPr>
        <w:ind w:left="383" w:right="680" w:hanging="383"/>
        <w:spacing w:after="0" w:line="280" w:lineRule="auto"/>
        <w:tabs>
          <w:tab w:leader="none" w:pos="383" w:val="left"/>
        </w:tabs>
        <w:numPr>
          <w:ilvl w:val="0"/>
          <w:numId w:val="31"/>
        </w:numPr>
        <w:rPr>
          <w:rFonts w:ascii="Arial" w:cs="Arial" w:eastAsia="Arial" w:hAnsi="Arial"/>
          <w:sz w:val="14"/>
          <w:szCs w:val="14"/>
          <w:color w:val="auto"/>
        </w:rPr>
      </w:pPr>
      <w:r>
        <w:rPr>
          <w:rFonts w:ascii="Arial" w:cs="Arial" w:eastAsia="Arial" w:hAnsi="Arial"/>
          <w:sz w:val="16"/>
          <w:szCs w:val="16"/>
          <w:color w:val="auto"/>
        </w:rPr>
        <w:t>Includes indirect costs originally allocated to businesses that are now included in discontinued operations. When the businesses met the criteria to be reported as discontinued operations, the allocated costs were removed and recorded in continuing operations.</w:t>
      </w:r>
    </w:p>
    <w:p>
      <w:pPr>
        <w:spacing w:after="0" w:line="175" w:lineRule="exact"/>
        <w:rPr>
          <w:rFonts w:ascii="Arial" w:cs="Arial" w:eastAsia="Arial" w:hAnsi="Arial"/>
          <w:sz w:val="14"/>
          <w:szCs w:val="14"/>
          <w:color w:val="auto"/>
        </w:rPr>
      </w:pPr>
    </w:p>
    <w:p>
      <w:pPr>
        <w:ind w:left="383" w:hanging="383"/>
        <w:spacing w:after="0"/>
        <w:tabs>
          <w:tab w:leader="none" w:pos="383" w:val="left"/>
        </w:tabs>
        <w:numPr>
          <w:ilvl w:val="0"/>
          <w:numId w:val="31"/>
        </w:numPr>
        <w:rPr>
          <w:rFonts w:ascii="Arial" w:cs="Arial" w:eastAsia="Arial" w:hAnsi="Arial"/>
          <w:sz w:val="13"/>
          <w:szCs w:val="13"/>
          <w:color w:val="auto"/>
        </w:rPr>
      </w:pPr>
      <w:r>
        <w:rPr>
          <w:rFonts w:ascii="Arial" w:cs="Arial" w:eastAsia="Arial" w:hAnsi="Arial"/>
          <w:sz w:val="15"/>
          <w:szCs w:val="15"/>
          <w:color w:val="auto"/>
        </w:rPr>
        <w:t>In 2015 a $3 million gain was recognized related to assets that were acquired for no monetary consideration as a part of the termination of the relationship with</w:t>
      </w:r>
    </w:p>
    <w:p>
      <w:pPr>
        <w:spacing w:after="0" w:line="33" w:lineRule="exact"/>
        <w:rPr>
          <w:rFonts w:ascii="Arial" w:cs="Arial" w:eastAsia="Arial" w:hAnsi="Arial"/>
          <w:sz w:val="13"/>
          <w:szCs w:val="13"/>
          <w:color w:val="auto"/>
        </w:rPr>
      </w:pPr>
    </w:p>
    <w:p>
      <w:pPr>
        <w:ind w:left="383"/>
        <w:spacing w:after="0" w:line="336" w:lineRule="auto"/>
        <w:rPr>
          <w:rFonts w:ascii="Arial" w:cs="Arial" w:eastAsia="Arial" w:hAnsi="Arial"/>
          <w:sz w:val="13"/>
          <w:szCs w:val="13"/>
          <w:color w:val="auto"/>
        </w:rPr>
      </w:pPr>
      <w:r>
        <w:rPr>
          <w:rFonts w:ascii="Arial" w:cs="Arial" w:eastAsia="Arial" w:hAnsi="Arial"/>
          <w:sz w:val="14"/>
          <w:szCs w:val="14"/>
          <w:color w:val="auto"/>
        </w:rPr>
        <w:t>Unipixel. The gain was reported in Other operating expense (income), net in the Consolidated Statement of Operations. Other operating (income) expense, net is typically excluded from the segment measure. However, this particular gain was included in the Advanced Materials and 3D Printing Technology segment’s earnings in 2015.</w:t>
      </w:r>
    </w:p>
    <w:p>
      <w:pPr>
        <w:spacing w:after="0" w:line="141" w:lineRule="exact"/>
        <w:rPr>
          <w:rFonts w:ascii="Arial" w:cs="Arial" w:eastAsia="Arial" w:hAnsi="Arial"/>
          <w:sz w:val="13"/>
          <w:szCs w:val="13"/>
          <w:color w:val="auto"/>
        </w:rPr>
      </w:pPr>
    </w:p>
    <w:p>
      <w:pPr>
        <w:ind w:left="383" w:hanging="383"/>
        <w:spacing w:after="0"/>
        <w:tabs>
          <w:tab w:leader="none" w:pos="383" w:val="left"/>
        </w:tabs>
        <w:numPr>
          <w:ilvl w:val="0"/>
          <w:numId w:val="31"/>
        </w:numPr>
        <w:rPr>
          <w:rFonts w:ascii="Arial" w:cs="Arial" w:eastAsia="Arial" w:hAnsi="Arial"/>
          <w:sz w:val="14"/>
          <w:szCs w:val="14"/>
          <w:color w:val="auto"/>
        </w:rPr>
      </w:pPr>
      <w:r>
        <w:rPr>
          <w:rFonts w:ascii="Arial" w:cs="Arial" w:eastAsia="Arial" w:hAnsi="Arial"/>
          <w:sz w:val="16"/>
          <w:szCs w:val="16"/>
          <w:color w:val="auto"/>
        </w:rPr>
        <w:t>As reported in the Consolidated Statement of Operations.</w:t>
      </w:r>
    </w:p>
    <w:p>
      <w:pPr>
        <w:spacing w:after="0" w:line="200" w:lineRule="exact"/>
        <w:rPr>
          <w:sz w:val="20"/>
          <w:szCs w:val="20"/>
          <w:color w:val="auto"/>
        </w:rPr>
      </w:pPr>
    </w:p>
    <w:p>
      <w:pPr>
        <w:spacing w:after="0" w:line="245" w:lineRule="exact"/>
        <w:rPr>
          <w:sz w:val="20"/>
          <w:szCs w:val="20"/>
          <w:color w:val="auto"/>
        </w:rPr>
      </w:pPr>
    </w:p>
    <w:p>
      <w:pPr>
        <w:ind w:left="3" w:right="180"/>
        <w:spacing w:after="0" w:line="280" w:lineRule="auto"/>
        <w:rPr>
          <w:sz w:val="20"/>
          <w:szCs w:val="20"/>
          <w:color w:val="auto"/>
        </w:rPr>
      </w:pPr>
      <w:r>
        <w:rPr>
          <w:rFonts w:ascii="Arial" w:cs="Arial" w:eastAsia="Arial" w:hAnsi="Arial"/>
          <w:sz w:val="16"/>
          <w:szCs w:val="16"/>
          <w:color w:val="auto"/>
        </w:rPr>
        <w:t>Kodak reduced workers’ compensation reserves by approximately $8 million in both 2016 and 2015, primarily driven by changes in discount rates. The reduction in reserves impacted gross profit by approximately $4 million, SG&amp;A by approximately $3 million and R&amp;D by approximately $1 million in both years.</w:t>
      </w:r>
    </w:p>
    <w:p>
      <w:pPr>
        <w:spacing w:after="0" w:line="151" w:lineRule="exact"/>
        <w:rPr>
          <w:sz w:val="20"/>
          <w:szCs w:val="20"/>
          <w:color w:val="auto"/>
        </w:rPr>
      </w:pPr>
    </w:p>
    <w:p>
      <w:pPr>
        <w:jc w:val="center"/>
        <w:ind w:right="-22"/>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62865</wp:posOffset>
            </wp:positionV>
            <wp:extent cx="7301865" cy="406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301865" cy="40640"/>
                    </a:xfrm>
                    <a:prstGeom prst="rect">
                      <a:avLst/>
                    </a:prstGeom>
                    <a:noFill/>
                  </pic:spPr>
                </pic:pic>
              </a:graphicData>
            </a:graphic>
          </wp:anchor>
        </w:drawing>
      </w:r>
    </w:p>
    <w:p>
      <w:pPr>
        <w:sectPr>
          <w:pgSz w:w="11900" w:h="16838" w:orient="portrait"/>
          <w:cols w:equalWidth="0" w:num="1">
            <w:col w:w="11423"/>
          </w:cols>
          <w:pgMar w:left="237" w:top="127" w:right="2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10"/>
        </w:trPr>
        <w:tc>
          <w:tcPr>
            <w:tcW w:w="2840" w:type="dxa"/>
            <w:vAlign w:val="bottom"/>
          </w:tcPr>
          <w:p>
            <w:pPr>
              <w:spacing w:after="0"/>
              <w:rPr>
                <w:sz w:val="20"/>
                <w:szCs w:val="20"/>
                <w:color w:val="auto"/>
              </w:rPr>
            </w:pPr>
            <w:r>
              <w:rPr>
                <w:rFonts w:ascii="Arial" w:cs="Arial" w:eastAsia="Arial" w:hAnsi="Arial"/>
                <w:sz w:val="16"/>
                <w:szCs w:val="16"/>
                <w:b w:val="1"/>
                <w:bCs w:val="1"/>
                <w:color w:val="auto"/>
              </w:rPr>
              <w:t>RESULTS OF OPERATIONS</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407"/>
        </w:trPr>
        <w:tc>
          <w:tcPr>
            <w:tcW w:w="2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gridSpan w:val="3"/>
          </w:tcPr>
          <w:p>
            <w:pPr>
              <w:jc w:val="right"/>
              <w:ind w:right="280"/>
              <w:spacing w:after="0"/>
              <w:rPr>
                <w:sz w:val="20"/>
                <w:szCs w:val="20"/>
                <w:color w:val="auto"/>
              </w:rPr>
            </w:pPr>
            <w:r>
              <w:rPr>
                <w:rFonts w:ascii="Arial" w:cs="Arial" w:eastAsia="Arial" w:hAnsi="Arial"/>
                <w:sz w:val="16"/>
                <w:szCs w:val="16"/>
                <w:b w:val="1"/>
                <w:bCs w:val="1"/>
                <w:color w:val="auto"/>
                <w:w w:val="95"/>
              </w:rPr>
              <w:t>Year Ended</w:t>
            </w: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gridSpan w:val="3"/>
          </w:tcPr>
          <w:p>
            <w:pPr>
              <w:ind w:left="60"/>
              <w:spacing w:after="0"/>
              <w:rPr>
                <w:sz w:val="20"/>
                <w:szCs w:val="20"/>
                <w:color w:val="auto"/>
              </w:rPr>
            </w:pPr>
            <w:r>
              <w:rPr>
                <w:rFonts w:ascii="Arial" w:cs="Arial" w:eastAsia="Arial" w:hAnsi="Arial"/>
                <w:sz w:val="16"/>
                <w:szCs w:val="16"/>
                <w:b w:val="1"/>
                <w:bCs w:val="1"/>
                <w:color w:val="auto"/>
              </w:rPr>
              <w:t>Year Ended</w:t>
            </w: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gridSpan w:val="3"/>
          </w:tcPr>
          <w:p>
            <w:pPr>
              <w:jc w:val="right"/>
              <w:ind w:right="260"/>
              <w:spacing w:after="0"/>
              <w:rPr>
                <w:sz w:val="20"/>
                <w:szCs w:val="20"/>
                <w:color w:val="auto"/>
              </w:rPr>
            </w:pPr>
            <w:r>
              <w:rPr>
                <w:rFonts w:ascii="Arial" w:cs="Arial" w:eastAsia="Arial" w:hAnsi="Arial"/>
                <w:sz w:val="16"/>
                <w:szCs w:val="16"/>
                <w:b w:val="1"/>
                <w:bCs w:val="1"/>
                <w:color w:val="auto"/>
                <w:w w:val="95"/>
              </w:rPr>
              <w:t>Year Ended</w:t>
            </w: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05"/>
        </w:trPr>
        <w:tc>
          <w:tcPr>
            <w:tcW w:w="2840" w:type="dxa"/>
            <w:vAlign w:val="bottom"/>
          </w:tcPr>
          <w:p>
            <w:pPr>
              <w:spacing w:after="0"/>
              <w:rPr>
                <w:sz w:val="17"/>
                <w:szCs w:val="17"/>
                <w:color w:val="auto"/>
              </w:rPr>
            </w:pPr>
          </w:p>
        </w:tc>
        <w:tc>
          <w:tcPr>
            <w:tcW w:w="1480" w:type="dxa"/>
            <w:vAlign w:val="bottom"/>
            <w:gridSpan w:val="4"/>
          </w:tcPr>
          <w:p>
            <w:pPr>
              <w:ind w:left="340"/>
              <w:spacing w:after="0"/>
              <w:rPr>
                <w:sz w:val="20"/>
                <w:szCs w:val="20"/>
                <w:color w:val="auto"/>
              </w:rPr>
            </w:pPr>
            <w:r>
              <w:rPr>
                <w:rFonts w:ascii="Arial" w:cs="Arial" w:eastAsia="Arial" w:hAnsi="Arial"/>
                <w:sz w:val="16"/>
                <w:szCs w:val="16"/>
                <w:b w:val="1"/>
                <w:bCs w:val="1"/>
                <w:color w:val="auto"/>
              </w:rPr>
              <w:t>December 31,</w:t>
            </w:r>
          </w:p>
        </w:tc>
        <w:tc>
          <w:tcPr>
            <w:tcW w:w="92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rPr>
              <w:t>% of</w:t>
            </w:r>
          </w:p>
        </w:tc>
        <w:tc>
          <w:tcPr>
            <w:tcW w:w="1120" w:type="dxa"/>
            <w:vAlign w:val="bottom"/>
            <w:gridSpan w:val="3"/>
          </w:tcPr>
          <w:p>
            <w:pPr>
              <w:spacing w:after="0"/>
              <w:rPr>
                <w:sz w:val="20"/>
                <w:szCs w:val="20"/>
                <w:color w:val="auto"/>
              </w:rPr>
            </w:pPr>
            <w:r>
              <w:rPr>
                <w:rFonts w:ascii="Arial" w:cs="Arial" w:eastAsia="Arial" w:hAnsi="Arial"/>
                <w:sz w:val="16"/>
                <w:szCs w:val="16"/>
                <w:b w:val="1"/>
                <w:bCs w:val="1"/>
                <w:color w:val="auto"/>
              </w:rPr>
              <w:t>December 31,</w:t>
            </w:r>
          </w:p>
        </w:tc>
        <w:tc>
          <w:tcPr>
            <w:tcW w:w="88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rPr>
              <w:t>% of</w:t>
            </w:r>
          </w:p>
        </w:tc>
        <w:tc>
          <w:tcPr>
            <w:tcW w:w="1060" w:type="dxa"/>
            <w:vAlign w:val="bottom"/>
            <w:gridSpan w:val="3"/>
          </w:tcPr>
          <w:p>
            <w:pPr>
              <w:jc w:val="right"/>
              <w:ind w:right="120"/>
              <w:spacing w:after="0"/>
              <w:rPr>
                <w:sz w:val="20"/>
                <w:szCs w:val="20"/>
                <w:color w:val="auto"/>
              </w:rPr>
            </w:pPr>
            <w:r>
              <w:rPr>
                <w:rFonts w:ascii="Arial" w:cs="Arial" w:eastAsia="Arial" w:hAnsi="Arial"/>
                <w:sz w:val="16"/>
                <w:szCs w:val="16"/>
                <w:b w:val="1"/>
                <w:bCs w:val="1"/>
                <w:color w:val="auto"/>
                <w:w w:val="93"/>
              </w:rPr>
              <w:t>$ Change vs.</w:t>
            </w:r>
          </w:p>
        </w:tc>
        <w:tc>
          <w:tcPr>
            <w:tcW w:w="1200" w:type="dxa"/>
            <w:vAlign w:val="bottom"/>
            <w:gridSpan w:val="4"/>
          </w:tcPr>
          <w:p>
            <w:pPr>
              <w:ind w:left="80"/>
              <w:spacing w:after="0"/>
              <w:rPr>
                <w:sz w:val="20"/>
                <w:szCs w:val="20"/>
                <w:color w:val="auto"/>
              </w:rPr>
            </w:pPr>
            <w:r>
              <w:rPr>
                <w:rFonts w:ascii="Arial" w:cs="Arial" w:eastAsia="Arial" w:hAnsi="Arial"/>
                <w:sz w:val="16"/>
                <w:szCs w:val="16"/>
                <w:b w:val="1"/>
                <w:bCs w:val="1"/>
                <w:color w:val="auto"/>
              </w:rPr>
              <w:t>December 31,</w:t>
            </w:r>
          </w:p>
        </w:tc>
        <w:tc>
          <w:tcPr>
            <w:tcW w:w="94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rPr>
              <w:t>% of</w:t>
            </w:r>
          </w:p>
        </w:tc>
        <w:tc>
          <w:tcPr>
            <w:tcW w:w="100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w w:val="87"/>
              </w:rPr>
              <w:t>$ Change vs.</w:t>
            </w:r>
          </w:p>
        </w:tc>
      </w:tr>
      <w:tr>
        <w:trPr>
          <w:trHeight w:val="210"/>
        </w:trPr>
        <w:tc>
          <w:tcPr>
            <w:tcW w:w="2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ind w:right="239"/>
              <w:spacing w:after="0"/>
              <w:rPr>
                <w:sz w:val="20"/>
                <w:szCs w:val="20"/>
                <w:color w:val="auto"/>
              </w:rPr>
            </w:pPr>
            <w:r>
              <w:rPr>
                <w:rFonts w:ascii="Arial" w:cs="Arial" w:eastAsia="Arial" w:hAnsi="Arial"/>
                <w:sz w:val="16"/>
                <w:szCs w:val="16"/>
                <w:b w:val="1"/>
                <w:bCs w:val="1"/>
                <w:color w:val="auto"/>
              </w:rPr>
              <w:t>2017</w:t>
            </w:r>
          </w:p>
        </w:tc>
        <w:tc>
          <w:tcPr>
            <w:tcW w:w="200" w:type="dxa"/>
            <w:vAlign w:val="bottom"/>
          </w:tcPr>
          <w:p>
            <w:pPr>
              <w:spacing w:after="0"/>
              <w:rPr>
                <w:sz w:val="18"/>
                <w:szCs w:val="18"/>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rPr>
              <w:t>Sales</w:t>
            </w:r>
          </w:p>
        </w:tc>
        <w:tc>
          <w:tcPr>
            <w:tcW w:w="180" w:type="dxa"/>
            <w:vAlign w:val="bottom"/>
          </w:tcPr>
          <w:p>
            <w:pPr>
              <w:spacing w:after="0"/>
              <w:rPr>
                <w:sz w:val="18"/>
                <w:szCs w:val="18"/>
                <w:color w:val="auto"/>
              </w:rPr>
            </w:pPr>
          </w:p>
        </w:tc>
        <w:tc>
          <w:tcPr>
            <w:tcW w:w="760" w:type="dxa"/>
            <w:vAlign w:val="bottom"/>
          </w:tcPr>
          <w:p>
            <w:pPr>
              <w:jc w:val="right"/>
              <w:ind w:right="239"/>
              <w:spacing w:after="0"/>
              <w:rPr>
                <w:sz w:val="20"/>
                <w:szCs w:val="20"/>
                <w:color w:val="auto"/>
              </w:rPr>
            </w:pPr>
            <w:r>
              <w:rPr>
                <w:rFonts w:ascii="Arial" w:cs="Arial" w:eastAsia="Arial" w:hAnsi="Arial"/>
                <w:sz w:val="16"/>
                <w:szCs w:val="16"/>
                <w:b w:val="1"/>
                <w:bCs w:val="1"/>
                <w:color w:val="auto"/>
              </w:rPr>
              <w:t>2016</w:t>
            </w:r>
          </w:p>
        </w:tc>
        <w:tc>
          <w:tcPr>
            <w:tcW w:w="18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rPr>
              <w:t>Sales</w:t>
            </w:r>
          </w:p>
        </w:tc>
        <w:tc>
          <w:tcPr>
            <w:tcW w:w="940" w:type="dxa"/>
            <w:vAlign w:val="bottom"/>
            <w:gridSpan w:val="2"/>
          </w:tcPr>
          <w:p>
            <w:pPr>
              <w:jc w:val="right"/>
              <w:ind w:right="19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ind w:right="239"/>
              <w:spacing w:after="0"/>
              <w:rPr>
                <w:sz w:val="20"/>
                <w:szCs w:val="20"/>
                <w:color w:val="auto"/>
              </w:rPr>
            </w:pPr>
            <w:r>
              <w:rPr>
                <w:rFonts w:ascii="Arial" w:cs="Arial" w:eastAsia="Arial" w:hAnsi="Arial"/>
                <w:sz w:val="16"/>
                <w:szCs w:val="16"/>
                <w:b w:val="1"/>
                <w:bCs w:val="1"/>
                <w:color w:val="auto"/>
              </w:rPr>
              <w:t>2015</w:t>
            </w:r>
          </w:p>
        </w:tc>
        <w:tc>
          <w:tcPr>
            <w:tcW w:w="18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rPr>
              <w:t>Sales</w:t>
            </w:r>
          </w:p>
        </w:tc>
        <w:tc>
          <w:tcPr>
            <w:tcW w:w="880" w:type="dxa"/>
            <w:vAlign w:val="bottom"/>
          </w:tcPr>
          <w:p>
            <w:pPr>
              <w:jc w:val="right"/>
              <w:ind w:right="19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18"/>
                <w:szCs w:val="18"/>
                <w:color w:val="auto"/>
              </w:rPr>
            </w:pPr>
          </w:p>
        </w:tc>
      </w:tr>
      <w:tr>
        <w:trPr>
          <w:trHeight w:val="198"/>
        </w:trPr>
        <w:tc>
          <w:tcPr>
            <w:tcW w:w="2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Revenues</w:t>
            </w:r>
          </w:p>
        </w:tc>
        <w:tc>
          <w:tcPr>
            <w:tcW w:w="34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1,531</w:t>
            </w:r>
          </w:p>
        </w:tc>
        <w:tc>
          <w:tcPr>
            <w:tcW w:w="200" w:type="dxa"/>
            <w:vAlign w:val="bottom"/>
            <w:tcBorders>
              <w:top w:val="single" w:sz="8" w:color="CFF0FC"/>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30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1,643</w:t>
            </w:r>
          </w:p>
        </w:tc>
        <w:tc>
          <w:tcPr>
            <w:tcW w:w="180" w:type="dxa"/>
            <w:vAlign w:val="bottom"/>
            <w:tcBorders>
              <w:top w:val="single" w:sz="8" w:color="CFF0FC"/>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(112)</w:t>
            </w:r>
          </w:p>
        </w:tc>
        <w:tc>
          <w:tcPr>
            <w:tcW w:w="1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1,803</w:t>
            </w:r>
          </w:p>
        </w:tc>
        <w:tc>
          <w:tcPr>
            <w:tcW w:w="180" w:type="dxa"/>
            <w:vAlign w:val="bottom"/>
            <w:tcBorders>
              <w:top w:val="single" w:sz="8" w:color="CFF0FC"/>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(160)</w:t>
            </w:r>
          </w:p>
        </w:tc>
        <w:tc>
          <w:tcPr>
            <w:tcW w:w="120" w:type="dxa"/>
            <w:vAlign w:val="bottom"/>
            <w:tcBorders>
              <w:top w:val="single" w:sz="8" w:color="CFF0FC"/>
            </w:tcBorders>
            <w:shd w:val="clear" w:color="auto" w:fill="CFF0FC"/>
          </w:tcPr>
          <w:p>
            <w:pPr>
              <w:spacing w:after="0"/>
              <w:rPr>
                <w:sz w:val="17"/>
                <w:szCs w:val="17"/>
                <w:color w:val="auto"/>
              </w:rPr>
            </w:pPr>
          </w:p>
        </w:tc>
      </w:tr>
      <w:tr>
        <w:trPr>
          <w:trHeight w:val="205"/>
        </w:trPr>
        <w:tc>
          <w:tcPr>
            <w:tcW w:w="2840" w:type="dxa"/>
            <w:vAlign w:val="bottom"/>
          </w:tcPr>
          <w:p>
            <w:pPr>
              <w:spacing w:after="0"/>
              <w:rPr>
                <w:sz w:val="20"/>
                <w:szCs w:val="20"/>
                <w:color w:val="auto"/>
              </w:rPr>
            </w:pPr>
            <w:r>
              <w:rPr>
                <w:rFonts w:ascii="Arial" w:cs="Arial" w:eastAsia="Arial" w:hAnsi="Arial"/>
                <w:sz w:val="16"/>
                <w:szCs w:val="16"/>
                <w:color w:val="auto"/>
              </w:rPr>
              <w:t>Cost of revenues</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1,176</w:t>
            </w: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1,240</w:t>
            </w: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3"/>
          </w:tcPr>
          <w:p>
            <w:pPr>
              <w:jc w:val="right"/>
              <w:ind w:right="60"/>
              <w:spacing w:after="0"/>
              <w:rPr>
                <w:sz w:val="20"/>
                <w:szCs w:val="20"/>
                <w:color w:val="auto"/>
              </w:rPr>
            </w:pPr>
            <w:r>
              <w:rPr>
                <w:rFonts w:ascii="Arial" w:cs="Arial" w:eastAsia="Arial" w:hAnsi="Arial"/>
                <w:sz w:val="16"/>
                <w:szCs w:val="16"/>
                <w:color w:val="auto"/>
              </w:rPr>
              <w:t>(64)</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1,422</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(182)</w:t>
            </w:r>
          </w:p>
        </w:tc>
      </w:tr>
      <w:tr>
        <w:trPr>
          <w:trHeight w:val="198"/>
        </w:trPr>
        <w:tc>
          <w:tcPr>
            <w:tcW w:w="2840" w:type="dxa"/>
            <w:vAlign w:val="bottom"/>
            <w:tcBorders>
              <w:top w:val="single" w:sz="8" w:color="CFF0FC"/>
            </w:tcBorders>
            <w:shd w:val="clear" w:color="auto" w:fill="CFF0FC"/>
          </w:tcPr>
          <w:p>
            <w:pPr>
              <w:ind w:left="220"/>
              <w:spacing w:after="0"/>
              <w:rPr>
                <w:sz w:val="20"/>
                <w:szCs w:val="20"/>
                <w:color w:val="auto"/>
              </w:rPr>
            </w:pPr>
            <w:r>
              <w:rPr>
                <w:rFonts w:ascii="Arial" w:cs="Arial" w:eastAsia="Arial" w:hAnsi="Arial"/>
                <w:sz w:val="16"/>
                <w:szCs w:val="16"/>
                <w:color w:val="auto"/>
              </w:rPr>
              <w:t>Gross profit</w:t>
            </w:r>
          </w:p>
        </w:tc>
        <w:tc>
          <w:tcPr>
            <w:tcW w:w="34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355</w:t>
            </w:r>
          </w:p>
        </w:tc>
        <w:tc>
          <w:tcPr>
            <w:tcW w:w="200" w:type="dxa"/>
            <w:vAlign w:val="bottom"/>
            <w:tcBorders>
              <w:top w:val="single" w:sz="8" w:color="CFF0FC"/>
            </w:tcBorders>
            <w:shd w:val="clear" w:color="auto" w:fill="CFF0FC"/>
          </w:tcPr>
          <w:p>
            <w:pPr>
              <w:spacing w:after="0"/>
              <w:rPr>
                <w:sz w:val="17"/>
                <w:szCs w:val="17"/>
                <w:color w:val="auto"/>
              </w:rPr>
            </w:pPr>
          </w:p>
        </w:tc>
        <w:tc>
          <w:tcPr>
            <w:tcW w:w="920" w:type="dxa"/>
            <w:vAlign w:val="bottom"/>
            <w:tcBorders>
              <w:top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23%</w:t>
            </w:r>
          </w:p>
        </w:tc>
        <w:tc>
          <w:tcPr>
            <w:tcW w:w="18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403</w:t>
            </w:r>
          </w:p>
        </w:tc>
        <w:tc>
          <w:tcPr>
            <w:tcW w:w="180" w:type="dxa"/>
            <w:vAlign w:val="bottom"/>
            <w:tcBorders>
              <w:top w:val="single" w:sz="8" w:color="CFF0FC"/>
            </w:tcBorders>
            <w:shd w:val="clear" w:color="auto" w:fill="CFF0FC"/>
          </w:tcPr>
          <w:p>
            <w:pPr>
              <w:spacing w:after="0"/>
              <w:rPr>
                <w:sz w:val="17"/>
                <w:szCs w:val="17"/>
                <w:color w:val="auto"/>
              </w:rPr>
            </w:pPr>
          </w:p>
        </w:tc>
        <w:tc>
          <w:tcPr>
            <w:tcW w:w="880" w:type="dxa"/>
            <w:vAlign w:val="bottom"/>
            <w:tcBorders>
              <w:top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25%</w:t>
            </w:r>
          </w:p>
        </w:tc>
        <w:tc>
          <w:tcPr>
            <w:tcW w:w="60" w:type="dxa"/>
            <w:vAlign w:val="bottom"/>
            <w:tcBorders>
              <w:top w:val="single" w:sz="8" w:color="CFF0FC"/>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(48)</w:t>
            </w:r>
          </w:p>
        </w:tc>
        <w:tc>
          <w:tcPr>
            <w:tcW w:w="1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381</w:t>
            </w:r>
          </w:p>
        </w:tc>
        <w:tc>
          <w:tcPr>
            <w:tcW w:w="180" w:type="dxa"/>
            <w:vAlign w:val="bottom"/>
            <w:tcBorders>
              <w:top w:val="single" w:sz="8" w:color="CFF0FC"/>
            </w:tcBorders>
            <w:shd w:val="clear" w:color="auto" w:fill="CFF0FC"/>
          </w:tcPr>
          <w:p>
            <w:pPr>
              <w:spacing w:after="0"/>
              <w:rPr>
                <w:sz w:val="17"/>
                <w:szCs w:val="17"/>
                <w:color w:val="auto"/>
              </w:rPr>
            </w:pPr>
          </w:p>
        </w:tc>
        <w:tc>
          <w:tcPr>
            <w:tcW w:w="940" w:type="dxa"/>
            <w:vAlign w:val="bottom"/>
            <w:tcBorders>
              <w:top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21%</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w:t>
            </w:r>
          </w:p>
        </w:tc>
        <w:tc>
          <w:tcPr>
            <w:tcW w:w="120" w:type="dxa"/>
            <w:vAlign w:val="bottom"/>
            <w:tcBorders>
              <w:top w:val="single" w:sz="8" w:color="CFF0FC"/>
            </w:tcBorders>
            <w:shd w:val="clear" w:color="auto" w:fill="CFF0FC"/>
          </w:tcPr>
          <w:p>
            <w:pPr>
              <w:spacing w:after="0"/>
              <w:rPr>
                <w:sz w:val="17"/>
                <w:szCs w:val="17"/>
                <w:color w:val="auto"/>
              </w:rPr>
            </w:pPr>
          </w:p>
        </w:tc>
      </w:tr>
      <w:tr>
        <w:trPr>
          <w:trHeight w:val="193"/>
        </w:trPr>
        <w:tc>
          <w:tcPr>
            <w:tcW w:w="2840" w:type="dxa"/>
            <w:vAlign w:val="bottom"/>
          </w:tcPr>
          <w:p>
            <w:pPr>
              <w:spacing w:after="0"/>
              <w:rPr>
                <w:sz w:val="20"/>
                <w:szCs w:val="20"/>
                <w:color w:val="auto"/>
              </w:rPr>
            </w:pPr>
            <w:r>
              <w:rPr>
                <w:rFonts w:ascii="Arial" w:cs="Arial" w:eastAsia="Arial" w:hAnsi="Arial"/>
                <w:sz w:val="16"/>
                <w:szCs w:val="16"/>
                <w:color w:val="auto"/>
              </w:rPr>
              <w:t>Selling, general and administrative</w:t>
            </w: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6"/>
        </w:trPr>
        <w:tc>
          <w:tcPr>
            <w:tcW w:w="2840" w:type="dxa"/>
            <w:vAlign w:val="bottom"/>
          </w:tcPr>
          <w:p>
            <w:pPr>
              <w:ind w:left="120"/>
              <w:spacing w:after="0"/>
              <w:rPr>
                <w:sz w:val="20"/>
                <w:szCs w:val="20"/>
                <w:color w:val="auto"/>
              </w:rPr>
            </w:pPr>
            <w:r>
              <w:rPr>
                <w:rFonts w:ascii="Arial" w:cs="Arial" w:eastAsia="Arial" w:hAnsi="Arial"/>
                <w:sz w:val="16"/>
                <w:szCs w:val="16"/>
                <w:color w:val="auto"/>
              </w:rPr>
              <w:t>expenses</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205</w:t>
            </w:r>
          </w:p>
        </w:tc>
        <w:tc>
          <w:tcPr>
            <w:tcW w:w="20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13%</w:t>
            </w: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198</w:t>
            </w:r>
          </w:p>
        </w:tc>
        <w:tc>
          <w:tcPr>
            <w:tcW w:w="18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12%</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226</w:t>
            </w:r>
          </w:p>
        </w:tc>
        <w:tc>
          <w:tcPr>
            <w:tcW w:w="18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13%</w:t>
            </w: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(28)</w:t>
            </w:r>
          </w:p>
        </w:tc>
      </w:tr>
      <w:tr>
        <w:trPr>
          <w:trHeight w:val="206"/>
        </w:trPr>
        <w:tc>
          <w:tcPr>
            <w:tcW w:w="2840" w:type="dxa"/>
            <w:vAlign w:val="bottom"/>
            <w:shd w:val="clear" w:color="auto" w:fill="CFF0FC"/>
          </w:tcPr>
          <w:p>
            <w:pPr>
              <w:spacing w:after="0"/>
              <w:rPr>
                <w:sz w:val="20"/>
                <w:szCs w:val="20"/>
                <w:color w:val="auto"/>
              </w:rPr>
            </w:pPr>
            <w:r>
              <w:rPr>
                <w:rFonts w:ascii="Arial" w:cs="Arial" w:eastAsia="Arial" w:hAnsi="Arial"/>
                <w:sz w:val="16"/>
                <w:szCs w:val="16"/>
                <w:color w:val="auto"/>
              </w:rPr>
              <w:t>Research and development costs</w:t>
            </w:r>
          </w:p>
        </w:tc>
        <w:tc>
          <w:tcPr>
            <w:tcW w:w="3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w:t>
            </w:r>
          </w:p>
        </w:tc>
        <w:tc>
          <w:tcPr>
            <w:tcW w:w="20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3%</w:t>
            </w:r>
          </w:p>
        </w:tc>
        <w:tc>
          <w:tcPr>
            <w:tcW w:w="18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w:t>
            </w:r>
          </w:p>
        </w:tc>
        <w:tc>
          <w:tcPr>
            <w:tcW w:w="18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4%</w:t>
            </w:r>
          </w:p>
        </w:tc>
        <w:tc>
          <w:tcPr>
            <w:tcW w:w="1060" w:type="dxa"/>
            <w:vAlign w:val="bottom"/>
            <w:gridSpan w:val="3"/>
            <w:shd w:val="clear" w:color="auto" w:fill="CFF0FC"/>
          </w:tcPr>
          <w:p>
            <w:pPr>
              <w:jc w:val="right"/>
              <w:ind w:right="60"/>
              <w:spacing w:after="0"/>
              <w:rPr>
                <w:sz w:val="20"/>
                <w:szCs w:val="20"/>
                <w:color w:val="auto"/>
              </w:rPr>
            </w:pPr>
            <w:r>
              <w:rPr>
                <w:rFonts w:ascii="Arial" w:cs="Arial" w:eastAsia="Arial" w:hAnsi="Arial"/>
                <w:sz w:val="16"/>
                <w:szCs w:val="16"/>
                <w:color w:val="auto"/>
              </w:rPr>
              <w:t>(7)</w:t>
            </w: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w:t>
            </w:r>
          </w:p>
        </w:tc>
        <w:tc>
          <w:tcPr>
            <w:tcW w:w="18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3%</w:t>
            </w: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w:t>
            </w:r>
          </w:p>
        </w:tc>
      </w:tr>
      <w:tr>
        <w:trPr>
          <w:trHeight w:val="205"/>
        </w:trPr>
        <w:tc>
          <w:tcPr>
            <w:tcW w:w="2840" w:type="dxa"/>
            <w:vAlign w:val="bottom"/>
          </w:tcPr>
          <w:p>
            <w:pPr>
              <w:spacing w:after="0"/>
              <w:rPr>
                <w:sz w:val="20"/>
                <w:szCs w:val="20"/>
                <w:color w:val="auto"/>
              </w:rPr>
            </w:pPr>
            <w:r>
              <w:rPr>
                <w:rFonts w:ascii="Arial" w:cs="Arial" w:eastAsia="Arial" w:hAnsi="Arial"/>
                <w:sz w:val="16"/>
                <w:szCs w:val="16"/>
                <w:color w:val="auto"/>
              </w:rPr>
              <w:t>Restructuring costs and other</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31</w:t>
            </w:r>
          </w:p>
        </w:tc>
        <w:tc>
          <w:tcPr>
            <w:tcW w:w="20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2%</w:t>
            </w: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16</w:t>
            </w:r>
          </w:p>
        </w:tc>
        <w:tc>
          <w:tcPr>
            <w:tcW w:w="18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1%</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38</w:t>
            </w:r>
          </w:p>
        </w:tc>
        <w:tc>
          <w:tcPr>
            <w:tcW w:w="18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2%</w:t>
            </w: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(22)</w:t>
            </w:r>
          </w:p>
        </w:tc>
      </w:tr>
      <w:tr>
        <w:trPr>
          <w:trHeight w:val="205"/>
        </w:trPr>
        <w:tc>
          <w:tcPr>
            <w:tcW w:w="2840" w:type="dxa"/>
            <w:vAlign w:val="bottom"/>
            <w:shd w:val="clear" w:color="auto" w:fill="CFF0FC"/>
          </w:tcPr>
          <w:p>
            <w:pPr>
              <w:spacing w:after="0"/>
              <w:rPr>
                <w:sz w:val="20"/>
                <w:szCs w:val="20"/>
                <w:color w:val="auto"/>
              </w:rPr>
            </w:pPr>
            <w:r>
              <w:rPr>
                <w:rFonts w:ascii="Arial" w:cs="Arial" w:eastAsia="Arial" w:hAnsi="Arial"/>
                <w:sz w:val="16"/>
                <w:szCs w:val="16"/>
                <w:color w:val="auto"/>
              </w:rPr>
              <w:t>Other operating expense (income), net</w:t>
            </w:r>
          </w:p>
        </w:tc>
        <w:tc>
          <w:tcPr>
            <w:tcW w:w="3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w:t>
            </w:r>
          </w:p>
        </w:tc>
        <w:tc>
          <w:tcPr>
            <w:tcW w:w="20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2%</w:t>
            </w:r>
          </w:p>
        </w:tc>
        <w:tc>
          <w:tcPr>
            <w:tcW w:w="18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w:t>
            </w:r>
          </w:p>
        </w:tc>
        <w:tc>
          <w:tcPr>
            <w:tcW w:w="18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(6)</w:t>
            </w: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0%</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w:t>
            </w:r>
          </w:p>
        </w:tc>
        <w:tc>
          <w:tcPr>
            <w:tcW w:w="120" w:type="dxa"/>
            <w:vAlign w:val="bottom"/>
            <w:shd w:val="clear" w:color="auto" w:fill="CFF0FC"/>
          </w:tcPr>
          <w:p>
            <w:pPr>
              <w:spacing w:after="0"/>
              <w:rPr>
                <w:sz w:val="17"/>
                <w:szCs w:val="17"/>
                <w:color w:val="auto"/>
              </w:rPr>
            </w:pPr>
          </w:p>
        </w:tc>
      </w:tr>
      <w:tr>
        <w:trPr>
          <w:trHeight w:val="205"/>
        </w:trPr>
        <w:tc>
          <w:tcPr>
            <w:tcW w:w="2840" w:type="dxa"/>
            <w:vAlign w:val="bottom"/>
          </w:tcPr>
          <w:p>
            <w:pPr>
              <w:spacing w:after="0"/>
              <w:rPr>
                <w:sz w:val="20"/>
                <w:szCs w:val="20"/>
                <w:color w:val="auto"/>
              </w:rPr>
            </w:pPr>
            <w:r>
              <w:rPr>
                <w:rFonts w:ascii="Arial" w:cs="Arial" w:eastAsia="Arial" w:hAnsi="Arial"/>
                <w:sz w:val="16"/>
                <w:szCs w:val="16"/>
                <w:color w:val="auto"/>
              </w:rPr>
              <w:t>Goodwill impairment loss</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56</w:t>
            </w:r>
          </w:p>
        </w:tc>
        <w:tc>
          <w:tcPr>
            <w:tcW w:w="20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4%</w:t>
            </w:r>
          </w:p>
        </w:tc>
        <w:tc>
          <w:tcPr>
            <w:tcW w:w="18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0%</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56</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w:t>
            </w:r>
          </w:p>
        </w:tc>
        <w:tc>
          <w:tcPr>
            <w:tcW w:w="18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0%</w:t>
            </w: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(8)</w:t>
            </w:r>
          </w:p>
        </w:tc>
      </w:tr>
      <w:tr>
        <w:trPr>
          <w:trHeight w:val="185"/>
        </w:trPr>
        <w:tc>
          <w:tcPr>
            <w:tcW w:w="2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(Loss) earnings from continuing</w:t>
            </w:r>
          </w:p>
        </w:tc>
        <w:tc>
          <w:tcPr>
            <w:tcW w:w="340" w:type="dxa"/>
            <w:vAlign w:val="bottom"/>
            <w:tcBorders>
              <w:top w:val="single" w:sz="8" w:color="CFF0FC"/>
            </w:tcBorders>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760" w:type="dxa"/>
            <w:vAlign w:val="bottom"/>
            <w:tcBorders>
              <w:top w:val="single" w:sz="8" w:color="auto"/>
            </w:tcBorders>
            <w:shd w:val="clear" w:color="auto" w:fill="CFF0FC"/>
          </w:tcPr>
          <w:p>
            <w:pPr>
              <w:spacing w:after="0"/>
              <w:rPr>
                <w:sz w:val="16"/>
                <w:szCs w:val="16"/>
                <w:color w:val="auto"/>
              </w:rPr>
            </w:pPr>
          </w:p>
        </w:tc>
        <w:tc>
          <w:tcPr>
            <w:tcW w:w="200" w:type="dxa"/>
            <w:vAlign w:val="bottom"/>
            <w:tcBorders>
              <w:top w:val="single" w:sz="8" w:color="CFF0FC"/>
            </w:tcBorders>
            <w:shd w:val="clear" w:color="auto" w:fill="CFF0FC"/>
          </w:tcPr>
          <w:p>
            <w:pPr>
              <w:spacing w:after="0"/>
              <w:rPr>
                <w:sz w:val="16"/>
                <w:szCs w:val="16"/>
                <w:color w:val="auto"/>
              </w:rPr>
            </w:pPr>
          </w:p>
        </w:tc>
        <w:tc>
          <w:tcPr>
            <w:tcW w:w="620" w:type="dxa"/>
            <w:vAlign w:val="bottom"/>
            <w:tcBorders>
              <w:top w:val="single" w:sz="8" w:color="CFF0FC"/>
            </w:tcBorders>
            <w:shd w:val="clear" w:color="auto" w:fill="CFF0FC"/>
          </w:tcPr>
          <w:p>
            <w:pPr>
              <w:spacing w:after="0"/>
              <w:rPr>
                <w:sz w:val="16"/>
                <w:szCs w:val="16"/>
                <w:color w:val="auto"/>
              </w:rPr>
            </w:pPr>
          </w:p>
        </w:tc>
        <w:tc>
          <w:tcPr>
            <w:tcW w:w="300" w:type="dxa"/>
            <w:vAlign w:val="bottom"/>
            <w:tcBorders>
              <w:top w:val="single" w:sz="8" w:color="CFF0FC"/>
            </w:tcBorders>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760" w:type="dxa"/>
            <w:vAlign w:val="bottom"/>
            <w:tcBorders>
              <w:top w:val="single" w:sz="8" w:color="auto"/>
            </w:tcBorders>
            <w:shd w:val="clear" w:color="auto" w:fill="CFF0FC"/>
          </w:tcPr>
          <w:p>
            <w:pPr>
              <w:spacing w:after="0"/>
              <w:rPr>
                <w:sz w:val="16"/>
                <w:szCs w:val="16"/>
                <w:color w:val="auto"/>
              </w:rPr>
            </w:pPr>
          </w:p>
        </w:tc>
        <w:tc>
          <w:tcPr>
            <w:tcW w:w="180" w:type="dxa"/>
            <w:vAlign w:val="bottom"/>
            <w:tcBorders>
              <w:top w:val="single" w:sz="8" w:color="CFF0FC"/>
            </w:tcBorders>
            <w:shd w:val="clear" w:color="auto" w:fill="CFF0FC"/>
          </w:tcPr>
          <w:p>
            <w:pPr>
              <w:spacing w:after="0"/>
              <w:rPr>
                <w:sz w:val="16"/>
                <w:szCs w:val="16"/>
                <w:color w:val="auto"/>
              </w:rPr>
            </w:pPr>
          </w:p>
        </w:tc>
        <w:tc>
          <w:tcPr>
            <w:tcW w:w="640" w:type="dxa"/>
            <w:vAlign w:val="bottom"/>
            <w:tcBorders>
              <w:top w:val="single" w:sz="8" w:color="CFF0FC"/>
            </w:tcBorders>
            <w:shd w:val="clear" w:color="auto" w:fill="CFF0FC"/>
          </w:tcPr>
          <w:p>
            <w:pPr>
              <w:spacing w:after="0"/>
              <w:rPr>
                <w:sz w:val="16"/>
                <w:szCs w:val="16"/>
                <w:color w:val="auto"/>
              </w:rPr>
            </w:pPr>
          </w:p>
        </w:tc>
        <w:tc>
          <w:tcPr>
            <w:tcW w:w="240" w:type="dxa"/>
            <w:vAlign w:val="bottom"/>
            <w:tcBorders>
              <w:top w:val="single" w:sz="8" w:color="CFF0FC"/>
            </w:tcBorders>
            <w:shd w:val="clear" w:color="auto" w:fill="CFF0FC"/>
          </w:tcPr>
          <w:p>
            <w:pPr>
              <w:spacing w:after="0"/>
              <w:rPr>
                <w:sz w:val="16"/>
                <w:szCs w:val="16"/>
                <w:color w:val="auto"/>
              </w:rPr>
            </w:pPr>
          </w:p>
        </w:tc>
        <w:tc>
          <w:tcPr>
            <w:tcW w:w="60" w:type="dxa"/>
            <w:vAlign w:val="bottom"/>
            <w:tcBorders>
              <w:top w:val="single" w:sz="8" w:color="CFF0FC"/>
            </w:tcBorders>
            <w:shd w:val="clear" w:color="auto" w:fill="CFF0FC"/>
          </w:tcPr>
          <w:p>
            <w:pPr>
              <w:spacing w:after="0"/>
              <w:rPr>
                <w:sz w:val="16"/>
                <w:szCs w:val="16"/>
                <w:color w:val="auto"/>
              </w:rPr>
            </w:pPr>
          </w:p>
        </w:tc>
        <w:tc>
          <w:tcPr>
            <w:tcW w:w="88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760" w:type="dxa"/>
            <w:vAlign w:val="bottom"/>
            <w:tcBorders>
              <w:top w:val="single" w:sz="8" w:color="auto"/>
            </w:tcBorders>
            <w:shd w:val="clear" w:color="auto" w:fill="CFF0FC"/>
          </w:tcPr>
          <w:p>
            <w:pPr>
              <w:spacing w:after="0"/>
              <w:rPr>
                <w:sz w:val="16"/>
                <w:szCs w:val="16"/>
                <w:color w:val="auto"/>
              </w:rPr>
            </w:pPr>
          </w:p>
        </w:tc>
        <w:tc>
          <w:tcPr>
            <w:tcW w:w="180" w:type="dxa"/>
            <w:vAlign w:val="bottom"/>
            <w:tcBorders>
              <w:top w:val="single" w:sz="8" w:color="CFF0FC"/>
            </w:tcBorders>
            <w:shd w:val="clear" w:color="auto" w:fill="CFF0FC"/>
          </w:tcPr>
          <w:p>
            <w:pPr>
              <w:spacing w:after="0"/>
              <w:rPr>
                <w:sz w:val="16"/>
                <w:szCs w:val="16"/>
                <w:color w:val="auto"/>
              </w:rPr>
            </w:pPr>
          </w:p>
        </w:tc>
        <w:tc>
          <w:tcPr>
            <w:tcW w:w="660" w:type="dxa"/>
            <w:vAlign w:val="bottom"/>
            <w:tcBorders>
              <w:top w:val="single" w:sz="8" w:color="CFF0FC"/>
            </w:tcBorders>
            <w:shd w:val="clear" w:color="auto" w:fill="CFF0FC"/>
          </w:tcPr>
          <w:p>
            <w:pPr>
              <w:spacing w:after="0"/>
              <w:rPr>
                <w:sz w:val="16"/>
                <w:szCs w:val="16"/>
                <w:color w:val="auto"/>
              </w:rPr>
            </w:pPr>
          </w:p>
        </w:tc>
        <w:tc>
          <w:tcPr>
            <w:tcW w:w="280" w:type="dxa"/>
            <w:vAlign w:val="bottom"/>
            <w:tcBorders>
              <w:top w:val="single" w:sz="8" w:color="CFF0FC"/>
            </w:tcBorders>
            <w:shd w:val="clear" w:color="auto" w:fill="CFF0FC"/>
          </w:tcPr>
          <w:p>
            <w:pPr>
              <w:spacing w:after="0"/>
              <w:rPr>
                <w:sz w:val="16"/>
                <w:szCs w:val="16"/>
                <w:color w:val="auto"/>
              </w:rPr>
            </w:pPr>
          </w:p>
        </w:tc>
        <w:tc>
          <w:tcPr>
            <w:tcW w:w="88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r>
      <w:tr>
        <w:trPr>
          <w:trHeight w:val="193"/>
        </w:trPr>
        <w:tc>
          <w:tcPr>
            <w:tcW w:w="28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operations before interest expense,</w:t>
            </w:r>
          </w:p>
        </w:tc>
        <w:tc>
          <w:tcPr>
            <w:tcW w:w="3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193"/>
        </w:trPr>
        <w:tc>
          <w:tcPr>
            <w:tcW w:w="28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loss on early extinguishment of</w:t>
            </w:r>
          </w:p>
        </w:tc>
        <w:tc>
          <w:tcPr>
            <w:tcW w:w="3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193"/>
        </w:trPr>
        <w:tc>
          <w:tcPr>
            <w:tcW w:w="28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debt, net, other (income) charges,</w:t>
            </w:r>
          </w:p>
        </w:tc>
        <w:tc>
          <w:tcPr>
            <w:tcW w:w="3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193"/>
        </w:trPr>
        <w:tc>
          <w:tcPr>
            <w:tcW w:w="28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net, reorganization items, net and</w:t>
            </w:r>
          </w:p>
        </w:tc>
        <w:tc>
          <w:tcPr>
            <w:tcW w:w="3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206"/>
        </w:trPr>
        <w:tc>
          <w:tcPr>
            <w:tcW w:w="28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income taxes</w:t>
            </w:r>
          </w:p>
        </w:tc>
        <w:tc>
          <w:tcPr>
            <w:tcW w:w="3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(18)</w:t>
            </w: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w:t>
            </w:r>
          </w:p>
        </w:tc>
        <w:tc>
          <w:tcPr>
            <w:tcW w:w="18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113</w:t>
            </w:r>
          </w:p>
        </w:tc>
        <w:tc>
          <w:tcPr>
            <w:tcW w:w="18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7%</w:t>
            </w:r>
          </w:p>
        </w:tc>
        <w:tc>
          <w:tcPr>
            <w:tcW w:w="1060" w:type="dxa"/>
            <w:vAlign w:val="bottom"/>
            <w:gridSpan w:val="3"/>
            <w:shd w:val="clear" w:color="auto" w:fill="CFF0FC"/>
          </w:tcPr>
          <w:p>
            <w:pPr>
              <w:jc w:val="right"/>
              <w:ind w:right="60"/>
              <w:spacing w:after="0"/>
              <w:rPr>
                <w:sz w:val="20"/>
                <w:szCs w:val="20"/>
                <w:color w:val="auto"/>
              </w:rPr>
            </w:pPr>
            <w:r>
              <w:rPr>
                <w:rFonts w:ascii="Arial" w:cs="Arial" w:eastAsia="Arial" w:hAnsi="Arial"/>
                <w:sz w:val="16"/>
                <w:szCs w:val="16"/>
                <w:color w:val="auto"/>
              </w:rPr>
              <w:t>(131)</w:t>
            </w: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w:t>
            </w:r>
          </w:p>
        </w:tc>
        <w:tc>
          <w:tcPr>
            <w:tcW w:w="18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3%</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w:t>
            </w:r>
          </w:p>
        </w:tc>
        <w:tc>
          <w:tcPr>
            <w:tcW w:w="120" w:type="dxa"/>
            <w:vAlign w:val="bottom"/>
            <w:shd w:val="clear" w:color="auto" w:fill="CFF0FC"/>
          </w:tcPr>
          <w:p>
            <w:pPr>
              <w:spacing w:after="0"/>
              <w:rPr>
                <w:sz w:val="17"/>
                <w:szCs w:val="17"/>
                <w:color w:val="auto"/>
              </w:rPr>
            </w:pPr>
          </w:p>
        </w:tc>
      </w:tr>
      <w:tr>
        <w:trPr>
          <w:trHeight w:val="205"/>
        </w:trPr>
        <w:tc>
          <w:tcPr>
            <w:tcW w:w="2840" w:type="dxa"/>
            <w:vAlign w:val="bottom"/>
          </w:tcPr>
          <w:p>
            <w:pPr>
              <w:spacing w:after="0"/>
              <w:rPr>
                <w:sz w:val="20"/>
                <w:szCs w:val="20"/>
                <w:color w:val="auto"/>
              </w:rPr>
            </w:pPr>
            <w:r>
              <w:rPr>
                <w:rFonts w:ascii="Arial" w:cs="Arial" w:eastAsia="Arial" w:hAnsi="Arial"/>
                <w:sz w:val="16"/>
                <w:szCs w:val="16"/>
                <w:color w:val="auto"/>
              </w:rPr>
              <w:t>Interest expense</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32</w:t>
            </w:r>
          </w:p>
        </w:tc>
        <w:tc>
          <w:tcPr>
            <w:tcW w:w="20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2%</w:t>
            </w: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60</w:t>
            </w:r>
          </w:p>
        </w:tc>
        <w:tc>
          <w:tcPr>
            <w:tcW w:w="18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4%</w:t>
            </w:r>
          </w:p>
        </w:tc>
        <w:tc>
          <w:tcPr>
            <w:tcW w:w="1060" w:type="dxa"/>
            <w:vAlign w:val="bottom"/>
            <w:gridSpan w:val="3"/>
          </w:tcPr>
          <w:p>
            <w:pPr>
              <w:jc w:val="right"/>
              <w:ind w:right="60"/>
              <w:spacing w:after="0"/>
              <w:rPr>
                <w:sz w:val="20"/>
                <w:szCs w:val="20"/>
                <w:color w:val="auto"/>
              </w:rPr>
            </w:pPr>
            <w:r>
              <w:rPr>
                <w:rFonts w:ascii="Arial" w:cs="Arial" w:eastAsia="Arial" w:hAnsi="Arial"/>
                <w:sz w:val="16"/>
                <w:szCs w:val="16"/>
                <w:color w:val="auto"/>
              </w:rPr>
              <w:t>(28)</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63</w:t>
            </w:r>
          </w:p>
        </w:tc>
        <w:tc>
          <w:tcPr>
            <w:tcW w:w="18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3%</w:t>
            </w: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(3)</w:t>
            </w:r>
          </w:p>
        </w:tc>
      </w:tr>
      <w:tr>
        <w:trPr>
          <w:trHeight w:val="205"/>
        </w:trPr>
        <w:tc>
          <w:tcPr>
            <w:tcW w:w="2840" w:type="dxa"/>
            <w:vAlign w:val="bottom"/>
            <w:shd w:val="clear" w:color="auto" w:fill="CFF0FC"/>
          </w:tcPr>
          <w:p>
            <w:pPr>
              <w:spacing w:after="0"/>
              <w:rPr>
                <w:sz w:val="20"/>
                <w:szCs w:val="20"/>
                <w:color w:val="auto"/>
              </w:rPr>
            </w:pPr>
            <w:r>
              <w:rPr>
                <w:rFonts w:ascii="Arial" w:cs="Arial" w:eastAsia="Arial" w:hAnsi="Arial"/>
                <w:sz w:val="16"/>
                <w:szCs w:val="16"/>
                <w:color w:val="auto"/>
              </w:rPr>
              <w:t>Loss on early extinguishment of debt</w:t>
            </w:r>
          </w:p>
        </w:tc>
        <w:tc>
          <w:tcPr>
            <w:tcW w:w="3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18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0%</w:t>
            </w:r>
          </w:p>
        </w:tc>
        <w:tc>
          <w:tcPr>
            <w:tcW w:w="1060" w:type="dxa"/>
            <w:vAlign w:val="bottom"/>
            <w:gridSpan w:val="3"/>
            <w:shd w:val="clear" w:color="auto" w:fill="CFF0FC"/>
          </w:tcPr>
          <w:p>
            <w:pPr>
              <w:jc w:val="right"/>
              <w:ind w:right="60"/>
              <w:spacing w:after="0"/>
              <w:rPr>
                <w:sz w:val="20"/>
                <w:szCs w:val="20"/>
                <w:color w:val="auto"/>
              </w:rPr>
            </w:pPr>
            <w:r>
              <w:rPr>
                <w:rFonts w:ascii="Arial" w:cs="Arial" w:eastAsia="Arial" w:hAnsi="Arial"/>
                <w:sz w:val="16"/>
                <w:szCs w:val="16"/>
                <w:color w:val="auto"/>
              </w:rPr>
              <w:t>(4)</w:t>
            </w: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120" w:type="dxa"/>
            <w:vAlign w:val="bottom"/>
            <w:shd w:val="clear" w:color="auto" w:fill="CFF0FC"/>
          </w:tcPr>
          <w:p>
            <w:pPr>
              <w:spacing w:after="0"/>
              <w:rPr>
                <w:sz w:val="17"/>
                <w:szCs w:val="17"/>
                <w:color w:val="auto"/>
              </w:rPr>
            </w:pPr>
          </w:p>
        </w:tc>
      </w:tr>
      <w:tr>
        <w:trPr>
          <w:trHeight w:val="205"/>
        </w:trPr>
        <w:tc>
          <w:tcPr>
            <w:tcW w:w="2840" w:type="dxa"/>
            <w:vAlign w:val="bottom"/>
          </w:tcPr>
          <w:p>
            <w:pPr>
              <w:spacing w:after="0"/>
              <w:rPr>
                <w:sz w:val="20"/>
                <w:szCs w:val="20"/>
                <w:color w:val="auto"/>
              </w:rPr>
            </w:pPr>
            <w:r>
              <w:rPr>
                <w:rFonts w:ascii="Arial" w:cs="Arial" w:eastAsia="Arial" w:hAnsi="Arial"/>
                <w:sz w:val="16"/>
                <w:szCs w:val="16"/>
                <w:color w:val="auto"/>
              </w:rPr>
              <w:t>Other (income) charges, net</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(37)</w:t>
            </w: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(2%)</w:t>
            </w: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w:t>
            </w:r>
          </w:p>
        </w:tc>
        <w:tc>
          <w:tcPr>
            <w:tcW w:w="18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0%</w:t>
            </w:r>
          </w:p>
        </w:tc>
        <w:tc>
          <w:tcPr>
            <w:tcW w:w="1060" w:type="dxa"/>
            <w:vAlign w:val="bottom"/>
            <w:gridSpan w:val="3"/>
          </w:tcPr>
          <w:p>
            <w:pPr>
              <w:jc w:val="right"/>
              <w:ind w:right="60"/>
              <w:spacing w:after="0"/>
              <w:rPr>
                <w:sz w:val="20"/>
                <w:szCs w:val="20"/>
                <w:color w:val="auto"/>
              </w:rPr>
            </w:pPr>
            <w:r>
              <w:rPr>
                <w:rFonts w:ascii="Arial" w:cs="Arial" w:eastAsia="Arial" w:hAnsi="Arial"/>
                <w:sz w:val="16"/>
                <w:szCs w:val="16"/>
                <w:color w:val="auto"/>
              </w:rPr>
              <w:t>(41)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21</w:t>
            </w:r>
          </w:p>
        </w:tc>
        <w:tc>
          <w:tcPr>
            <w:tcW w:w="18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1%</w:t>
            </w: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(17)</w:t>
            </w:r>
          </w:p>
        </w:tc>
      </w:tr>
      <w:tr>
        <w:trPr>
          <w:trHeight w:val="205"/>
        </w:trPr>
        <w:tc>
          <w:tcPr>
            <w:tcW w:w="2840" w:type="dxa"/>
            <w:vAlign w:val="bottom"/>
            <w:shd w:val="clear" w:color="auto" w:fill="CFF0FC"/>
          </w:tcPr>
          <w:p>
            <w:pPr>
              <w:spacing w:after="0"/>
              <w:rPr>
                <w:sz w:val="20"/>
                <w:szCs w:val="20"/>
                <w:color w:val="auto"/>
              </w:rPr>
            </w:pPr>
            <w:r>
              <w:rPr>
                <w:rFonts w:ascii="Arial" w:cs="Arial" w:eastAsia="Arial" w:hAnsi="Arial"/>
                <w:sz w:val="16"/>
                <w:szCs w:val="16"/>
                <w:color w:val="auto"/>
              </w:rPr>
              <w:t>Reorganization items, net</w:t>
            </w:r>
          </w:p>
        </w:tc>
        <w:tc>
          <w:tcPr>
            <w:tcW w:w="3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(6)</w:t>
            </w: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(0%)</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6</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18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0%</w:t>
            </w: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(11)</w:t>
            </w:r>
          </w:p>
        </w:tc>
      </w:tr>
      <w:tr>
        <w:trPr>
          <w:trHeight w:val="185"/>
        </w:trPr>
        <w:tc>
          <w:tcPr>
            <w:tcW w:w="2840" w:type="dxa"/>
            <w:vAlign w:val="bottom"/>
          </w:tcPr>
          <w:p>
            <w:pPr>
              <w:spacing w:after="0"/>
              <w:rPr>
                <w:sz w:val="20"/>
                <w:szCs w:val="20"/>
                <w:color w:val="auto"/>
              </w:rPr>
            </w:pPr>
            <w:r>
              <w:rPr>
                <w:rFonts w:ascii="Arial" w:cs="Arial" w:eastAsia="Arial" w:hAnsi="Arial"/>
                <w:sz w:val="16"/>
                <w:szCs w:val="16"/>
                <w:color w:val="auto"/>
              </w:rPr>
              <w:t>(Loss) earnings from continuing</w:t>
            </w:r>
          </w:p>
        </w:tc>
        <w:tc>
          <w:tcPr>
            <w:tcW w:w="3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93"/>
        </w:trPr>
        <w:tc>
          <w:tcPr>
            <w:tcW w:w="2840" w:type="dxa"/>
            <w:vAlign w:val="bottom"/>
          </w:tcPr>
          <w:p>
            <w:pPr>
              <w:ind w:left="120"/>
              <w:spacing w:after="0"/>
              <w:rPr>
                <w:sz w:val="20"/>
                <w:szCs w:val="20"/>
                <w:color w:val="auto"/>
              </w:rPr>
            </w:pPr>
            <w:r>
              <w:rPr>
                <w:rFonts w:ascii="Arial" w:cs="Arial" w:eastAsia="Arial" w:hAnsi="Arial"/>
                <w:sz w:val="16"/>
                <w:szCs w:val="16"/>
                <w:color w:val="auto"/>
              </w:rPr>
              <w:t>operations before income</w:t>
            </w: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6"/>
        </w:trPr>
        <w:tc>
          <w:tcPr>
            <w:tcW w:w="2840" w:type="dxa"/>
            <w:vAlign w:val="bottom"/>
          </w:tcPr>
          <w:p>
            <w:pPr>
              <w:ind w:left="120"/>
              <w:spacing w:after="0"/>
              <w:rPr>
                <w:sz w:val="20"/>
                <w:szCs w:val="20"/>
                <w:color w:val="auto"/>
              </w:rPr>
            </w:pPr>
            <w:r>
              <w:rPr>
                <w:rFonts w:ascii="Arial" w:cs="Arial" w:eastAsia="Arial" w:hAnsi="Arial"/>
                <w:sz w:val="16"/>
                <w:szCs w:val="16"/>
                <w:color w:val="auto"/>
              </w:rPr>
              <w:t>taxes</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(13)</w:t>
            </w: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(1%)</w:t>
            </w: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51</w:t>
            </w:r>
          </w:p>
        </w:tc>
        <w:tc>
          <w:tcPr>
            <w:tcW w:w="18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3%</w:t>
            </w:r>
          </w:p>
        </w:tc>
        <w:tc>
          <w:tcPr>
            <w:tcW w:w="1060" w:type="dxa"/>
            <w:vAlign w:val="bottom"/>
            <w:gridSpan w:val="3"/>
          </w:tcPr>
          <w:p>
            <w:pPr>
              <w:jc w:val="right"/>
              <w:ind w:right="60"/>
              <w:spacing w:after="0"/>
              <w:rPr>
                <w:sz w:val="20"/>
                <w:szCs w:val="20"/>
                <w:color w:val="auto"/>
              </w:rPr>
            </w:pPr>
            <w:r>
              <w:rPr>
                <w:rFonts w:ascii="Arial" w:cs="Arial" w:eastAsia="Arial" w:hAnsi="Arial"/>
                <w:sz w:val="16"/>
                <w:szCs w:val="16"/>
                <w:color w:val="auto"/>
              </w:rPr>
              <w:t>(64)</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(35)</w:t>
            </w: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(2%)</w:t>
            </w:r>
          </w:p>
        </w:tc>
        <w:tc>
          <w:tcPr>
            <w:tcW w:w="880" w:type="dxa"/>
            <w:vAlign w:val="bottom"/>
          </w:tcPr>
          <w:p>
            <w:pPr>
              <w:jc w:val="right"/>
              <w:spacing w:after="0"/>
              <w:rPr>
                <w:sz w:val="20"/>
                <w:szCs w:val="20"/>
                <w:color w:val="auto"/>
              </w:rPr>
            </w:pPr>
            <w:r>
              <w:rPr>
                <w:rFonts w:ascii="Arial" w:cs="Arial" w:eastAsia="Arial" w:hAnsi="Arial"/>
                <w:sz w:val="16"/>
                <w:szCs w:val="16"/>
                <w:color w:val="auto"/>
              </w:rPr>
              <w:t>86</w:t>
            </w:r>
          </w:p>
        </w:tc>
        <w:tc>
          <w:tcPr>
            <w:tcW w:w="120" w:type="dxa"/>
            <w:vAlign w:val="bottom"/>
          </w:tcPr>
          <w:p>
            <w:pPr>
              <w:spacing w:after="0"/>
              <w:rPr>
                <w:sz w:val="17"/>
                <w:szCs w:val="17"/>
                <w:color w:val="auto"/>
              </w:rPr>
            </w:pPr>
          </w:p>
        </w:tc>
      </w:tr>
      <w:tr>
        <w:trPr>
          <w:trHeight w:val="206"/>
        </w:trPr>
        <w:tc>
          <w:tcPr>
            <w:tcW w:w="2840" w:type="dxa"/>
            <w:vAlign w:val="bottom"/>
            <w:shd w:val="clear" w:color="auto" w:fill="CFF0FC"/>
          </w:tcPr>
          <w:p>
            <w:pPr>
              <w:spacing w:after="0"/>
              <w:rPr>
                <w:sz w:val="20"/>
                <w:szCs w:val="20"/>
                <w:color w:val="auto"/>
              </w:rPr>
            </w:pPr>
            <w:r>
              <w:rPr>
                <w:rFonts w:ascii="Arial" w:cs="Arial" w:eastAsia="Arial" w:hAnsi="Arial"/>
                <w:sz w:val="16"/>
                <w:szCs w:val="16"/>
                <w:color w:val="auto"/>
              </w:rPr>
              <w:t>(Benefit) provision for income taxes</w:t>
            </w:r>
          </w:p>
        </w:tc>
        <w:tc>
          <w:tcPr>
            <w:tcW w:w="3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(110)</w:t>
            </w: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(7%)</w:t>
            </w:r>
          </w:p>
        </w:tc>
        <w:tc>
          <w:tcPr>
            <w:tcW w:w="18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w:t>
            </w:r>
          </w:p>
        </w:tc>
        <w:tc>
          <w:tcPr>
            <w:tcW w:w="18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2%</w:t>
            </w:r>
          </w:p>
        </w:tc>
        <w:tc>
          <w:tcPr>
            <w:tcW w:w="1060" w:type="dxa"/>
            <w:vAlign w:val="bottom"/>
            <w:gridSpan w:val="3"/>
            <w:shd w:val="clear" w:color="auto" w:fill="CFF0FC"/>
          </w:tcPr>
          <w:p>
            <w:pPr>
              <w:jc w:val="right"/>
              <w:ind w:right="60"/>
              <w:spacing w:after="0"/>
              <w:rPr>
                <w:sz w:val="20"/>
                <w:szCs w:val="20"/>
                <w:color w:val="auto"/>
              </w:rPr>
            </w:pPr>
            <w:r>
              <w:rPr>
                <w:rFonts w:ascii="Arial" w:cs="Arial" w:eastAsia="Arial" w:hAnsi="Arial"/>
                <w:sz w:val="16"/>
                <w:szCs w:val="16"/>
                <w:color w:val="auto"/>
              </w:rPr>
              <w:t>(143)</w:t>
            </w: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w:t>
            </w:r>
          </w:p>
        </w:tc>
        <w:tc>
          <w:tcPr>
            <w:tcW w:w="18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2%</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FF0FC"/>
          </w:tcPr>
          <w:p>
            <w:pPr>
              <w:spacing w:after="0"/>
              <w:rPr>
                <w:sz w:val="17"/>
                <w:szCs w:val="17"/>
                <w:color w:val="auto"/>
              </w:rPr>
            </w:pPr>
          </w:p>
        </w:tc>
      </w:tr>
      <w:tr>
        <w:trPr>
          <w:trHeight w:val="193"/>
        </w:trPr>
        <w:tc>
          <w:tcPr>
            <w:tcW w:w="2840" w:type="dxa"/>
            <w:vAlign w:val="bottom"/>
          </w:tcPr>
          <w:p>
            <w:pPr>
              <w:spacing w:after="0"/>
              <w:rPr>
                <w:sz w:val="20"/>
                <w:szCs w:val="20"/>
                <w:color w:val="auto"/>
              </w:rPr>
            </w:pPr>
            <w:r>
              <w:rPr>
                <w:rFonts w:ascii="Arial" w:cs="Arial" w:eastAsia="Arial" w:hAnsi="Arial"/>
                <w:sz w:val="16"/>
                <w:szCs w:val="16"/>
                <w:color w:val="auto"/>
              </w:rPr>
              <w:t>Equity in loss of equity method</w:t>
            </w: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6"/>
        </w:trPr>
        <w:tc>
          <w:tcPr>
            <w:tcW w:w="2840" w:type="dxa"/>
            <w:vAlign w:val="bottom"/>
          </w:tcPr>
          <w:p>
            <w:pPr>
              <w:ind w:left="120"/>
              <w:spacing w:after="0"/>
              <w:rPr>
                <w:sz w:val="20"/>
                <w:szCs w:val="20"/>
                <w:color w:val="auto"/>
              </w:rPr>
            </w:pPr>
            <w:r>
              <w:rPr>
                <w:rFonts w:ascii="Arial" w:cs="Arial" w:eastAsia="Arial" w:hAnsi="Arial"/>
                <w:sz w:val="16"/>
                <w:szCs w:val="16"/>
                <w:color w:val="auto"/>
              </w:rPr>
              <w:t>investment, net of income taxes</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w:t>
            </w:r>
          </w:p>
        </w:tc>
        <w:tc>
          <w:tcPr>
            <w:tcW w:w="20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0%</w:t>
            </w:r>
          </w:p>
        </w:tc>
        <w:tc>
          <w:tcPr>
            <w:tcW w:w="18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r>
      <w:tr>
        <w:trPr>
          <w:trHeight w:val="185"/>
        </w:trPr>
        <w:tc>
          <w:tcPr>
            <w:tcW w:w="2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Earnings (loss) from continuing</w:t>
            </w:r>
          </w:p>
        </w:tc>
        <w:tc>
          <w:tcPr>
            <w:tcW w:w="340" w:type="dxa"/>
            <w:vAlign w:val="bottom"/>
            <w:tcBorders>
              <w:top w:val="single" w:sz="8" w:color="CFF0FC"/>
            </w:tcBorders>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760" w:type="dxa"/>
            <w:vAlign w:val="bottom"/>
            <w:tcBorders>
              <w:top w:val="single" w:sz="8" w:color="auto"/>
            </w:tcBorders>
            <w:shd w:val="clear" w:color="auto" w:fill="CFF0FC"/>
          </w:tcPr>
          <w:p>
            <w:pPr>
              <w:spacing w:after="0"/>
              <w:rPr>
                <w:sz w:val="16"/>
                <w:szCs w:val="16"/>
                <w:color w:val="auto"/>
              </w:rPr>
            </w:pPr>
          </w:p>
        </w:tc>
        <w:tc>
          <w:tcPr>
            <w:tcW w:w="200" w:type="dxa"/>
            <w:vAlign w:val="bottom"/>
            <w:tcBorders>
              <w:top w:val="single" w:sz="8" w:color="CFF0FC"/>
            </w:tcBorders>
            <w:shd w:val="clear" w:color="auto" w:fill="CFF0FC"/>
          </w:tcPr>
          <w:p>
            <w:pPr>
              <w:spacing w:after="0"/>
              <w:rPr>
                <w:sz w:val="16"/>
                <w:szCs w:val="16"/>
                <w:color w:val="auto"/>
              </w:rPr>
            </w:pPr>
          </w:p>
        </w:tc>
        <w:tc>
          <w:tcPr>
            <w:tcW w:w="620" w:type="dxa"/>
            <w:vAlign w:val="bottom"/>
            <w:tcBorders>
              <w:top w:val="single" w:sz="8" w:color="CFF0FC"/>
            </w:tcBorders>
            <w:shd w:val="clear" w:color="auto" w:fill="CFF0FC"/>
          </w:tcPr>
          <w:p>
            <w:pPr>
              <w:spacing w:after="0"/>
              <w:rPr>
                <w:sz w:val="16"/>
                <w:szCs w:val="16"/>
                <w:color w:val="auto"/>
              </w:rPr>
            </w:pPr>
          </w:p>
        </w:tc>
        <w:tc>
          <w:tcPr>
            <w:tcW w:w="300" w:type="dxa"/>
            <w:vAlign w:val="bottom"/>
            <w:tcBorders>
              <w:top w:val="single" w:sz="8" w:color="CFF0FC"/>
            </w:tcBorders>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760" w:type="dxa"/>
            <w:vAlign w:val="bottom"/>
            <w:tcBorders>
              <w:top w:val="single" w:sz="8" w:color="auto"/>
            </w:tcBorders>
            <w:shd w:val="clear" w:color="auto" w:fill="CFF0FC"/>
          </w:tcPr>
          <w:p>
            <w:pPr>
              <w:spacing w:after="0"/>
              <w:rPr>
                <w:sz w:val="16"/>
                <w:szCs w:val="16"/>
                <w:color w:val="auto"/>
              </w:rPr>
            </w:pPr>
          </w:p>
        </w:tc>
        <w:tc>
          <w:tcPr>
            <w:tcW w:w="180" w:type="dxa"/>
            <w:vAlign w:val="bottom"/>
            <w:tcBorders>
              <w:top w:val="single" w:sz="8" w:color="CFF0FC"/>
            </w:tcBorders>
            <w:shd w:val="clear" w:color="auto" w:fill="CFF0FC"/>
          </w:tcPr>
          <w:p>
            <w:pPr>
              <w:spacing w:after="0"/>
              <w:rPr>
                <w:sz w:val="16"/>
                <w:szCs w:val="16"/>
                <w:color w:val="auto"/>
              </w:rPr>
            </w:pPr>
          </w:p>
        </w:tc>
        <w:tc>
          <w:tcPr>
            <w:tcW w:w="640" w:type="dxa"/>
            <w:vAlign w:val="bottom"/>
            <w:tcBorders>
              <w:top w:val="single" w:sz="8" w:color="CFF0FC"/>
            </w:tcBorders>
            <w:shd w:val="clear" w:color="auto" w:fill="CFF0FC"/>
          </w:tcPr>
          <w:p>
            <w:pPr>
              <w:spacing w:after="0"/>
              <w:rPr>
                <w:sz w:val="16"/>
                <w:szCs w:val="16"/>
                <w:color w:val="auto"/>
              </w:rPr>
            </w:pPr>
          </w:p>
        </w:tc>
        <w:tc>
          <w:tcPr>
            <w:tcW w:w="240" w:type="dxa"/>
            <w:vAlign w:val="bottom"/>
            <w:tcBorders>
              <w:top w:val="single" w:sz="8" w:color="CFF0FC"/>
            </w:tcBorders>
            <w:shd w:val="clear" w:color="auto" w:fill="CFF0FC"/>
          </w:tcPr>
          <w:p>
            <w:pPr>
              <w:spacing w:after="0"/>
              <w:rPr>
                <w:sz w:val="16"/>
                <w:szCs w:val="16"/>
                <w:color w:val="auto"/>
              </w:rPr>
            </w:pPr>
          </w:p>
        </w:tc>
        <w:tc>
          <w:tcPr>
            <w:tcW w:w="60" w:type="dxa"/>
            <w:vAlign w:val="bottom"/>
            <w:tcBorders>
              <w:top w:val="single" w:sz="8" w:color="CFF0FC"/>
            </w:tcBorders>
            <w:shd w:val="clear" w:color="auto" w:fill="CFF0FC"/>
          </w:tcPr>
          <w:p>
            <w:pPr>
              <w:spacing w:after="0"/>
              <w:rPr>
                <w:sz w:val="16"/>
                <w:szCs w:val="16"/>
                <w:color w:val="auto"/>
              </w:rPr>
            </w:pPr>
          </w:p>
        </w:tc>
        <w:tc>
          <w:tcPr>
            <w:tcW w:w="88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760" w:type="dxa"/>
            <w:vAlign w:val="bottom"/>
            <w:tcBorders>
              <w:top w:val="single" w:sz="8" w:color="auto"/>
            </w:tcBorders>
            <w:shd w:val="clear" w:color="auto" w:fill="CFF0FC"/>
          </w:tcPr>
          <w:p>
            <w:pPr>
              <w:spacing w:after="0"/>
              <w:rPr>
                <w:sz w:val="16"/>
                <w:szCs w:val="16"/>
                <w:color w:val="auto"/>
              </w:rPr>
            </w:pPr>
          </w:p>
        </w:tc>
        <w:tc>
          <w:tcPr>
            <w:tcW w:w="180" w:type="dxa"/>
            <w:vAlign w:val="bottom"/>
            <w:tcBorders>
              <w:top w:val="single" w:sz="8" w:color="CFF0FC"/>
            </w:tcBorders>
            <w:shd w:val="clear" w:color="auto" w:fill="CFF0FC"/>
          </w:tcPr>
          <w:p>
            <w:pPr>
              <w:spacing w:after="0"/>
              <w:rPr>
                <w:sz w:val="16"/>
                <w:szCs w:val="16"/>
                <w:color w:val="auto"/>
              </w:rPr>
            </w:pPr>
          </w:p>
        </w:tc>
        <w:tc>
          <w:tcPr>
            <w:tcW w:w="660" w:type="dxa"/>
            <w:vAlign w:val="bottom"/>
            <w:tcBorders>
              <w:top w:val="single" w:sz="8" w:color="CFF0FC"/>
            </w:tcBorders>
            <w:shd w:val="clear" w:color="auto" w:fill="CFF0FC"/>
          </w:tcPr>
          <w:p>
            <w:pPr>
              <w:spacing w:after="0"/>
              <w:rPr>
                <w:sz w:val="16"/>
                <w:szCs w:val="16"/>
                <w:color w:val="auto"/>
              </w:rPr>
            </w:pPr>
          </w:p>
        </w:tc>
        <w:tc>
          <w:tcPr>
            <w:tcW w:w="280" w:type="dxa"/>
            <w:vAlign w:val="bottom"/>
            <w:tcBorders>
              <w:top w:val="single" w:sz="8" w:color="CFF0FC"/>
            </w:tcBorders>
            <w:shd w:val="clear" w:color="auto" w:fill="CFF0FC"/>
          </w:tcPr>
          <w:p>
            <w:pPr>
              <w:spacing w:after="0"/>
              <w:rPr>
                <w:sz w:val="16"/>
                <w:szCs w:val="16"/>
                <w:color w:val="auto"/>
              </w:rPr>
            </w:pPr>
          </w:p>
        </w:tc>
        <w:tc>
          <w:tcPr>
            <w:tcW w:w="88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r>
      <w:tr>
        <w:trPr>
          <w:trHeight w:val="206"/>
        </w:trPr>
        <w:tc>
          <w:tcPr>
            <w:tcW w:w="28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operations</w:t>
            </w:r>
          </w:p>
        </w:tc>
        <w:tc>
          <w:tcPr>
            <w:tcW w:w="3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96</w:t>
            </w:r>
          </w:p>
        </w:tc>
        <w:tc>
          <w:tcPr>
            <w:tcW w:w="20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6%</w:t>
            </w:r>
          </w:p>
        </w:tc>
        <w:tc>
          <w:tcPr>
            <w:tcW w:w="18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w:t>
            </w:r>
          </w:p>
        </w:tc>
        <w:tc>
          <w:tcPr>
            <w:tcW w:w="18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78</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(67)</w:t>
            </w:r>
          </w:p>
        </w:tc>
        <w:tc>
          <w:tcPr>
            <w:tcW w:w="9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(4%)</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w:t>
            </w:r>
          </w:p>
        </w:tc>
        <w:tc>
          <w:tcPr>
            <w:tcW w:w="120" w:type="dxa"/>
            <w:vAlign w:val="bottom"/>
            <w:shd w:val="clear" w:color="auto" w:fill="CFF0FC"/>
          </w:tcPr>
          <w:p>
            <w:pPr>
              <w:spacing w:after="0"/>
              <w:rPr>
                <w:sz w:val="17"/>
                <w:szCs w:val="17"/>
                <w:color w:val="auto"/>
              </w:rPr>
            </w:pPr>
          </w:p>
        </w:tc>
      </w:tr>
      <w:tr>
        <w:trPr>
          <w:trHeight w:val="193"/>
        </w:trPr>
        <w:tc>
          <w:tcPr>
            <w:tcW w:w="2840" w:type="dxa"/>
            <w:vAlign w:val="bottom"/>
          </w:tcPr>
          <w:p>
            <w:pPr>
              <w:spacing w:after="0"/>
              <w:rPr>
                <w:sz w:val="20"/>
                <w:szCs w:val="20"/>
                <w:color w:val="auto"/>
              </w:rPr>
            </w:pPr>
            <w:r>
              <w:rPr>
                <w:rFonts w:ascii="Arial" w:cs="Arial" w:eastAsia="Arial" w:hAnsi="Arial"/>
                <w:sz w:val="16"/>
                <w:szCs w:val="16"/>
                <w:color w:val="auto"/>
              </w:rPr>
              <w:t>Loss from discontinued operations, net</w:t>
            </w: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6"/>
        </w:trPr>
        <w:tc>
          <w:tcPr>
            <w:tcW w:w="2840" w:type="dxa"/>
            <w:vAlign w:val="bottom"/>
          </w:tcPr>
          <w:p>
            <w:pPr>
              <w:ind w:left="120"/>
              <w:spacing w:after="0"/>
              <w:rPr>
                <w:sz w:val="20"/>
                <w:szCs w:val="20"/>
                <w:color w:val="auto"/>
              </w:rPr>
            </w:pPr>
            <w:r>
              <w:rPr>
                <w:rFonts w:ascii="Arial" w:cs="Arial" w:eastAsia="Arial" w:hAnsi="Arial"/>
                <w:sz w:val="16"/>
                <w:szCs w:val="16"/>
                <w:color w:val="auto"/>
              </w:rPr>
              <w:t>of income taxes</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(2)</w:t>
            </w: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(0%)</w:t>
            </w:r>
          </w:p>
        </w:tc>
        <w:tc>
          <w:tcPr>
            <w:tcW w:w="18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(2)</w:t>
            </w: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(0%)</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(8)</w:t>
            </w: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(0%)</w:t>
            </w:r>
          </w:p>
        </w:tc>
        <w:tc>
          <w:tcPr>
            <w:tcW w:w="88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7"/>
                <w:szCs w:val="17"/>
                <w:color w:val="auto"/>
              </w:rPr>
            </w:pPr>
          </w:p>
        </w:tc>
      </w:tr>
      <w:tr>
        <w:trPr>
          <w:trHeight w:val="198"/>
        </w:trPr>
        <w:tc>
          <w:tcPr>
            <w:tcW w:w="2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NET EARNINGS (LOSS)</w:t>
            </w:r>
          </w:p>
        </w:tc>
        <w:tc>
          <w:tcPr>
            <w:tcW w:w="34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94</w:t>
            </w:r>
          </w:p>
        </w:tc>
        <w:tc>
          <w:tcPr>
            <w:tcW w:w="200" w:type="dxa"/>
            <w:vAlign w:val="bottom"/>
            <w:tcBorders>
              <w:top w:val="single" w:sz="8" w:color="CFF0FC"/>
            </w:tcBorders>
            <w:shd w:val="clear" w:color="auto" w:fill="CFF0FC"/>
          </w:tcPr>
          <w:p>
            <w:pPr>
              <w:spacing w:after="0"/>
              <w:rPr>
                <w:sz w:val="17"/>
                <w:szCs w:val="17"/>
                <w:color w:val="auto"/>
              </w:rPr>
            </w:pPr>
          </w:p>
        </w:tc>
        <w:tc>
          <w:tcPr>
            <w:tcW w:w="920" w:type="dxa"/>
            <w:vAlign w:val="bottom"/>
            <w:tcBorders>
              <w:top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6%</w:t>
            </w:r>
          </w:p>
        </w:tc>
        <w:tc>
          <w:tcPr>
            <w:tcW w:w="18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w:t>
            </w:r>
          </w:p>
        </w:tc>
        <w:tc>
          <w:tcPr>
            <w:tcW w:w="180" w:type="dxa"/>
            <w:vAlign w:val="bottom"/>
            <w:tcBorders>
              <w:top w:val="single" w:sz="8" w:color="CFF0FC"/>
            </w:tcBorders>
            <w:shd w:val="clear" w:color="auto" w:fill="CFF0FC"/>
          </w:tcPr>
          <w:p>
            <w:pPr>
              <w:spacing w:after="0"/>
              <w:rPr>
                <w:sz w:val="17"/>
                <w:szCs w:val="17"/>
                <w:color w:val="auto"/>
              </w:rPr>
            </w:pPr>
          </w:p>
        </w:tc>
        <w:tc>
          <w:tcPr>
            <w:tcW w:w="880" w:type="dxa"/>
            <w:vAlign w:val="bottom"/>
            <w:tcBorders>
              <w:top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w:t>
            </w:r>
          </w:p>
        </w:tc>
        <w:tc>
          <w:tcPr>
            <w:tcW w:w="60" w:type="dxa"/>
            <w:vAlign w:val="bottom"/>
            <w:tcBorders>
              <w:top w:val="single" w:sz="8" w:color="CFF0FC"/>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78</w:t>
            </w:r>
          </w:p>
        </w:tc>
        <w:tc>
          <w:tcPr>
            <w:tcW w:w="1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(75)</w:t>
            </w:r>
          </w:p>
        </w:tc>
        <w:tc>
          <w:tcPr>
            <w:tcW w:w="180" w:type="dxa"/>
            <w:vAlign w:val="bottom"/>
            <w:tcBorders>
              <w:top w:val="single" w:sz="8" w:color="CFF0FC"/>
            </w:tcBorders>
            <w:shd w:val="clear" w:color="auto" w:fill="CFF0FC"/>
          </w:tcPr>
          <w:p>
            <w:pPr>
              <w:spacing w:after="0"/>
              <w:rPr>
                <w:sz w:val="17"/>
                <w:szCs w:val="17"/>
                <w:color w:val="auto"/>
              </w:rPr>
            </w:pPr>
          </w:p>
        </w:tc>
        <w:tc>
          <w:tcPr>
            <w:tcW w:w="940" w:type="dxa"/>
            <w:vAlign w:val="bottom"/>
            <w:tcBorders>
              <w:top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(4%)</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91</w:t>
            </w:r>
          </w:p>
        </w:tc>
        <w:tc>
          <w:tcPr>
            <w:tcW w:w="120" w:type="dxa"/>
            <w:vAlign w:val="bottom"/>
            <w:tcBorders>
              <w:top w:val="single" w:sz="8" w:color="CFF0FC"/>
            </w:tcBorders>
            <w:shd w:val="clear" w:color="auto" w:fill="CFF0FC"/>
          </w:tcPr>
          <w:p>
            <w:pPr>
              <w:spacing w:after="0"/>
              <w:rPr>
                <w:sz w:val="17"/>
                <w:szCs w:val="17"/>
                <w:color w:val="auto"/>
              </w:rPr>
            </w:pPr>
          </w:p>
        </w:tc>
      </w:tr>
      <w:tr>
        <w:trPr>
          <w:trHeight w:val="193"/>
        </w:trPr>
        <w:tc>
          <w:tcPr>
            <w:tcW w:w="2840" w:type="dxa"/>
            <w:vAlign w:val="bottom"/>
          </w:tcPr>
          <w:p>
            <w:pPr>
              <w:spacing w:after="0"/>
              <w:rPr>
                <w:sz w:val="20"/>
                <w:szCs w:val="20"/>
                <w:color w:val="auto"/>
              </w:rPr>
            </w:pPr>
            <w:r>
              <w:rPr>
                <w:rFonts w:ascii="Arial" w:cs="Arial" w:eastAsia="Arial" w:hAnsi="Arial"/>
                <w:sz w:val="16"/>
                <w:szCs w:val="16"/>
                <w:color w:val="auto"/>
              </w:rPr>
              <w:t>Less: Net income attributable to</w:t>
            </w: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6"/>
        </w:trPr>
        <w:tc>
          <w:tcPr>
            <w:tcW w:w="2840" w:type="dxa"/>
            <w:vAlign w:val="bottom"/>
          </w:tcPr>
          <w:p>
            <w:pPr>
              <w:ind w:left="120"/>
              <w:spacing w:after="0"/>
              <w:rPr>
                <w:sz w:val="20"/>
                <w:szCs w:val="20"/>
                <w:color w:val="auto"/>
              </w:rPr>
            </w:pPr>
            <w:r>
              <w:rPr>
                <w:rFonts w:ascii="Arial" w:cs="Arial" w:eastAsia="Arial" w:hAnsi="Arial"/>
                <w:sz w:val="16"/>
                <w:szCs w:val="16"/>
                <w:color w:val="auto"/>
              </w:rPr>
              <w:t>noncontrolling interests</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w:t>
            </w:r>
          </w:p>
        </w:tc>
        <w:tc>
          <w:tcPr>
            <w:tcW w:w="18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0%</w:t>
            </w:r>
          </w:p>
        </w:tc>
        <w:tc>
          <w:tcPr>
            <w:tcW w:w="1060" w:type="dxa"/>
            <w:vAlign w:val="bottom"/>
            <w:gridSpan w:val="3"/>
          </w:tcPr>
          <w:p>
            <w:pPr>
              <w:jc w:val="right"/>
              <w:ind w:right="60"/>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w:t>
            </w:r>
          </w:p>
        </w:tc>
        <w:tc>
          <w:tcPr>
            <w:tcW w:w="18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0%</w:t>
            </w: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(4)</w:t>
            </w:r>
          </w:p>
        </w:tc>
      </w:tr>
      <w:tr>
        <w:trPr>
          <w:trHeight w:val="185"/>
        </w:trPr>
        <w:tc>
          <w:tcPr>
            <w:tcW w:w="2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NET EARNINGS (LOSS)</w:t>
            </w:r>
          </w:p>
        </w:tc>
        <w:tc>
          <w:tcPr>
            <w:tcW w:w="340" w:type="dxa"/>
            <w:vAlign w:val="bottom"/>
            <w:tcBorders>
              <w:top w:val="single" w:sz="8" w:color="CFF0FC"/>
            </w:tcBorders>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760" w:type="dxa"/>
            <w:vAlign w:val="bottom"/>
            <w:tcBorders>
              <w:top w:val="single" w:sz="8" w:color="auto"/>
            </w:tcBorders>
            <w:shd w:val="clear" w:color="auto" w:fill="CFF0FC"/>
          </w:tcPr>
          <w:p>
            <w:pPr>
              <w:spacing w:after="0"/>
              <w:rPr>
                <w:sz w:val="16"/>
                <w:szCs w:val="16"/>
                <w:color w:val="auto"/>
              </w:rPr>
            </w:pPr>
          </w:p>
        </w:tc>
        <w:tc>
          <w:tcPr>
            <w:tcW w:w="200" w:type="dxa"/>
            <w:vAlign w:val="bottom"/>
            <w:tcBorders>
              <w:top w:val="single" w:sz="8" w:color="CFF0FC"/>
            </w:tcBorders>
            <w:shd w:val="clear" w:color="auto" w:fill="CFF0FC"/>
          </w:tcPr>
          <w:p>
            <w:pPr>
              <w:spacing w:after="0"/>
              <w:rPr>
                <w:sz w:val="16"/>
                <w:szCs w:val="16"/>
                <w:color w:val="auto"/>
              </w:rPr>
            </w:pPr>
          </w:p>
        </w:tc>
        <w:tc>
          <w:tcPr>
            <w:tcW w:w="620" w:type="dxa"/>
            <w:vAlign w:val="bottom"/>
            <w:tcBorders>
              <w:top w:val="single" w:sz="8" w:color="CFF0FC"/>
            </w:tcBorders>
            <w:shd w:val="clear" w:color="auto" w:fill="CFF0FC"/>
          </w:tcPr>
          <w:p>
            <w:pPr>
              <w:spacing w:after="0"/>
              <w:rPr>
                <w:sz w:val="16"/>
                <w:szCs w:val="16"/>
                <w:color w:val="auto"/>
              </w:rPr>
            </w:pPr>
          </w:p>
        </w:tc>
        <w:tc>
          <w:tcPr>
            <w:tcW w:w="300" w:type="dxa"/>
            <w:vAlign w:val="bottom"/>
            <w:tcBorders>
              <w:top w:val="single" w:sz="8" w:color="CFF0FC"/>
            </w:tcBorders>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760" w:type="dxa"/>
            <w:vAlign w:val="bottom"/>
            <w:tcBorders>
              <w:top w:val="single" w:sz="8" w:color="auto"/>
            </w:tcBorders>
            <w:shd w:val="clear" w:color="auto" w:fill="CFF0FC"/>
          </w:tcPr>
          <w:p>
            <w:pPr>
              <w:spacing w:after="0"/>
              <w:rPr>
                <w:sz w:val="16"/>
                <w:szCs w:val="16"/>
                <w:color w:val="auto"/>
              </w:rPr>
            </w:pPr>
          </w:p>
        </w:tc>
        <w:tc>
          <w:tcPr>
            <w:tcW w:w="180" w:type="dxa"/>
            <w:vAlign w:val="bottom"/>
            <w:tcBorders>
              <w:top w:val="single" w:sz="8" w:color="CFF0FC"/>
            </w:tcBorders>
            <w:shd w:val="clear" w:color="auto" w:fill="CFF0FC"/>
          </w:tcPr>
          <w:p>
            <w:pPr>
              <w:spacing w:after="0"/>
              <w:rPr>
                <w:sz w:val="16"/>
                <w:szCs w:val="16"/>
                <w:color w:val="auto"/>
              </w:rPr>
            </w:pPr>
          </w:p>
        </w:tc>
        <w:tc>
          <w:tcPr>
            <w:tcW w:w="640" w:type="dxa"/>
            <w:vAlign w:val="bottom"/>
            <w:tcBorders>
              <w:top w:val="single" w:sz="8" w:color="CFF0FC"/>
            </w:tcBorders>
            <w:shd w:val="clear" w:color="auto" w:fill="CFF0FC"/>
          </w:tcPr>
          <w:p>
            <w:pPr>
              <w:spacing w:after="0"/>
              <w:rPr>
                <w:sz w:val="16"/>
                <w:szCs w:val="16"/>
                <w:color w:val="auto"/>
              </w:rPr>
            </w:pPr>
          </w:p>
        </w:tc>
        <w:tc>
          <w:tcPr>
            <w:tcW w:w="240" w:type="dxa"/>
            <w:vAlign w:val="bottom"/>
            <w:tcBorders>
              <w:top w:val="single" w:sz="8" w:color="CFF0FC"/>
            </w:tcBorders>
            <w:shd w:val="clear" w:color="auto" w:fill="CFF0FC"/>
          </w:tcPr>
          <w:p>
            <w:pPr>
              <w:spacing w:after="0"/>
              <w:rPr>
                <w:sz w:val="16"/>
                <w:szCs w:val="16"/>
                <w:color w:val="auto"/>
              </w:rPr>
            </w:pPr>
          </w:p>
        </w:tc>
        <w:tc>
          <w:tcPr>
            <w:tcW w:w="60" w:type="dxa"/>
            <w:vAlign w:val="bottom"/>
            <w:tcBorders>
              <w:top w:val="single" w:sz="8" w:color="CFF0FC"/>
            </w:tcBorders>
            <w:shd w:val="clear" w:color="auto" w:fill="CFF0FC"/>
          </w:tcPr>
          <w:p>
            <w:pPr>
              <w:spacing w:after="0"/>
              <w:rPr>
                <w:sz w:val="16"/>
                <w:szCs w:val="16"/>
                <w:color w:val="auto"/>
              </w:rPr>
            </w:pPr>
          </w:p>
        </w:tc>
        <w:tc>
          <w:tcPr>
            <w:tcW w:w="88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760" w:type="dxa"/>
            <w:vAlign w:val="bottom"/>
            <w:tcBorders>
              <w:top w:val="single" w:sz="8" w:color="auto"/>
            </w:tcBorders>
            <w:shd w:val="clear" w:color="auto" w:fill="CFF0FC"/>
          </w:tcPr>
          <w:p>
            <w:pPr>
              <w:spacing w:after="0"/>
              <w:rPr>
                <w:sz w:val="16"/>
                <w:szCs w:val="16"/>
                <w:color w:val="auto"/>
              </w:rPr>
            </w:pPr>
          </w:p>
        </w:tc>
        <w:tc>
          <w:tcPr>
            <w:tcW w:w="180" w:type="dxa"/>
            <w:vAlign w:val="bottom"/>
            <w:tcBorders>
              <w:top w:val="single" w:sz="8" w:color="CFF0FC"/>
            </w:tcBorders>
            <w:shd w:val="clear" w:color="auto" w:fill="CFF0FC"/>
          </w:tcPr>
          <w:p>
            <w:pPr>
              <w:spacing w:after="0"/>
              <w:rPr>
                <w:sz w:val="16"/>
                <w:szCs w:val="16"/>
                <w:color w:val="auto"/>
              </w:rPr>
            </w:pPr>
          </w:p>
        </w:tc>
        <w:tc>
          <w:tcPr>
            <w:tcW w:w="660" w:type="dxa"/>
            <w:vAlign w:val="bottom"/>
            <w:tcBorders>
              <w:top w:val="single" w:sz="8" w:color="CFF0FC"/>
            </w:tcBorders>
            <w:shd w:val="clear" w:color="auto" w:fill="CFF0FC"/>
          </w:tcPr>
          <w:p>
            <w:pPr>
              <w:spacing w:after="0"/>
              <w:rPr>
                <w:sz w:val="16"/>
                <w:szCs w:val="16"/>
                <w:color w:val="auto"/>
              </w:rPr>
            </w:pPr>
          </w:p>
        </w:tc>
        <w:tc>
          <w:tcPr>
            <w:tcW w:w="280" w:type="dxa"/>
            <w:vAlign w:val="bottom"/>
            <w:tcBorders>
              <w:top w:val="single" w:sz="8" w:color="CFF0FC"/>
            </w:tcBorders>
            <w:shd w:val="clear" w:color="auto" w:fill="CFF0FC"/>
          </w:tcPr>
          <w:p>
            <w:pPr>
              <w:spacing w:after="0"/>
              <w:rPr>
                <w:sz w:val="16"/>
                <w:szCs w:val="16"/>
                <w:color w:val="auto"/>
              </w:rPr>
            </w:pPr>
          </w:p>
        </w:tc>
        <w:tc>
          <w:tcPr>
            <w:tcW w:w="88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r>
      <w:tr>
        <w:trPr>
          <w:trHeight w:val="193"/>
        </w:trPr>
        <w:tc>
          <w:tcPr>
            <w:tcW w:w="28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ATTRIBUTABLE TO</w:t>
            </w:r>
          </w:p>
        </w:tc>
        <w:tc>
          <w:tcPr>
            <w:tcW w:w="3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206"/>
        </w:trPr>
        <w:tc>
          <w:tcPr>
            <w:tcW w:w="28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EASTMAN KODAK COMPANY</w:t>
            </w:r>
          </w:p>
        </w:tc>
        <w:tc>
          <w:tcPr>
            <w:tcW w:w="520" w:type="dxa"/>
            <w:vAlign w:val="bottom"/>
            <w:gridSpan w:val="2"/>
            <w:shd w:val="clear" w:color="auto" w:fill="CFF0FC"/>
          </w:tcPr>
          <w:p>
            <w:pPr>
              <w:ind w:left="340"/>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94</w:t>
            </w:r>
          </w:p>
        </w:tc>
        <w:tc>
          <w:tcPr>
            <w:tcW w:w="20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6%</w:t>
            </w:r>
          </w:p>
        </w:tc>
        <w:tc>
          <w:tcPr>
            <w:tcW w:w="18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w:t>
            </w:r>
          </w:p>
        </w:tc>
        <w:tc>
          <w:tcPr>
            <w:tcW w:w="18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79</w:t>
            </w:r>
          </w:p>
        </w:tc>
        <w:tc>
          <w:tcPr>
            <w:tcW w:w="120" w:type="dxa"/>
            <w:vAlign w:val="bottom"/>
            <w:shd w:val="clear" w:color="auto" w:fill="CFF0FC"/>
          </w:tcPr>
          <w:p>
            <w:pPr>
              <w:spacing w:after="0"/>
              <w:rPr>
                <w:sz w:val="17"/>
                <w:szCs w:val="17"/>
                <w:color w:val="auto"/>
              </w:rPr>
            </w:pPr>
          </w:p>
        </w:tc>
        <w:tc>
          <w:tcPr>
            <w:tcW w:w="260" w:type="dxa"/>
            <w:vAlign w:val="bottom"/>
            <w:gridSpan w:val="2"/>
            <w:shd w:val="clear" w:color="auto" w:fill="CFF0FC"/>
          </w:tcPr>
          <w:p>
            <w:pPr>
              <w:ind w:left="8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(80)</w:t>
            </w:r>
          </w:p>
        </w:tc>
        <w:tc>
          <w:tcPr>
            <w:tcW w:w="9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(4%)</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w:t>
            </w:r>
          </w:p>
        </w:tc>
        <w:tc>
          <w:tcPr>
            <w:tcW w:w="120" w:type="dxa"/>
            <w:vAlign w:val="bottom"/>
            <w:shd w:val="clear" w:color="auto" w:fill="CFF0FC"/>
          </w:tcPr>
          <w:p>
            <w:pPr>
              <w:spacing w:after="0"/>
              <w:rPr>
                <w:sz w:val="17"/>
                <w:szCs w:val="17"/>
                <w:color w:val="auto"/>
              </w:rPr>
            </w:pPr>
          </w:p>
        </w:tc>
      </w:tr>
      <w:tr>
        <w:trPr>
          <w:trHeight w:val="20"/>
        </w:trPr>
        <w:tc>
          <w:tcPr>
            <w:tcW w:w="284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3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Revenues</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Current Year</w:t>
      </w:r>
    </w:p>
    <w:p>
      <w:pPr>
        <w:spacing w:after="0" w:line="26"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For the year ended December 31, 2017, revenues decreased by approximately $112 million compared with the same period in 2016. The decline was primarily driven by volume and pricing declines within Print Systems ($80 million). Also contributing to the decrease were volume declines from Consumer Inkjet and Industrial Films and Chemicals within Consumer and Film ($30 million) and Enterprise Inkjet Solutions ($20 million). Partially offsetting these declines were volume improvements in Flexographic Packaging ($11 million) and brand licensing arrangements ($8 million). See segment discussions for additional details.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Prior Year</w:t>
      </w:r>
    </w:p>
    <w:p>
      <w:pPr>
        <w:spacing w:after="0" w:line="26" w:lineRule="exact"/>
        <w:rPr>
          <w:sz w:val="20"/>
          <w:szCs w:val="20"/>
          <w:color w:val="auto"/>
        </w:rPr>
      </w:pPr>
    </w:p>
    <w:p>
      <w:pPr>
        <w:ind w:right="40"/>
        <w:spacing w:after="0" w:line="278" w:lineRule="auto"/>
        <w:rPr>
          <w:sz w:val="20"/>
          <w:szCs w:val="20"/>
          <w:color w:val="auto"/>
        </w:rPr>
      </w:pPr>
      <w:r>
        <w:rPr>
          <w:rFonts w:ascii="Arial" w:cs="Arial" w:eastAsia="Arial" w:hAnsi="Arial"/>
          <w:sz w:val="15"/>
          <w:szCs w:val="15"/>
          <w:color w:val="auto"/>
        </w:rPr>
        <w:t>For the year ended December 31, 2016, revenues decreased by approximately $160 million compared with the same period in 2015. The decline was primarily driven by volume and pricing declines within Print Systems ($88 million). Also contributing to the decrease were volume declines in Consumer and Film ($44 million) and Software and Solutions ($24 million), as well as unfavorable foreign currency rates ($11 million) and lower non-recurring intellectual property and brand licensing arrangements ($8 million). Partially offsetting these declines were volume improvements in Flexographic Packaging ($10 million). See segment discussions for additional details.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62865</wp:posOffset>
            </wp:positionV>
            <wp:extent cx="7301865" cy="406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301865" cy="40640"/>
                    </a:xfrm>
                    <a:prstGeom prst="rect">
                      <a:avLst/>
                    </a:prstGeom>
                    <a:noFill/>
                  </pic:spPr>
                </pic:pic>
              </a:graphicData>
            </a:graphic>
          </wp:anchor>
        </w:drawing>
      </w:r>
    </w:p>
    <w:p>
      <w:pPr>
        <w:sectPr>
          <w:pgSz w:w="11900" w:h="16838" w:orient="portrait"/>
          <w:cols w:equalWidth="0" w:num="1">
            <w:col w:w="11440"/>
          </w:cols>
          <w:pgMar w:left="240" w:top="534" w:right="219" w:bottom="1440" w:gutter="0" w:footer="0" w:header="0"/>
        </w:sectPr>
      </w:pPr>
    </w:p>
    <w:bookmarkStart w:id="40" w:name="page41"/>
    <w:bookmarkEnd w:id="40"/>
    <w:p>
      <w:pPr>
        <w:spacing w:after="0"/>
        <w:rPr>
          <w:sz w:val="20"/>
          <w:szCs w:val="20"/>
          <w:color w:val="auto"/>
        </w:rPr>
      </w:pPr>
      <w:r>
        <w:rPr>
          <w:rFonts w:ascii="Arial" w:cs="Arial" w:eastAsia="Arial" w:hAnsi="Arial"/>
          <w:sz w:val="16"/>
          <w:szCs w:val="16"/>
          <w:b w:val="1"/>
          <w:bCs w:val="1"/>
          <w:color w:val="auto"/>
        </w:rPr>
        <w:t>Gross Profit</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Current Year</w:t>
      </w:r>
    </w:p>
    <w:p>
      <w:pPr>
        <w:spacing w:after="0" w:line="26" w:lineRule="exact"/>
        <w:rPr>
          <w:sz w:val="20"/>
          <w:szCs w:val="20"/>
          <w:color w:val="auto"/>
        </w:rPr>
      </w:pPr>
    </w:p>
    <w:p>
      <w:pPr>
        <w:ind w:right="180"/>
        <w:spacing w:after="0" w:line="255" w:lineRule="auto"/>
        <w:rPr>
          <w:sz w:val="20"/>
          <w:szCs w:val="20"/>
          <w:color w:val="auto"/>
        </w:rPr>
      </w:pPr>
      <w:r>
        <w:rPr>
          <w:rFonts w:ascii="Arial" w:cs="Arial" w:eastAsia="Arial" w:hAnsi="Arial"/>
          <w:sz w:val="16"/>
          <w:szCs w:val="16"/>
          <w:color w:val="auto"/>
        </w:rPr>
        <w:t>Gross profit for 2017 decreased by approximately $48 million. The decrease was driven by pricing declines and lower volume within Print Systems ($35 million and $11 million, respectively), lower volume and higher manufacturing costs within Consumer and Film ($17 million and $15 million, respectively) and increased inventory write-offs due to restructuring ($7 million). Partially offsetting these declines were the deconsolidation of the RED utilities variable interest entity ($12 million), lower depreciation expense ($9 million, excluding depreciation within the RED utilities variable interest entity), volume improvement in Flexographic Packaging ($7 million) and brand licensing arrangements ($8 million). See segment discussions for additional details.</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Prior Year</w:t>
      </w:r>
    </w:p>
    <w:p>
      <w:pPr>
        <w:spacing w:after="0" w:line="26" w:lineRule="exact"/>
        <w:rPr>
          <w:sz w:val="20"/>
          <w:szCs w:val="20"/>
          <w:color w:val="auto"/>
        </w:rPr>
      </w:pPr>
    </w:p>
    <w:p>
      <w:pPr>
        <w:ind w:right="200"/>
        <w:spacing w:after="0" w:line="297" w:lineRule="auto"/>
        <w:rPr>
          <w:sz w:val="20"/>
          <w:szCs w:val="20"/>
          <w:color w:val="auto"/>
        </w:rPr>
      </w:pPr>
      <w:r>
        <w:rPr>
          <w:rFonts w:ascii="Arial" w:cs="Arial" w:eastAsia="Arial" w:hAnsi="Arial"/>
          <w:sz w:val="14"/>
          <w:szCs w:val="14"/>
          <w:color w:val="auto"/>
        </w:rPr>
        <w:t>Gross profit for 2016 increased by approximately $22 million. The increase was driven by cost improvements within Print Systems and Enterprise Inkjet Systems ($54 million and $13 million, respectively, excluding the impact of lower depreciation) and lower depreciation expense ($26 million) driven by Consumer and Film ($15 million). Also contributing were favorable impacts from pension income ($14 million), higher volume within Flexograhic Packaging ($6 million) and lower accelerated depreciation from restructuring ($8 million). Partially offsetting these improvements were pricing declines and lower volume within Print Systems ($46 million and $6 million, respectively), lower volume and unfavorable cost within Consumer and Film ($14 million and $10 million, respectively), unfavorable foreign currency rates ($12 million), and unfavorable volume within Enterprise Inkjet Systems and Software and Solutions ($6 million and $5 million, respectively). See segment discussions for additional details.</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Gross profit for 2015 included a $9 million favorable impact from the reduction of an accrual due to the change in U.S. vacation benefits.</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Selling, General and Administrative Expenses</w:t>
      </w:r>
    </w:p>
    <w:p>
      <w:pPr>
        <w:spacing w:after="0" w:line="26" w:lineRule="exact"/>
        <w:rPr>
          <w:sz w:val="20"/>
          <w:szCs w:val="20"/>
          <w:color w:val="auto"/>
        </w:rPr>
      </w:pPr>
    </w:p>
    <w:p>
      <w:pPr>
        <w:jc w:val="both"/>
        <w:ind w:right="140"/>
        <w:spacing w:after="0" w:line="283" w:lineRule="auto"/>
        <w:rPr>
          <w:sz w:val="20"/>
          <w:szCs w:val="20"/>
          <w:color w:val="auto"/>
        </w:rPr>
      </w:pPr>
      <w:r>
        <w:rPr>
          <w:rFonts w:ascii="Arial" w:cs="Arial" w:eastAsia="Arial" w:hAnsi="Arial"/>
          <w:sz w:val="15"/>
          <w:szCs w:val="15"/>
          <w:color w:val="auto"/>
        </w:rPr>
        <w:t>Consolidated SG&amp;A for 2017 increased $7 million due to lower pension income ($13 million) and higher SG&amp;A in Consumer and Film ($8 million) partially offset by reduced spending in Enterprise Inkjet Systems ($12 million). See segment discussions for additional details. The decrease in consolidated selling, general and administrative expenses from 2015 to 2016 was primarily due to cost reduction actions and the favorable impact of pension and OPEB income ($14 million).</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Research and Development Costs</w:t>
      </w:r>
    </w:p>
    <w:p>
      <w:pPr>
        <w:spacing w:after="0" w:line="26" w:lineRule="exact"/>
        <w:rPr>
          <w:sz w:val="20"/>
          <w:szCs w:val="20"/>
          <w:color w:val="auto"/>
        </w:rPr>
      </w:pPr>
    </w:p>
    <w:p>
      <w:pPr>
        <w:ind w:right="60"/>
        <w:spacing w:after="0" w:line="283" w:lineRule="auto"/>
        <w:rPr>
          <w:sz w:val="20"/>
          <w:szCs w:val="20"/>
          <w:color w:val="auto"/>
        </w:rPr>
      </w:pPr>
      <w:r>
        <w:rPr>
          <w:rFonts w:ascii="Arial" w:cs="Arial" w:eastAsia="Arial" w:hAnsi="Arial"/>
          <w:sz w:val="15"/>
          <w:szCs w:val="15"/>
          <w:color w:val="auto"/>
        </w:rPr>
        <w:t>Consolidated R&amp;D expenses decreased $7 million in 2017 due to lower investment in R&amp;D activities in Enterprise Inkjet Systems, Software and Solutions (both $4 million) and Consumer and Film ($3 million) partially offset by lower pension income ($3 million). See segment discussions for additional details. The decrease in consolidated R&amp;D expenses in 2016 was primarily due to the company focusing investment in material science projects and eliminating programs that no longer aligned with this strategy.</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Restructuring Costs and Other</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These costs, as well as the restructuring costs reported in Cost of revenues, are discussed under the "RESTRUCTURING COSTS AND OTHER" section in this MD&amp;A.</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Operating Expense (Income), Net</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For details, refer to Note 13, “Other Operating Expense (Income), Net.”</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(Income) Charges, Net</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For details, refer to Note 14, “Other (Income) Charges, Net.”</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Provision for Income Taxes</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For details, refer to Note 15, “Income Taxes.”</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Discontinued Operations</w:t>
      </w:r>
    </w:p>
    <w:p>
      <w:pPr>
        <w:spacing w:after="0" w:line="110" w:lineRule="exact"/>
        <w:rPr>
          <w:sz w:val="20"/>
          <w:szCs w:val="20"/>
          <w:color w:val="auto"/>
        </w:rPr>
      </w:pPr>
    </w:p>
    <w:p>
      <w:pPr>
        <w:spacing w:after="0"/>
        <w:rPr>
          <w:sz w:val="20"/>
          <w:szCs w:val="20"/>
          <w:color w:val="auto"/>
        </w:rPr>
      </w:pPr>
      <w:r>
        <w:rPr>
          <w:rFonts w:ascii="Arial" w:cs="Arial" w:eastAsia="Arial" w:hAnsi="Arial"/>
          <w:sz w:val="15"/>
          <w:szCs w:val="15"/>
          <w:color w:val="auto"/>
        </w:rPr>
        <w:t>Discontinued operations of Kodak include the PI/DI Business. Refer to Note 25, “Discontinued Operations” in the Notes to Financial Statements for additional information.</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PRINT SYSTEMS SEGMENT</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5160" w:type="dxa"/>
            <w:vAlign w:val="bottom"/>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3"/>
                <w:szCs w:val="13"/>
                <w:b w:val="1"/>
                <w:bCs w:val="1"/>
                <w:color w:val="auto"/>
                <w:w w:val="88"/>
              </w:rPr>
              <w:t>Year Ended December 31,</w:t>
            </w: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5160" w:type="dxa"/>
            <w:vAlign w:val="bottom"/>
          </w:tcPr>
          <w:p>
            <w:pPr>
              <w:spacing w:after="0"/>
              <w:rPr>
                <w:sz w:val="11"/>
                <w:szCs w:val="11"/>
                <w:color w:val="auto"/>
              </w:rPr>
            </w:pPr>
          </w:p>
        </w:tc>
        <w:tc>
          <w:tcPr>
            <w:tcW w:w="700" w:type="dxa"/>
            <w:vAlign w:val="bottom"/>
          </w:tcPr>
          <w:p>
            <w:pPr>
              <w:jc w:val="right"/>
              <w:spacing w:after="0" w:line="138" w:lineRule="exact"/>
              <w:rPr>
                <w:sz w:val="20"/>
                <w:szCs w:val="20"/>
                <w:color w:val="auto"/>
              </w:rPr>
            </w:pPr>
            <w:r>
              <w:rPr>
                <w:rFonts w:ascii="Arial" w:cs="Arial" w:eastAsia="Arial" w:hAnsi="Arial"/>
                <w:sz w:val="13"/>
                <w:szCs w:val="13"/>
                <w:b w:val="1"/>
                <w:bCs w:val="1"/>
                <w:color w:val="auto"/>
              </w:rPr>
              <w:t>2017</w:t>
            </w: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jc w:val="right"/>
              <w:spacing w:after="0" w:line="138" w:lineRule="exact"/>
              <w:rPr>
                <w:sz w:val="20"/>
                <w:szCs w:val="20"/>
                <w:color w:val="auto"/>
              </w:rPr>
            </w:pPr>
            <w:r>
              <w:rPr>
                <w:rFonts w:ascii="Arial" w:cs="Arial" w:eastAsia="Arial" w:hAnsi="Arial"/>
                <w:sz w:val="13"/>
                <w:szCs w:val="13"/>
                <w:b w:val="1"/>
                <w:bCs w:val="1"/>
                <w:color w:val="auto"/>
              </w:rPr>
              <w:t>2016</w:t>
            </w: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gridSpan w:val="2"/>
          </w:tcPr>
          <w:p>
            <w:pPr>
              <w:jc w:val="center"/>
              <w:ind w:right="420"/>
              <w:spacing w:after="0" w:line="138" w:lineRule="exact"/>
              <w:rPr>
                <w:sz w:val="20"/>
                <w:szCs w:val="20"/>
                <w:color w:val="auto"/>
              </w:rPr>
            </w:pPr>
            <w:r>
              <w:rPr>
                <w:rFonts w:ascii="Arial" w:cs="Arial" w:eastAsia="Arial" w:hAnsi="Arial"/>
                <w:sz w:val="13"/>
                <w:szCs w:val="13"/>
                <w:b w:val="1"/>
                <w:bCs w:val="1"/>
                <w:color w:val="auto"/>
                <w:w w:val="85"/>
              </w:rPr>
              <w:t>$ Change</w:t>
            </w:r>
          </w:p>
        </w:tc>
        <w:tc>
          <w:tcPr>
            <w:tcW w:w="220" w:type="dxa"/>
            <w:vAlign w:val="bottom"/>
          </w:tcPr>
          <w:p>
            <w:pPr>
              <w:spacing w:after="0"/>
              <w:rPr>
                <w:sz w:val="11"/>
                <w:szCs w:val="11"/>
                <w:color w:val="auto"/>
              </w:rPr>
            </w:pPr>
          </w:p>
        </w:tc>
        <w:tc>
          <w:tcPr>
            <w:tcW w:w="780" w:type="dxa"/>
            <w:vAlign w:val="bottom"/>
          </w:tcPr>
          <w:p>
            <w:pPr>
              <w:jc w:val="right"/>
              <w:ind w:right="303"/>
              <w:spacing w:after="0" w:line="138" w:lineRule="exact"/>
              <w:rPr>
                <w:sz w:val="20"/>
                <w:szCs w:val="20"/>
                <w:color w:val="auto"/>
              </w:rPr>
            </w:pPr>
            <w:r>
              <w:rPr>
                <w:rFonts w:ascii="Arial" w:cs="Arial" w:eastAsia="Arial" w:hAnsi="Arial"/>
                <w:sz w:val="13"/>
                <w:szCs w:val="13"/>
                <w:b w:val="1"/>
                <w:bCs w:val="1"/>
                <w:color w:val="auto"/>
              </w:rPr>
              <w:t>2015</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jc w:val="right"/>
              <w:ind w:right="185"/>
              <w:spacing w:after="0" w:line="138" w:lineRule="exact"/>
              <w:rPr>
                <w:sz w:val="20"/>
                <w:szCs w:val="20"/>
                <w:color w:val="auto"/>
              </w:rPr>
            </w:pPr>
            <w:r>
              <w:rPr>
                <w:rFonts w:ascii="Arial" w:cs="Arial" w:eastAsia="Arial" w:hAnsi="Arial"/>
                <w:sz w:val="13"/>
                <w:szCs w:val="13"/>
                <w:b w:val="1"/>
                <w:bCs w:val="1"/>
                <w:color w:val="auto"/>
                <w:w w:val="99"/>
              </w:rPr>
              <w:t>$ Change</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1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Revenues</w:t>
            </w:r>
          </w:p>
        </w:tc>
        <w:tc>
          <w:tcPr>
            <w:tcW w:w="700" w:type="dxa"/>
            <w:vAlign w:val="bottom"/>
            <w:tcBorders>
              <w:top w:val="single" w:sz="8" w:color="auto"/>
              <w:bottom w:val="single" w:sz="8" w:color="auto"/>
            </w:tcBorders>
            <w:shd w:val="clear" w:color="auto" w:fill="CFF0FC"/>
          </w:tcPr>
          <w:p>
            <w:pPr>
              <w:jc w:val="right"/>
              <w:ind w:right="546"/>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942</w:t>
            </w:r>
          </w:p>
        </w:tc>
        <w:tc>
          <w:tcPr>
            <w:tcW w:w="280" w:type="dxa"/>
            <w:vAlign w:val="bottom"/>
            <w:tcBorders>
              <w:top w:val="single" w:sz="8" w:color="CFF0FC"/>
              <w:bottom w:val="single" w:sz="8" w:color="CFF0FC"/>
            </w:tcBorders>
            <w:shd w:val="clear" w:color="auto" w:fill="CFF0FC"/>
          </w:tcPr>
          <w:p>
            <w:pPr>
              <w:spacing w:after="0"/>
              <w:rPr>
                <w:sz w:val="17"/>
                <w:szCs w:val="17"/>
                <w:color w:val="auto"/>
              </w:rPr>
            </w:pPr>
          </w:p>
        </w:tc>
        <w:tc>
          <w:tcPr>
            <w:tcW w:w="640" w:type="dxa"/>
            <w:vAlign w:val="bottom"/>
            <w:tcBorders>
              <w:top w:val="single" w:sz="8" w:color="auto"/>
              <w:bottom w:val="single" w:sz="8" w:color="auto"/>
            </w:tcBorders>
            <w:shd w:val="clear" w:color="auto" w:fill="CFF0FC"/>
          </w:tcPr>
          <w:p>
            <w:pPr>
              <w:jc w:val="right"/>
              <w:ind w:right="490"/>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4"/>
              </w:rPr>
              <w:t>1,018</w:t>
            </w:r>
          </w:p>
        </w:tc>
        <w:tc>
          <w:tcPr>
            <w:tcW w:w="260" w:type="dxa"/>
            <w:vAlign w:val="bottom"/>
            <w:tcBorders>
              <w:top w:val="single" w:sz="8" w:color="CFF0FC"/>
              <w:bottom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auto"/>
            </w:tcBorders>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ind w:left="620"/>
              <w:spacing w:after="0"/>
              <w:rPr>
                <w:sz w:val="20"/>
                <w:szCs w:val="20"/>
                <w:color w:val="auto"/>
              </w:rPr>
            </w:pPr>
            <w:r>
              <w:rPr>
                <w:rFonts w:ascii="Arial" w:cs="Arial" w:eastAsia="Arial" w:hAnsi="Arial"/>
                <w:sz w:val="16"/>
                <w:szCs w:val="16"/>
                <w:color w:val="auto"/>
                <w:w w:val="70"/>
              </w:rPr>
              <w:t>(76)</w:t>
            </w:r>
          </w:p>
        </w:tc>
        <w:tc>
          <w:tcPr>
            <w:tcW w:w="240" w:type="dxa"/>
            <w:vAlign w:val="bottom"/>
            <w:tcBorders>
              <w:top w:val="single" w:sz="8" w:color="CFF0FC"/>
              <w:bottom w:val="single" w:sz="8" w:color="CFF0FC"/>
            </w:tcBorders>
            <w:shd w:val="clear" w:color="auto" w:fill="CFF0FC"/>
          </w:tcPr>
          <w:p>
            <w:pPr>
              <w:spacing w:after="0"/>
              <w:rPr>
                <w:sz w:val="17"/>
                <w:szCs w:val="17"/>
                <w:color w:val="auto"/>
              </w:rPr>
            </w:pPr>
          </w:p>
        </w:tc>
        <w:tc>
          <w:tcPr>
            <w:tcW w:w="220" w:type="dxa"/>
            <w:vAlign w:val="bottom"/>
            <w:tcBorders>
              <w:top w:val="single" w:sz="8" w:color="auto"/>
              <w:bottom w:val="single" w:sz="8" w:color="auto"/>
            </w:tcBorders>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1,107</w:t>
            </w:r>
          </w:p>
        </w:tc>
        <w:tc>
          <w:tcPr>
            <w:tcW w:w="280" w:type="dxa"/>
            <w:vAlign w:val="bottom"/>
            <w:tcBorders>
              <w:top w:val="single" w:sz="8" w:color="CFF0FC"/>
              <w:bottom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auto"/>
            </w:tcBorders>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(89)</w:t>
            </w: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vMerge w:val="restart"/>
          </w:tcPr>
          <w:p>
            <w:pPr>
              <w:spacing w:after="0"/>
              <w:rPr>
                <w:sz w:val="15"/>
                <w:szCs w:val="15"/>
                <w:color w:val="auto"/>
              </w:rPr>
            </w:pPr>
          </w:p>
        </w:tc>
        <w:tc>
          <w:tcPr>
            <w:tcW w:w="5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5160" w:type="dxa"/>
            <w:vAlign w:val="bottom"/>
            <w:shd w:val="clear" w:color="auto" w:fill="CFF0FC"/>
          </w:tcPr>
          <w:p>
            <w:pPr>
              <w:spacing w:after="0"/>
              <w:rPr>
                <w:sz w:val="20"/>
                <w:szCs w:val="20"/>
                <w:color w:val="auto"/>
              </w:rPr>
            </w:pPr>
            <w:r>
              <w:rPr>
                <w:rFonts w:ascii="Arial" w:cs="Arial" w:eastAsia="Arial" w:hAnsi="Arial"/>
                <w:sz w:val="16"/>
                <w:szCs w:val="16"/>
                <w:color w:val="auto"/>
              </w:rPr>
              <w:t>Operational EBITDA</w:t>
            </w:r>
          </w:p>
        </w:tc>
        <w:tc>
          <w:tcPr>
            <w:tcW w:w="700" w:type="dxa"/>
            <w:vAlign w:val="bottom"/>
            <w:shd w:val="clear" w:color="auto" w:fill="CFF0FC"/>
          </w:tcPr>
          <w:p>
            <w:pPr>
              <w:spacing w:after="0"/>
              <w:rPr>
                <w:sz w:val="17"/>
                <w:szCs w:val="17"/>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w:t>
            </w:r>
          </w:p>
        </w:tc>
        <w:tc>
          <w:tcPr>
            <w:tcW w:w="2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106</w:t>
            </w: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ind w:left="620"/>
              <w:spacing w:after="0"/>
              <w:rPr>
                <w:sz w:val="20"/>
                <w:szCs w:val="20"/>
                <w:color w:val="auto"/>
              </w:rPr>
            </w:pPr>
            <w:r>
              <w:rPr>
                <w:rFonts w:ascii="Arial" w:cs="Arial" w:eastAsia="Arial" w:hAnsi="Arial"/>
                <w:sz w:val="16"/>
                <w:szCs w:val="16"/>
                <w:color w:val="auto"/>
              </w:rPr>
              <w:t>(48)</w:t>
            </w: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99</w:t>
            </w: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w:t>
            </w:r>
          </w:p>
        </w:tc>
        <w:tc>
          <w:tcPr>
            <w:tcW w:w="12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180" w:type="dxa"/>
            <w:vAlign w:val="bottom"/>
            <w:gridSpan w:val="2"/>
            <w:vMerge w:val="restart"/>
          </w:tcPr>
          <w:p>
            <w:pPr>
              <w:spacing w:after="0"/>
              <w:rPr>
                <w:sz w:val="20"/>
                <w:szCs w:val="20"/>
                <w:color w:val="auto"/>
              </w:rPr>
            </w:pPr>
            <w:r>
              <w:rPr>
                <w:rFonts w:ascii="Arial" w:cs="Arial" w:eastAsia="Arial" w:hAnsi="Arial"/>
                <w:sz w:val="16"/>
                <w:szCs w:val="16"/>
                <w:color w:val="auto"/>
              </w:rPr>
              <w:t>Operational EBITDA as a % of revenues</w:t>
            </w: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180" w:type="dxa"/>
            <w:vAlign w:val="bottom"/>
            <w:gridSpan w:val="2"/>
            <w:vMerge w:val="continue"/>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gridSpan w:val="2"/>
          </w:tcPr>
          <w:p>
            <w:pPr>
              <w:jc w:val="right"/>
              <w:ind w:right="140"/>
              <w:spacing w:after="0" w:line="182" w:lineRule="exact"/>
              <w:rPr>
                <w:sz w:val="20"/>
                <w:szCs w:val="20"/>
                <w:color w:val="auto"/>
              </w:rPr>
            </w:pPr>
            <w:r>
              <w:rPr>
                <w:rFonts w:ascii="Arial" w:cs="Arial" w:eastAsia="Arial" w:hAnsi="Arial"/>
                <w:sz w:val="16"/>
                <w:szCs w:val="16"/>
                <w:color w:val="auto"/>
              </w:rPr>
              <w:t>6%</w:t>
            </w:r>
          </w:p>
        </w:tc>
        <w:tc>
          <w:tcPr>
            <w:tcW w:w="640" w:type="dxa"/>
            <w:vAlign w:val="bottom"/>
          </w:tcPr>
          <w:p>
            <w:pPr>
              <w:spacing w:after="0"/>
              <w:rPr>
                <w:sz w:val="15"/>
                <w:szCs w:val="15"/>
                <w:color w:val="auto"/>
              </w:rPr>
            </w:pPr>
          </w:p>
        </w:tc>
        <w:tc>
          <w:tcPr>
            <w:tcW w:w="640" w:type="dxa"/>
            <w:vAlign w:val="bottom"/>
            <w:gridSpan w:val="2"/>
          </w:tcPr>
          <w:p>
            <w:pPr>
              <w:jc w:val="right"/>
              <w:ind w:right="76"/>
              <w:spacing w:after="0" w:line="182" w:lineRule="exact"/>
              <w:rPr>
                <w:sz w:val="20"/>
                <w:szCs w:val="20"/>
                <w:color w:val="auto"/>
              </w:rPr>
            </w:pPr>
            <w:r>
              <w:rPr>
                <w:rFonts w:ascii="Arial" w:cs="Arial" w:eastAsia="Arial" w:hAnsi="Arial"/>
                <w:sz w:val="16"/>
                <w:szCs w:val="16"/>
                <w:color w:val="auto"/>
              </w:rPr>
              <w:t>10%</w:t>
            </w: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gridSpan w:val="2"/>
          </w:tcPr>
          <w:p>
            <w:pPr>
              <w:jc w:val="right"/>
              <w:ind w:right="140"/>
              <w:spacing w:after="0" w:line="182" w:lineRule="exact"/>
              <w:rPr>
                <w:sz w:val="20"/>
                <w:szCs w:val="20"/>
                <w:color w:val="auto"/>
              </w:rPr>
            </w:pPr>
            <w:r>
              <w:rPr>
                <w:rFonts w:ascii="Arial" w:cs="Arial" w:eastAsia="Arial" w:hAnsi="Arial"/>
                <w:sz w:val="16"/>
                <w:szCs w:val="16"/>
                <w:color w:val="auto"/>
              </w:rPr>
              <w:t>9%</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04"/>
        </w:trPr>
        <w:tc>
          <w:tcPr>
            <w:tcW w:w="2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700" w:type="dxa"/>
            <w:vAlign w:val="bottom"/>
          </w:tcPr>
          <w:p>
            <w:pPr>
              <w:jc w:val="right"/>
              <w:ind w:right="6"/>
              <w:spacing w:after="0"/>
              <w:rPr>
                <w:sz w:val="20"/>
                <w:szCs w:val="20"/>
                <w:color w:val="auto"/>
              </w:rPr>
            </w:pPr>
            <w:r>
              <w:rPr>
                <w:rFonts w:ascii="Arial" w:cs="Arial" w:eastAsia="Arial" w:hAnsi="Arial"/>
                <w:sz w:val="16"/>
                <w:szCs w:val="16"/>
                <w:color w:val="auto"/>
              </w:rPr>
              <w:t>41</w:t>
            </w: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516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7253605</wp:posOffset>
            </wp:positionH>
            <wp:positionV relativeFrom="paragraph">
              <wp:posOffset>-27305</wp:posOffset>
            </wp:positionV>
            <wp:extent cx="33020" cy="406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-27305</wp:posOffset>
            </wp:positionV>
            <wp:extent cx="33020" cy="406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460"/>
          </w:cols>
          <w:pgMar w:left="240" w:top="316" w:right="199" w:bottom="1440" w:gutter="0" w:footer="0" w:header="0"/>
        </w:sectPr>
      </w:pPr>
    </w:p>
    <w:bookmarkStart w:id="41" w:name="page42"/>
    <w:bookmarkEnd w:id="41"/>
    <w:p>
      <w:pPr>
        <w:spacing w:after="0"/>
        <w:rPr>
          <w:sz w:val="20"/>
          <w:szCs w:val="20"/>
          <w:color w:val="auto"/>
        </w:rPr>
      </w:pPr>
      <w:r>
        <w:rPr>
          <w:rFonts w:ascii="Arial" w:cs="Arial" w:eastAsia="Arial" w:hAnsi="Arial"/>
          <w:sz w:val="16"/>
          <w:szCs w:val="16"/>
          <w:b w:val="1"/>
          <w:bCs w:val="1"/>
          <w:color w:val="auto"/>
        </w:rPr>
        <w:t>Revenues</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Current Year</w:t>
      </w:r>
    </w:p>
    <w:p>
      <w:pPr>
        <w:spacing w:after="0" w:line="110" w:lineRule="exact"/>
        <w:rPr>
          <w:sz w:val="20"/>
          <w:szCs w:val="20"/>
          <w:color w:val="auto"/>
        </w:rPr>
      </w:pPr>
    </w:p>
    <w:p>
      <w:pPr>
        <w:ind w:right="20"/>
        <w:spacing w:after="0" w:line="280" w:lineRule="auto"/>
        <w:rPr>
          <w:sz w:val="20"/>
          <w:szCs w:val="20"/>
          <w:color w:val="auto"/>
        </w:rPr>
      </w:pPr>
      <w:r>
        <w:rPr>
          <w:rFonts w:ascii="Arial" w:cs="Arial" w:eastAsia="Arial" w:hAnsi="Arial"/>
          <w:sz w:val="15"/>
          <w:szCs w:val="15"/>
          <w:color w:val="auto"/>
        </w:rPr>
        <w:t>The decrease in Print Systems revenues of approximately $76 million reflected lower pricing in Prepress consumables ($29 million) as a result of competitive pressures in the industry, lower volume in Prepress consumables ($17 million), and lower volume in Electrophotographic Printing Solutions ($19 million) driven by fewer equipment placements and declines in consumables and service. Also contributing to the revenue decline was lower volume and pricing in Prepress service ($4 million and $2 million, respectively) driven by continued decline in installed equipment and lower volume and pricing for equipment in Prepress Solutions ($3 million and $2 million, respectively) due to fewer equipment placements and competitive pricing pressures. Offsetting these declines was the favorable impact of foreign currency ($5 million).</w:t>
      </w:r>
    </w:p>
    <w:p>
      <w:pPr>
        <w:spacing w:after="0" w:line="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Prior Year</w:t>
      </w:r>
    </w:p>
    <w:p>
      <w:pPr>
        <w:spacing w:after="0" w:line="110"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The decrease in Print Systems revenues of approximately $89 million reflected lower pricing in Prepress consumables ($42 million) as a result of competitive pressures in the industry, lower volume in Prepress consumables ($15 million), and lower volume in Electrophotographic Printing Solutions ($22 million) driven by fewer equipment placements and declines in consumables and service.</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Operational EBITDA</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Current Year</w:t>
      </w:r>
    </w:p>
    <w:p>
      <w:pPr>
        <w:spacing w:after="0" w:line="110"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The decrease in Print Systems Operational EBITDA of approximately $48 million reflected pricing and volume declines in Prepress Solutions ($35 million and $5 million, respectively) as well as lower volume in Electrophotographic Printing Solutions ($6 million). Manufacturing costs improvements in Prepress plates and service due to improved manufacturing efficiency and cost improvements ($12 million) were offset by higher aluminum costs ($12 million).</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Prior Year</w:t>
      </w:r>
    </w:p>
    <w:p>
      <w:pPr>
        <w:spacing w:after="0" w:line="110"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The increase in Print Systems Operational EBITDA of approximately $7 million was driven by manufacturing costs improvements in Prepress consumables due to lower aluminum costs ($28 million) and improved manufacturing efficiency ($22 million) driven by the closure of the Leeds, England plant at the end of August 2015. Also contributing to the improvement was lower SG&amp;A ($6 million) due to cost reductions. Offsetting these improvements were pricing declines in Prepress consumables ($42 million) as a result of competitive pricing pressures in the industry, volume declines in Electrophotographic Printing Solutions ($3 million), lower volumes in Prepress Solutions ($3 million) and pricing declines in Electrophotographic Printing Solutions ($3 million)</w:t>
      </w: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ENTERPRISE INKJET SYSTEMS SEGMENT</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5160" w:type="dxa"/>
            <w:vAlign w:val="bottom"/>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3"/>
                <w:szCs w:val="13"/>
                <w:b w:val="1"/>
                <w:bCs w:val="1"/>
                <w:color w:val="auto"/>
                <w:w w:val="88"/>
              </w:rPr>
              <w:t>Year Ended December 31,</w:t>
            </w: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5160" w:type="dxa"/>
            <w:vAlign w:val="bottom"/>
          </w:tcPr>
          <w:p>
            <w:pPr>
              <w:spacing w:after="0"/>
              <w:rPr>
                <w:sz w:val="11"/>
                <w:szCs w:val="11"/>
                <w:color w:val="auto"/>
              </w:rPr>
            </w:pPr>
          </w:p>
        </w:tc>
        <w:tc>
          <w:tcPr>
            <w:tcW w:w="700" w:type="dxa"/>
            <w:vAlign w:val="bottom"/>
          </w:tcPr>
          <w:p>
            <w:pPr>
              <w:jc w:val="right"/>
              <w:spacing w:after="0" w:line="138" w:lineRule="exact"/>
              <w:rPr>
                <w:sz w:val="20"/>
                <w:szCs w:val="20"/>
                <w:color w:val="auto"/>
              </w:rPr>
            </w:pPr>
            <w:r>
              <w:rPr>
                <w:rFonts w:ascii="Arial" w:cs="Arial" w:eastAsia="Arial" w:hAnsi="Arial"/>
                <w:sz w:val="13"/>
                <w:szCs w:val="13"/>
                <w:b w:val="1"/>
                <w:bCs w:val="1"/>
                <w:color w:val="auto"/>
              </w:rPr>
              <w:t>2017</w:t>
            </w: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jc w:val="right"/>
              <w:ind w:right="10"/>
              <w:spacing w:after="0" w:line="138" w:lineRule="exact"/>
              <w:rPr>
                <w:sz w:val="20"/>
                <w:szCs w:val="20"/>
                <w:color w:val="auto"/>
              </w:rPr>
            </w:pPr>
            <w:r>
              <w:rPr>
                <w:rFonts w:ascii="Arial" w:cs="Arial" w:eastAsia="Arial" w:hAnsi="Arial"/>
                <w:sz w:val="13"/>
                <w:szCs w:val="13"/>
                <w:b w:val="1"/>
                <w:bCs w:val="1"/>
                <w:color w:val="auto"/>
              </w:rPr>
              <w:t>2016</w:t>
            </w: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gridSpan w:val="2"/>
          </w:tcPr>
          <w:p>
            <w:pPr>
              <w:jc w:val="center"/>
              <w:ind w:right="420"/>
              <w:spacing w:after="0" w:line="138" w:lineRule="exact"/>
              <w:rPr>
                <w:sz w:val="20"/>
                <w:szCs w:val="20"/>
                <w:color w:val="auto"/>
              </w:rPr>
            </w:pPr>
            <w:r>
              <w:rPr>
                <w:rFonts w:ascii="Arial" w:cs="Arial" w:eastAsia="Arial" w:hAnsi="Arial"/>
                <w:sz w:val="13"/>
                <w:szCs w:val="13"/>
                <w:b w:val="1"/>
                <w:bCs w:val="1"/>
                <w:color w:val="auto"/>
                <w:w w:val="85"/>
              </w:rPr>
              <w:t>$ Change</w:t>
            </w:r>
          </w:p>
        </w:tc>
        <w:tc>
          <w:tcPr>
            <w:tcW w:w="220" w:type="dxa"/>
            <w:vAlign w:val="bottom"/>
          </w:tcPr>
          <w:p>
            <w:pPr>
              <w:spacing w:after="0"/>
              <w:rPr>
                <w:sz w:val="11"/>
                <w:szCs w:val="11"/>
                <w:color w:val="auto"/>
              </w:rPr>
            </w:pPr>
          </w:p>
        </w:tc>
        <w:tc>
          <w:tcPr>
            <w:tcW w:w="780" w:type="dxa"/>
            <w:vAlign w:val="bottom"/>
          </w:tcPr>
          <w:p>
            <w:pPr>
              <w:jc w:val="right"/>
              <w:ind w:right="303"/>
              <w:spacing w:after="0" w:line="138" w:lineRule="exact"/>
              <w:rPr>
                <w:sz w:val="20"/>
                <w:szCs w:val="20"/>
                <w:color w:val="auto"/>
              </w:rPr>
            </w:pPr>
            <w:r>
              <w:rPr>
                <w:rFonts w:ascii="Arial" w:cs="Arial" w:eastAsia="Arial" w:hAnsi="Arial"/>
                <w:sz w:val="13"/>
                <w:szCs w:val="13"/>
                <w:b w:val="1"/>
                <w:bCs w:val="1"/>
                <w:color w:val="auto"/>
              </w:rPr>
              <w:t>2015</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jc w:val="right"/>
              <w:ind w:right="185"/>
              <w:spacing w:after="0" w:line="138" w:lineRule="exact"/>
              <w:rPr>
                <w:sz w:val="20"/>
                <w:szCs w:val="20"/>
                <w:color w:val="auto"/>
              </w:rPr>
            </w:pPr>
            <w:r>
              <w:rPr>
                <w:rFonts w:ascii="Arial" w:cs="Arial" w:eastAsia="Arial" w:hAnsi="Arial"/>
                <w:sz w:val="13"/>
                <w:szCs w:val="13"/>
                <w:b w:val="1"/>
                <w:bCs w:val="1"/>
                <w:color w:val="auto"/>
                <w:w w:val="99"/>
              </w:rPr>
              <w:t>$ Change</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1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Revenues</w:t>
            </w:r>
          </w:p>
        </w:tc>
        <w:tc>
          <w:tcPr>
            <w:tcW w:w="700" w:type="dxa"/>
            <w:vAlign w:val="bottom"/>
            <w:tcBorders>
              <w:top w:val="single" w:sz="8" w:color="auto"/>
              <w:bottom w:val="single" w:sz="8" w:color="auto"/>
            </w:tcBorders>
            <w:shd w:val="clear" w:color="auto" w:fill="CFF0FC"/>
          </w:tcPr>
          <w:p>
            <w:pPr>
              <w:jc w:val="right"/>
              <w:ind w:right="550"/>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144</w:t>
            </w:r>
          </w:p>
        </w:tc>
        <w:tc>
          <w:tcPr>
            <w:tcW w:w="280" w:type="dxa"/>
            <w:vAlign w:val="bottom"/>
            <w:tcBorders>
              <w:top w:val="single" w:sz="8" w:color="CFF0FC"/>
              <w:bottom w:val="single" w:sz="8" w:color="CFF0FC"/>
            </w:tcBorders>
            <w:shd w:val="clear" w:color="auto" w:fill="CFF0FC"/>
          </w:tcPr>
          <w:p>
            <w:pPr>
              <w:spacing w:after="0"/>
              <w:rPr>
                <w:sz w:val="17"/>
                <w:szCs w:val="17"/>
                <w:color w:val="auto"/>
              </w:rPr>
            </w:pPr>
          </w:p>
        </w:tc>
        <w:tc>
          <w:tcPr>
            <w:tcW w:w="700" w:type="dxa"/>
            <w:vAlign w:val="bottom"/>
            <w:tcBorders>
              <w:top w:val="single" w:sz="8" w:color="auto"/>
              <w:bottom w:val="single" w:sz="8" w:color="auto"/>
            </w:tcBorders>
            <w:shd w:val="clear" w:color="auto" w:fill="CFF0FC"/>
          </w:tcPr>
          <w:p>
            <w:pPr>
              <w:jc w:val="right"/>
              <w:ind w:right="550"/>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166</w:t>
            </w:r>
          </w:p>
        </w:tc>
        <w:tc>
          <w:tcPr>
            <w:tcW w:w="260" w:type="dxa"/>
            <w:vAlign w:val="bottom"/>
            <w:tcBorders>
              <w:top w:val="single" w:sz="8" w:color="CFF0FC"/>
              <w:bottom w:val="single" w:sz="8" w:color="CFF0FC"/>
              <w:right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auto"/>
            </w:tcBorders>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w:t>
            </w:r>
          </w:p>
        </w:tc>
        <w:tc>
          <w:tcPr>
            <w:tcW w:w="240" w:type="dxa"/>
            <w:vAlign w:val="bottom"/>
            <w:tcBorders>
              <w:top w:val="single" w:sz="8" w:color="CFF0FC"/>
              <w:bottom w:val="single" w:sz="8" w:color="CFF0FC"/>
            </w:tcBorders>
            <w:shd w:val="clear" w:color="auto" w:fill="CFF0FC"/>
          </w:tcPr>
          <w:p>
            <w:pPr>
              <w:spacing w:after="0"/>
              <w:rPr>
                <w:sz w:val="17"/>
                <w:szCs w:val="17"/>
                <w:color w:val="auto"/>
              </w:rPr>
            </w:pPr>
          </w:p>
        </w:tc>
        <w:tc>
          <w:tcPr>
            <w:tcW w:w="220" w:type="dxa"/>
            <w:vAlign w:val="bottom"/>
            <w:tcBorders>
              <w:top w:val="single" w:sz="8" w:color="auto"/>
              <w:bottom w:val="single" w:sz="8" w:color="auto"/>
            </w:tcBorders>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165</w:t>
            </w:r>
          </w:p>
        </w:tc>
        <w:tc>
          <w:tcPr>
            <w:tcW w:w="280" w:type="dxa"/>
            <w:vAlign w:val="bottom"/>
            <w:tcBorders>
              <w:top w:val="single" w:sz="8" w:color="CFF0FC"/>
              <w:bottom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auto"/>
            </w:tcBorders>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vMerge w:val="restart"/>
          </w:tcPr>
          <w:p>
            <w:pPr>
              <w:spacing w:after="0"/>
              <w:rPr>
                <w:sz w:val="15"/>
                <w:szCs w:val="15"/>
                <w:color w:val="auto"/>
              </w:rPr>
            </w:pPr>
          </w:p>
        </w:tc>
        <w:tc>
          <w:tcPr>
            <w:tcW w:w="5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5160" w:type="dxa"/>
            <w:vAlign w:val="bottom"/>
            <w:shd w:val="clear" w:color="auto" w:fill="CFF0FC"/>
          </w:tcPr>
          <w:p>
            <w:pPr>
              <w:spacing w:after="0"/>
              <w:rPr>
                <w:sz w:val="20"/>
                <w:szCs w:val="20"/>
                <w:color w:val="auto"/>
              </w:rPr>
            </w:pPr>
            <w:r>
              <w:rPr>
                <w:rFonts w:ascii="Arial" w:cs="Arial" w:eastAsia="Arial" w:hAnsi="Arial"/>
                <w:sz w:val="16"/>
                <w:szCs w:val="16"/>
                <w:color w:val="auto"/>
              </w:rPr>
              <w:t>Operational EBITDA</w:t>
            </w:r>
          </w:p>
        </w:tc>
        <w:tc>
          <w:tcPr>
            <w:tcW w:w="700" w:type="dxa"/>
            <w:vAlign w:val="bottom"/>
            <w:shd w:val="clear" w:color="auto" w:fill="CFF0FC"/>
          </w:tcPr>
          <w:p>
            <w:pPr>
              <w:spacing w:after="0"/>
              <w:rPr>
                <w:sz w:val="17"/>
                <w:szCs w:val="17"/>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2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580" w:type="dxa"/>
            <w:vAlign w:val="bottom"/>
            <w:tcBorders>
              <w:right w:val="single" w:sz="8" w:color="CFF0FC"/>
            </w:tcBorders>
            <w:gridSpan w:val="2"/>
            <w:shd w:val="clear" w:color="auto" w:fill="CFF0FC"/>
          </w:tcPr>
          <w:p>
            <w:pPr>
              <w:jc w:val="right"/>
              <w:ind w:right="156"/>
              <w:spacing w:after="0"/>
              <w:rPr>
                <w:sz w:val="20"/>
                <w:szCs w:val="20"/>
                <w:color w:val="auto"/>
              </w:rPr>
            </w:pPr>
            <w:r>
              <w:rPr>
                <w:rFonts w:ascii="Arial" w:cs="Arial" w:eastAsia="Arial" w:hAnsi="Arial"/>
                <w:sz w:val="16"/>
                <w:szCs w:val="16"/>
                <w:color w:val="auto"/>
              </w:rPr>
              <w:t>(16)</w:t>
            </w:r>
          </w:p>
        </w:tc>
        <w:tc>
          <w:tcPr>
            <w:tcW w:w="18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w:t>
            </w: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(27)</w:t>
            </w:r>
          </w:p>
        </w:tc>
        <w:tc>
          <w:tcPr>
            <w:tcW w:w="16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180" w:type="dxa"/>
            <w:vAlign w:val="bottom"/>
            <w:gridSpan w:val="2"/>
            <w:vMerge w:val="restart"/>
          </w:tcPr>
          <w:p>
            <w:pPr>
              <w:spacing w:after="0"/>
              <w:rPr>
                <w:sz w:val="20"/>
                <w:szCs w:val="20"/>
                <w:color w:val="auto"/>
              </w:rPr>
            </w:pPr>
            <w:r>
              <w:rPr>
                <w:rFonts w:ascii="Arial" w:cs="Arial" w:eastAsia="Arial" w:hAnsi="Arial"/>
                <w:sz w:val="16"/>
                <w:szCs w:val="16"/>
                <w:color w:val="auto"/>
              </w:rPr>
              <w:t>Operational EBITDA as a % of revenues</w:t>
            </w: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180" w:type="dxa"/>
            <w:vAlign w:val="bottom"/>
            <w:gridSpan w:val="2"/>
            <w:vMerge w:val="continue"/>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gridSpan w:val="2"/>
          </w:tcPr>
          <w:p>
            <w:pPr>
              <w:jc w:val="right"/>
              <w:ind w:right="140"/>
              <w:spacing w:after="0" w:line="182" w:lineRule="exact"/>
              <w:rPr>
                <w:sz w:val="20"/>
                <w:szCs w:val="20"/>
                <w:color w:val="auto"/>
              </w:rPr>
            </w:pPr>
            <w:r>
              <w:rPr>
                <w:rFonts w:ascii="Arial" w:cs="Arial" w:eastAsia="Arial" w:hAnsi="Arial"/>
                <w:sz w:val="16"/>
                <w:szCs w:val="16"/>
                <w:color w:val="auto"/>
              </w:rPr>
              <w:t>3%</w:t>
            </w:r>
          </w:p>
        </w:tc>
        <w:tc>
          <w:tcPr>
            <w:tcW w:w="700" w:type="dxa"/>
            <w:vAlign w:val="bottom"/>
          </w:tcPr>
          <w:p>
            <w:pPr>
              <w:spacing w:after="0"/>
              <w:rPr>
                <w:sz w:val="15"/>
                <w:szCs w:val="15"/>
                <w:color w:val="auto"/>
              </w:rPr>
            </w:pPr>
          </w:p>
        </w:tc>
        <w:tc>
          <w:tcPr>
            <w:tcW w:w="580" w:type="dxa"/>
            <w:vAlign w:val="bottom"/>
            <w:gridSpan w:val="2"/>
          </w:tcPr>
          <w:p>
            <w:pPr>
              <w:jc w:val="right"/>
              <w:ind w:right="76"/>
              <w:spacing w:after="0" w:line="182" w:lineRule="exact"/>
              <w:rPr>
                <w:sz w:val="20"/>
                <w:szCs w:val="20"/>
                <w:color w:val="auto"/>
              </w:rPr>
            </w:pPr>
            <w:r>
              <w:rPr>
                <w:rFonts w:ascii="Arial" w:cs="Arial" w:eastAsia="Arial" w:hAnsi="Arial"/>
                <w:sz w:val="16"/>
                <w:szCs w:val="16"/>
                <w:color w:val="auto"/>
              </w:rPr>
              <w:t>-10%</w:t>
            </w: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gridSpan w:val="2"/>
          </w:tcPr>
          <w:p>
            <w:pPr>
              <w:jc w:val="right"/>
              <w:ind w:right="140"/>
              <w:spacing w:after="0" w:line="182" w:lineRule="exact"/>
              <w:rPr>
                <w:sz w:val="20"/>
                <w:szCs w:val="20"/>
                <w:color w:val="auto"/>
              </w:rPr>
            </w:pPr>
            <w:r>
              <w:rPr>
                <w:rFonts w:ascii="Arial" w:cs="Arial" w:eastAsia="Arial" w:hAnsi="Arial"/>
                <w:sz w:val="16"/>
                <w:szCs w:val="16"/>
                <w:color w:val="auto"/>
              </w:rPr>
              <w:t>-16%</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Revenues</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Current Year</w:t>
      </w:r>
    </w:p>
    <w:p>
      <w:pPr>
        <w:spacing w:after="0" w:line="328"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color w:val="auto"/>
        </w:rPr>
        <w:t>The decrease in Enterprise Inkjet Systems revenues of approximately $22 million primarily reflected lower volume of PROSPER systems ($17 million) due to focusing on high volume applications, as well as lower volume of components ($6 million) primarily attributed to a slow-down of equipment placements across the market. In addition, volume of VERSAMARK service and consumables decreased due to declines in the installed base of VERSAMARK systems ($11 million). These unfavorable drivers were partially offset by increased volume of PROSPER service and consumable sales ($3 million) primarily driven by a larger installed base of PROSPER systems and components, and in Kodak Print Services ($3 million) due to 2017 being the first full year of operations. Other favorable drivers included a revenue reduction due to consideration provided to a customer in the prior year ($5 million) and higher volume of VERSAMARK equipment sales ($3 million) primarily due to the sale of used equipment in the first quarter of 2017.</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Prior Year</w:t>
      </w:r>
    </w:p>
    <w:p>
      <w:pPr>
        <w:spacing w:after="0" w:line="110"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Enterprise Inkjet Systems revenues were relatively flat in 2016, which primarily reflected improved volume of PROSPER service and consumable sales ($15 million) driven by a larger installed base of PROSPER systems and components and higher volume of PROSPER equipment ($4 million). These favorable drivers were offset by volume declines in VERSAMARK service and consumables ($6 million) due to declines in the installed base of VERSAMARK systems and components, a revenue reduction due to consideration provided to a customer ($5 million), unfavorable product mix in PROSPER equipment ($4 million) as well as fewer VERSAMARK equipment placements ($2 million).</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62865</wp:posOffset>
            </wp:positionV>
            <wp:extent cx="7301865" cy="406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301865" cy="40640"/>
                    </a:xfrm>
                    <a:prstGeom prst="rect">
                      <a:avLst/>
                    </a:prstGeom>
                    <a:noFill/>
                  </pic:spPr>
                </pic:pic>
              </a:graphicData>
            </a:graphic>
          </wp:anchor>
        </w:drawing>
      </w:r>
    </w:p>
    <w:p>
      <w:pPr>
        <w:sectPr>
          <w:pgSz w:w="11900" w:h="16838" w:orient="portrait"/>
          <w:cols w:equalWidth="0" w:num="1">
            <w:col w:w="11440"/>
          </w:cols>
          <w:pgMar w:left="240" w:top="256" w:right="219" w:bottom="1440" w:gutter="0" w:footer="0" w:header="0"/>
        </w:sectPr>
      </w:pPr>
    </w:p>
    <w:bookmarkStart w:id="42" w:name="page43"/>
    <w:bookmarkEnd w:id="42"/>
    <w:p>
      <w:pPr>
        <w:spacing w:after="0"/>
        <w:rPr>
          <w:sz w:val="20"/>
          <w:szCs w:val="20"/>
          <w:color w:val="auto"/>
        </w:rPr>
      </w:pPr>
      <w:r>
        <w:rPr>
          <w:rFonts w:ascii="Arial" w:cs="Arial" w:eastAsia="Arial" w:hAnsi="Arial"/>
          <w:sz w:val="16"/>
          <w:szCs w:val="16"/>
          <w:b w:val="1"/>
          <w:bCs w:val="1"/>
          <w:color w:val="auto"/>
        </w:rPr>
        <w:t>Operational EBITDA</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Current Year</w:t>
      </w:r>
    </w:p>
    <w:p>
      <w:pPr>
        <w:spacing w:after="0" w:line="110" w:lineRule="exact"/>
        <w:rPr>
          <w:sz w:val="20"/>
          <w:szCs w:val="20"/>
          <w:color w:val="auto"/>
        </w:rPr>
      </w:pPr>
    </w:p>
    <w:p>
      <w:pPr>
        <w:ind w:right="80"/>
        <w:spacing w:after="0" w:line="299" w:lineRule="auto"/>
        <w:rPr>
          <w:sz w:val="20"/>
          <w:szCs w:val="20"/>
          <w:color w:val="auto"/>
        </w:rPr>
      </w:pPr>
      <w:r>
        <w:rPr>
          <w:rFonts w:ascii="Arial" w:cs="Arial" w:eastAsia="Arial" w:hAnsi="Arial"/>
          <w:sz w:val="14"/>
          <w:szCs w:val="14"/>
          <w:color w:val="auto"/>
        </w:rPr>
        <w:t>The increase in Enterprise Inkjet Systems Operational EBITDA of $21 million was primarily due to a lower level of investment in marketing, advertising and sales activities ($12 million) and R&amp;D activities ($4 million), and a revenue reduction due to consideration provided to a customer in the prior year ($4 million). A portion of the lower investments in marketing, advertising and sales and R&amp;D activities represents savings from the PROSPER restructuring actions announced in January 2017 (refer to the “Restructuring Costs and Other – Prosper Business Cost Reduction” section in this Management’s Discussion and Analysis) as well as $3 million of cost for participation in drupa 2016 in the prior year. In addition, there was a favorable impact from the volume improvement in PROSPER service and consumables ($1 million). The negative impact of the lower volume of PROSPER component sales was offset by the positive impact on profitability from the volume reduction in PROSPER systems ($3 million). The negative impact of the lower volume of VERSAMARK services and consumables ($3 million) was offset by improvements in manufacturing cost efficiencies ($3 million).</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Prior Year</w:t>
      </w:r>
    </w:p>
    <w:p>
      <w:pPr>
        <w:spacing w:after="0" w:line="110" w:lineRule="exact"/>
        <w:rPr>
          <w:sz w:val="20"/>
          <w:szCs w:val="20"/>
          <w:color w:val="auto"/>
        </w:rPr>
      </w:pPr>
    </w:p>
    <w:p>
      <w:pPr>
        <w:ind w:right="280"/>
        <w:spacing w:after="0" w:line="284" w:lineRule="auto"/>
        <w:rPr>
          <w:sz w:val="20"/>
          <w:szCs w:val="20"/>
          <w:color w:val="auto"/>
        </w:rPr>
      </w:pPr>
      <w:r>
        <w:rPr>
          <w:rFonts w:ascii="Arial" w:cs="Arial" w:eastAsia="Arial" w:hAnsi="Arial"/>
          <w:sz w:val="15"/>
          <w:szCs w:val="15"/>
          <w:color w:val="auto"/>
        </w:rPr>
        <w:t>The increase in Enterprise Inkjet Systems Operational EBITDA of $11 million was driven by favorable costs ($13 million) primarily due to absorption benefits from higher volumes of PROSPER service and consumable sales as well as lower costs for PROSPER equipment, favorable product mix of PROSPER equipment ($3 million) and lower levels of marketing and selling expenses and R&amp;D expenses (each $1 million). Partially offsetting these increases was lower volume of VERSAMARK service and consumables and fewer VERSAMARK equipment placements (each $2 million) as well as a revenue reduction due to consideration provided to a customer ($4 million).</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FLEXOGRAPHIC PACKAGING SEGMENT</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5160" w:type="dxa"/>
            <w:vAlign w:val="bottom"/>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88"/>
              </w:rPr>
              <w:t>Year Ended December 31,</w:t>
            </w:r>
          </w:p>
        </w:tc>
        <w:tc>
          <w:tcPr>
            <w:tcW w:w="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5160" w:type="dxa"/>
            <w:vAlign w:val="bottom"/>
          </w:tcPr>
          <w:p>
            <w:pPr>
              <w:spacing w:after="0"/>
              <w:rPr>
                <w:sz w:val="11"/>
                <w:szCs w:val="11"/>
                <w:color w:val="auto"/>
              </w:rPr>
            </w:pPr>
          </w:p>
        </w:tc>
        <w:tc>
          <w:tcPr>
            <w:tcW w:w="700" w:type="dxa"/>
            <w:vAlign w:val="bottom"/>
          </w:tcPr>
          <w:p>
            <w:pPr>
              <w:jc w:val="right"/>
              <w:spacing w:after="0" w:line="138" w:lineRule="exact"/>
              <w:rPr>
                <w:sz w:val="20"/>
                <w:szCs w:val="20"/>
                <w:color w:val="auto"/>
              </w:rPr>
            </w:pPr>
            <w:r>
              <w:rPr>
                <w:rFonts w:ascii="Arial" w:cs="Arial" w:eastAsia="Arial" w:hAnsi="Arial"/>
                <w:sz w:val="13"/>
                <w:szCs w:val="13"/>
                <w:b w:val="1"/>
                <w:bCs w:val="1"/>
                <w:color w:val="auto"/>
              </w:rPr>
              <w:t>2017</w:t>
            </w: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jc w:val="right"/>
              <w:ind w:right="10"/>
              <w:spacing w:after="0" w:line="138" w:lineRule="exact"/>
              <w:rPr>
                <w:sz w:val="20"/>
                <w:szCs w:val="20"/>
                <w:color w:val="auto"/>
              </w:rPr>
            </w:pPr>
            <w:r>
              <w:rPr>
                <w:rFonts w:ascii="Arial" w:cs="Arial" w:eastAsia="Arial" w:hAnsi="Arial"/>
                <w:sz w:val="13"/>
                <w:szCs w:val="13"/>
                <w:b w:val="1"/>
                <w:bCs w:val="1"/>
                <w:color w:val="auto"/>
              </w:rPr>
              <w:t>2016</w:t>
            </w: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gridSpan w:val="2"/>
          </w:tcPr>
          <w:p>
            <w:pPr>
              <w:jc w:val="center"/>
              <w:ind w:right="380"/>
              <w:spacing w:after="0" w:line="138" w:lineRule="exact"/>
              <w:rPr>
                <w:sz w:val="20"/>
                <w:szCs w:val="20"/>
                <w:color w:val="auto"/>
              </w:rPr>
            </w:pPr>
            <w:r>
              <w:rPr>
                <w:rFonts w:ascii="Arial" w:cs="Arial" w:eastAsia="Arial" w:hAnsi="Arial"/>
                <w:sz w:val="13"/>
                <w:szCs w:val="13"/>
                <w:b w:val="1"/>
                <w:bCs w:val="1"/>
                <w:color w:val="auto"/>
                <w:w w:val="85"/>
              </w:rPr>
              <w:t>$ Change</w:t>
            </w: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jc w:val="right"/>
              <w:ind w:right="303"/>
              <w:spacing w:after="0" w:line="138" w:lineRule="exact"/>
              <w:rPr>
                <w:sz w:val="20"/>
                <w:szCs w:val="20"/>
                <w:color w:val="auto"/>
              </w:rPr>
            </w:pPr>
            <w:r>
              <w:rPr>
                <w:rFonts w:ascii="Arial" w:cs="Arial" w:eastAsia="Arial" w:hAnsi="Arial"/>
                <w:sz w:val="13"/>
                <w:szCs w:val="13"/>
                <w:b w:val="1"/>
                <w:bCs w:val="1"/>
                <w:color w:val="auto"/>
              </w:rPr>
              <w:t>2015</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jc w:val="right"/>
              <w:ind w:right="185"/>
              <w:spacing w:after="0" w:line="138" w:lineRule="exact"/>
              <w:rPr>
                <w:sz w:val="20"/>
                <w:szCs w:val="20"/>
                <w:color w:val="auto"/>
              </w:rPr>
            </w:pPr>
            <w:r>
              <w:rPr>
                <w:rFonts w:ascii="Arial" w:cs="Arial" w:eastAsia="Arial" w:hAnsi="Arial"/>
                <w:sz w:val="13"/>
                <w:szCs w:val="13"/>
                <w:b w:val="1"/>
                <w:bCs w:val="1"/>
                <w:color w:val="auto"/>
                <w:w w:val="99"/>
              </w:rPr>
              <w:t>$ Change</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1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Revenues</w:t>
            </w:r>
          </w:p>
        </w:tc>
        <w:tc>
          <w:tcPr>
            <w:tcW w:w="700" w:type="dxa"/>
            <w:vAlign w:val="bottom"/>
            <w:tcBorders>
              <w:top w:val="single" w:sz="8" w:color="auto"/>
              <w:bottom w:val="single" w:sz="8" w:color="auto"/>
            </w:tcBorders>
            <w:shd w:val="clear" w:color="auto" w:fill="CFF0FC"/>
          </w:tcPr>
          <w:p>
            <w:pPr>
              <w:jc w:val="right"/>
              <w:ind w:right="550"/>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145</w:t>
            </w:r>
          </w:p>
        </w:tc>
        <w:tc>
          <w:tcPr>
            <w:tcW w:w="280" w:type="dxa"/>
            <w:vAlign w:val="bottom"/>
            <w:tcBorders>
              <w:top w:val="single" w:sz="8" w:color="CFF0FC"/>
              <w:bottom w:val="single" w:sz="8" w:color="CFF0FC"/>
            </w:tcBorders>
            <w:shd w:val="clear" w:color="auto" w:fill="CFF0FC"/>
          </w:tcPr>
          <w:p>
            <w:pPr>
              <w:spacing w:after="0"/>
              <w:rPr>
                <w:sz w:val="17"/>
                <w:szCs w:val="17"/>
                <w:color w:val="auto"/>
              </w:rPr>
            </w:pPr>
          </w:p>
        </w:tc>
        <w:tc>
          <w:tcPr>
            <w:tcW w:w="700" w:type="dxa"/>
            <w:vAlign w:val="bottom"/>
            <w:tcBorders>
              <w:top w:val="single" w:sz="8" w:color="auto"/>
              <w:bottom w:val="single" w:sz="8" w:color="auto"/>
            </w:tcBorders>
            <w:shd w:val="clear" w:color="auto" w:fill="CFF0FC"/>
          </w:tcPr>
          <w:p>
            <w:pPr>
              <w:jc w:val="right"/>
              <w:ind w:right="550"/>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132</w:t>
            </w:r>
          </w:p>
        </w:tc>
        <w:tc>
          <w:tcPr>
            <w:tcW w:w="260" w:type="dxa"/>
            <w:vAlign w:val="bottom"/>
            <w:tcBorders>
              <w:top w:val="single" w:sz="8" w:color="CFF0FC"/>
              <w:bottom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auto"/>
            </w:tcBorders>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w:t>
            </w:r>
          </w:p>
        </w:tc>
        <w:tc>
          <w:tcPr>
            <w:tcW w:w="200" w:type="dxa"/>
            <w:vAlign w:val="bottom"/>
            <w:tcBorders>
              <w:top w:val="single" w:sz="8" w:color="CFF0FC"/>
              <w:bottom w:val="single" w:sz="8" w:color="CFF0FC"/>
            </w:tcBorders>
            <w:shd w:val="clear" w:color="auto" w:fill="CFF0FC"/>
          </w:tcPr>
          <w:p>
            <w:pPr>
              <w:spacing w:after="0"/>
              <w:rPr>
                <w:sz w:val="17"/>
                <w:szCs w:val="17"/>
                <w:color w:val="auto"/>
              </w:rPr>
            </w:pPr>
          </w:p>
        </w:tc>
        <w:tc>
          <w:tcPr>
            <w:tcW w:w="40" w:type="dxa"/>
            <w:vAlign w:val="bottom"/>
            <w:tcBorders>
              <w:top w:val="single" w:sz="8" w:color="CFF0FC"/>
              <w:bottom w:val="single" w:sz="8" w:color="CFF0FC"/>
            </w:tcBorders>
            <w:shd w:val="clear" w:color="auto" w:fill="CFF0FC"/>
          </w:tcPr>
          <w:p>
            <w:pPr>
              <w:spacing w:after="0"/>
              <w:rPr>
                <w:sz w:val="17"/>
                <w:szCs w:val="17"/>
                <w:color w:val="auto"/>
              </w:rPr>
            </w:pPr>
          </w:p>
        </w:tc>
        <w:tc>
          <w:tcPr>
            <w:tcW w:w="220" w:type="dxa"/>
            <w:vAlign w:val="bottom"/>
            <w:tcBorders>
              <w:top w:val="single" w:sz="8" w:color="auto"/>
              <w:bottom w:val="single" w:sz="8" w:color="auto"/>
            </w:tcBorders>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127</w:t>
            </w:r>
          </w:p>
        </w:tc>
        <w:tc>
          <w:tcPr>
            <w:tcW w:w="280" w:type="dxa"/>
            <w:vAlign w:val="bottom"/>
            <w:tcBorders>
              <w:top w:val="single" w:sz="8" w:color="CFF0FC"/>
              <w:bottom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auto"/>
            </w:tcBorders>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vMerge w:val="restart"/>
          </w:tcPr>
          <w:p>
            <w:pPr>
              <w:spacing w:after="0"/>
              <w:rPr>
                <w:sz w:val="15"/>
                <w:szCs w:val="15"/>
                <w:color w:val="auto"/>
              </w:rPr>
            </w:pPr>
          </w:p>
        </w:tc>
        <w:tc>
          <w:tcPr>
            <w:tcW w:w="5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51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Operational EBITDA</w:t>
            </w:r>
          </w:p>
        </w:tc>
        <w:tc>
          <w:tcPr>
            <w:tcW w:w="700" w:type="dxa"/>
            <w:vAlign w:val="bottom"/>
            <w:tcBorders>
              <w:bottom w:val="single" w:sz="8" w:color="auto"/>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31</w:t>
            </w:r>
          </w:p>
        </w:tc>
        <w:tc>
          <w:tcPr>
            <w:tcW w:w="280" w:type="dxa"/>
            <w:vAlign w:val="bottom"/>
            <w:tcBorders>
              <w:bottom w:val="single" w:sz="8" w:color="CFF0FC"/>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w:t>
            </w:r>
          </w:p>
        </w:tc>
        <w:tc>
          <w:tcPr>
            <w:tcW w:w="26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w:t>
            </w:r>
          </w:p>
        </w:tc>
        <w:tc>
          <w:tcPr>
            <w:tcW w:w="200" w:type="dxa"/>
            <w:vAlign w:val="bottom"/>
            <w:tcBorders>
              <w:bottom w:val="single" w:sz="8" w:color="CFF0FC"/>
            </w:tcBorders>
            <w:shd w:val="clear" w:color="auto" w:fill="CFF0FC"/>
          </w:tcPr>
          <w:p>
            <w:pPr>
              <w:spacing w:after="0"/>
              <w:rPr>
                <w:sz w:val="17"/>
                <w:szCs w:val="17"/>
                <w:color w:val="auto"/>
              </w:rPr>
            </w:pPr>
          </w:p>
        </w:tc>
        <w:tc>
          <w:tcPr>
            <w:tcW w:w="4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w:t>
            </w:r>
          </w:p>
        </w:tc>
        <w:tc>
          <w:tcPr>
            <w:tcW w:w="2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80" w:type="dxa"/>
            <w:vAlign w:val="bottom"/>
            <w:gridSpan w:val="2"/>
            <w:vMerge w:val="restart"/>
          </w:tcPr>
          <w:p>
            <w:pPr>
              <w:spacing w:after="0"/>
              <w:rPr>
                <w:sz w:val="20"/>
                <w:szCs w:val="20"/>
                <w:color w:val="auto"/>
              </w:rPr>
            </w:pPr>
            <w:r>
              <w:rPr>
                <w:rFonts w:ascii="Arial" w:cs="Arial" w:eastAsia="Arial" w:hAnsi="Arial"/>
                <w:sz w:val="16"/>
                <w:szCs w:val="16"/>
                <w:color w:val="auto"/>
              </w:rPr>
              <w:t>Operational EBITDA as a % of revenues</w:t>
            </w: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180" w:type="dxa"/>
            <w:vAlign w:val="bottom"/>
            <w:gridSpan w:val="2"/>
            <w:vMerge w:val="continue"/>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gridSpan w:val="2"/>
          </w:tcPr>
          <w:p>
            <w:pPr>
              <w:jc w:val="right"/>
              <w:ind w:right="140"/>
              <w:spacing w:after="0" w:line="182" w:lineRule="exact"/>
              <w:rPr>
                <w:sz w:val="20"/>
                <w:szCs w:val="20"/>
                <w:color w:val="auto"/>
              </w:rPr>
            </w:pPr>
            <w:r>
              <w:rPr>
                <w:rFonts w:ascii="Arial" w:cs="Arial" w:eastAsia="Arial" w:hAnsi="Arial"/>
                <w:sz w:val="16"/>
                <w:szCs w:val="16"/>
                <w:color w:val="auto"/>
              </w:rPr>
              <w:t>21%</w:t>
            </w:r>
          </w:p>
        </w:tc>
        <w:tc>
          <w:tcPr>
            <w:tcW w:w="700" w:type="dxa"/>
            <w:vAlign w:val="bottom"/>
          </w:tcPr>
          <w:p>
            <w:pPr>
              <w:spacing w:after="0"/>
              <w:rPr>
                <w:sz w:val="15"/>
                <w:szCs w:val="15"/>
                <w:color w:val="auto"/>
              </w:rPr>
            </w:pPr>
          </w:p>
        </w:tc>
        <w:tc>
          <w:tcPr>
            <w:tcW w:w="580" w:type="dxa"/>
            <w:vAlign w:val="bottom"/>
            <w:gridSpan w:val="2"/>
          </w:tcPr>
          <w:p>
            <w:pPr>
              <w:jc w:val="right"/>
              <w:ind w:right="76"/>
              <w:spacing w:after="0" w:line="182" w:lineRule="exact"/>
              <w:rPr>
                <w:sz w:val="20"/>
                <w:szCs w:val="20"/>
                <w:color w:val="auto"/>
              </w:rPr>
            </w:pPr>
            <w:r>
              <w:rPr>
                <w:rFonts w:ascii="Arial" w:cs="Arial" w:eastAsia="Arial" w:hAnsi="Arial"/>
                <w:sz w:val="16"/>
                <w:szCs w:val="16"/>
                <w:color w:val="auto"/>
              </w:rPr>
              <w:t>18%</w:t>
            </w: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gridSpan w:val="2"/>
          </w:tcPr>
          <w:p>
            <w:pPr>
              <w:jc w:val="right"/>
              <w:ind w:right="140"/>
              <w:spacing w:after="0" w:line="182" w:lineRule="exact"/>
              <w:rPr>
                <w:sz w:val="20"/>
                <w:szCs w:val="20"/>
                <w:color w:val="auto"/>
              </w:rPr>
            </w:pPr>
            <w:r>
              <w:rPr>
                <w:rFonts w:ascii="Arial" w:cs="Arial" w:eastAsia="Arial" w:hAnsi="Arial"/>
                <w:sz w:val="16"/>
                <w:szCs w:val="16"/>
                <w:color w:val="auto"/>
              </w:rPr>
              <w:t>19%</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3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Revenues</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Current Year</w:t>
      </w:r>
    </w:p>
    <w:p>
      <w:pPr>
        <w:spacing w:after="0" w:line="110"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color w:val="auto"/>
        </w:rPr>
        <w:t>The increase in Flexographic Packaging revenues of approximately $13 million primarily reflected volume improvements in FLEXCEL NX consumables ($14 million) due to a larger installed base of FLEXCEL NX systems, favorable equipment product mix ($2 million) and the favorable impact of currency ($1 million) partially offset by fewer FLEXCEL NX equipment placements ($2 million) and declining revenues from Other Packaging products ($2 million).</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Prior Year</w:t>
      </w:r>
    </w:p>
    <w:p>
      <w:pPr>
        <w:spacing w:after="0" w:line="110" w:lineRule="exact"/>
        <w:rPr>
          <w:sz w:val="20"/>
          <w:szCs w:val="20"/>
          <w:color w:val="auto"/>
        </w:rPr>
      </w:pPr>
    </w:p>
    <w:p>
      <w:pPr>
        <w:ind w:right="160"/>
        <w:spacing w:after="0" w:line="292" w:lineRule="auto"/>
        <w:rPr>
          <w:sz w:val="20"/>
          <w:szCs w:val="20"/>
          <w:color w:val="auto"/>
        </w:rPr>
      </w:pPr>
      <w:r>
        <w:rPr>
          <w:rFonts w:ascii="Arial" w:cs="Arial" w:eastAsia="Arial" w:hAnsi="Arial"/>
          <w:sz w:val="15"/>
          <w:szCs w:val="15"/>
          <w:color w:val="auto"/>
        </w:rPr>
        <w:t>The increase in Flexographic Packaging revenues of approximately $5 million primarily reflected volume improvements in FLEXCEL NX consumables ($12 million) due to a larger installed base of FLEXCEL NX systems and higher FLEXCEL NX unit placements ($2 million). Partially offsetting these improvements were declining revenues for Other Packaging products ($3 million), unfavorable Packaging equipment product mix ($1 million) and unfavorable foreign currency rates ($4 million).</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Operational EBITDA</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Current Year</w:t>
      </w:r>
    </w:p>
    <w:p>
      <w:pPr>
        <w:spacing w:after="0" w:line="110" w:lineRule="exact"/>
        <w:rPr>
          <w:sz w:val="20"/>
          <w:szCs w:val="20"/>
          <w:color w:val="auto"/>
        </w:rPr>
      </w:pPr>
    </w:p>
    <w:p>
      <w:pPr>
        <w:ind w:right="160"/>
        <w:spacing w:after="0" w:line="266" w:lineRule="auto"/>
        <w:rPr>
          <w:sz w:val="20"/>
          <w:szCs w:val="20"/>
          <w:color w:val="auto"/>
        </w:rPr>
      </w:pPr>
      <w:r>
        <w:rPr>
          <w:rFonts w:ascii="Arial" w:cs="Arial" w:eastAsia="Arial" w:hAnsi="Arial"/>
          <w:sz w:val="16"/>
          <w:szCs w:val="16"/>
          <w:color w:val="auto"/>
        </w:rPr>
        <w:t>Flexographic Packaging Operational EBITDA increased by approximately $7 million. Volume improvements in FLEXCEL NX consumables ($9 million) and the favorable impact of currency ($2 million) and product cost improvements ($1 million) were partially offset by volume and pricing declines in Other Packaging products ($2 million) and increased investment in sales and marketing activities ($3 million).</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62865</wp:posOffset>
            </wp:positionV>
            <wp:extent cx="7301865" cy="406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301865" cy="40640"/>
                    </a:xfrm>
                    <a:prstGeom prst="rect">
                      <a:avLst/>
                    </a:prstGeom>
                    <a:noFill/>
                  </pic:spPr>
                </pic:pic>
              </a:graphicData>
            </a:graphic>
          </wp:anchor>
        </w:drawing>
      </w:r>
    </w:p>
    <w:p>
      <w:pPr>
        <w:sectPr>
          <w:pgSz w:w="11900" w:h="16838" w:orient="portrait"/>
          <w:cols w:equalWidth="0" w:num="1">
            <w:col w:w="11440"/>
          </w:cols>
          <w:pgMar w:left="240" w:top="316" w:right="219" w:bottom="1440" w:gutter="0" w:footer="0" w:header="0"/>
        </w:sectPr>
      </w:pPr>
    </w:p>
    <w:bookmarkStart w:id="43" w:name="page44"/>
    <w:bookmarkEnd w:id="43"/>
    <w:p>
      <w:pPr>
        <w:spacing w:after="0"/>
        <w:rPr>
          <w:sz w:val="20"/>
          <w:szCs w:val="20"/>
          <w:color w:val="auto"/>
        </w:rPr>
      </w:pPr>
      <w:r>
        <w:rPr>
          <w:rFonts w:ascii="Arial" w:cs="Arial" w:eastAsia="Arial" w:hAnsi="Arial"/>
          <w:sz w:val="16"/>
          <w:szCs w:val="16"/>
          <w:b w:val="1"/>
          <w:bCs w:val="1"/>
          <w:color w:val="auto"/>
        </w:rPr>
        <w:t>Prior Year</w:t>
      </w:r>
    </w:p>
    <w:p>
      <w:pPr>
        <w:spacing w:after="0" w:line="110" w:lineRule="exact"/>
        <w:rPr>
          <w:sz w:val="20"/>
          <w:szCs w:val="20"/>
          <w:color w:val="auto"/>
        </w:rPr>
      </w:pPr>
    </w:p>
    <w:p>
      <w:pPr>
        <w:ind w:right="60"/>
        <w:spacing w:after="0" w:line="280" w:lineRule="auto"/>
        <w:rPr>
          <w:sz w:val="20"/>
          <w:szCs w:val="20"/>
          <w:color w:val="auto"/>
        </w:rPr>
      </w:pPr>
      <w:r>
        <w:rPr>
          <w:rFonts w:ascii="Arial" w:cs="Arial" w:eastAsia="Arial" w:hAnsi="Arial"/>
          <w:sz w:val="16"/>
          <w:szCs w:val="16"/>
          <w:color w:val="auto"/>
        </w:rPr>
        <w:t>Flexographic Packaging Operational EBITDA was unchanged in 2016 as improved gross profit driven by higher volume of FLEXCEL NX consumables ($7 million), was offset by unfavorable currency rates ($7 million).</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SOFTWARE AND SOLUTIONS SEGMENT</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5160" w:type="dxa"/>
            <w:vAlign w:val="bottom"/>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3"/>
                <w:szCs w:val="13"/>
                <w:b w:val="1"/>
                <w:bCs w:val="1"/>
                <w:color w:val="auto"/>
                <w:w w:val="90"/>
              </w:rPr>
              <w:t>Year Ended December 31,</w:t>
            </w: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5160" w:type="dxa"/>
            <w:vAlign w:val="bottom"/>
            <w:tcBorders>
              <w:bottom w:val="single" w:sz="8" w:color="CFF0FC"/>
            </w:tcBorders>
          </w:tcPr>
          <w:p>
            <w:pPr>
              <w:spacing w:after="0"/>
              <w:rPr>
                <w:sz w:val="11"/>
                <w:szCs w:val="11"/>
                <w:color w:val="auto"/>
              </w:rPr>
            </w:pPr>
          </w:p>
        </w:tc>
        <w:tc>
          <w:tcPr>
            <w:tcW w:w="740" w:type="dxa"/>
            <w:vAlign w:val="bottom"/>
            <w:tcBorders>
              <w:bottom w:val="single" w:sz="8" w:color="auto"/>
            </w:tcBorders>
          </w:tcPr>
          <w:p>
            <w:pPr>
              <w:jc w:val="right"/>
              <w:ind w:right="30"/>
              <w:spacing w:after="0" w:line="138" w:lineRule="exact"/>
              <w:rPr>
                <w:sz w:val="20"/>
                <w:szCs w:val="20"/>
                <w:color w:val="auto"/>
              </w:rPr>
            </w:pPr>
            <w:r>
              <w:rPr>
                <w:rFonts w:ascii="Arial" w:cs="Arial" w:eastAsia="Arial" w:hAnsi="Arial"/>
                <w:sz w:val="13"/>
                <w:szCs w:val="13"/>
                <w:b w:val="1"/>
                <w:bCs w:val="1"/>
                <w:color w:val="auto"/>
              </w:rPr>
              <w:t>2017</w:t>
            </w:r>
          </w:p>
        </w:tc>
        <w:tc>
          <w:tcPr>
            <w:tcW w:w="280" w:type="dxa"/>
            <w:vAlign w:val="bottom"/>
            <w:tcBorders>
              <w:bottom w:val="single" w:sz="8" w:color="auto"/>
            </w:tcBorders>
          </w:tcPr>
          <w:p>
            <w:pPr>
              <w:spacing w:after="0"/>
              <w:rPr>
                <w:sz w:val="11"/>
                <w:szCs w:val="11"/>
                <w:color w:val="auto"/>
              </w:rPr>
            </w:pPr>
          </w:p>
        </w:tc>
        <w:tc>
          <w:tcPr>
            <w:tcW w:w="280" w:type="dxa"/>
            <w:vAlign w:val="bottom"/>
            <w:tcBorders>
              <w:bottom w:val="single" w:sz="8" w:color="CFF0FC"/>
            </w:tcBorders>
          </w:tcPr>
          <w:p>
            <w:pPr>
              <w:spacing w:after="0"/>
              <w:rPr>
                <w:sz w:val="11"/>
                <w:szCs w:val="11"/>
                <w:color w:val="auto"/>
              </w:rPr>
            </w:pPr>
          </w:p>
        </w:tc>
        <w:tc>
          <w:tcPr>
            <w:tcW w:w="740" w:type="dxa"/>
            <w:vAlign w:val="bottom"/>
            <w:tcBorders>
              <w:bottom w:val="single" w:sz="8" w:color="auto"/>
            </w:tcBorders>
          </w:tcPr>
          <w:p>
            <w:pPr>
              <w:jc w:val="right"/>
              <w:ind w:right="50"/>
              <w:spacing w:after="0" w:line="138" w:lineRule="exact"/>
              <w:rPr>
                <w:sz w:val="20"/>
                <w:szCs w:val="20"/>
                <w:color w:val="auto"/>
              </w:rPr>
            </w:pPr>
            <w:r>
              <w:rPr>
                <w:rFonts w:ascii="Arial" w:cs="Arial" w:eastAsia="Arial" w:hAnsi="Arial"/>
                <w:sz w:val="13"/>
                <w:szCs w:val="13"/>
                <w:b w:val="1"/>
                <w:bCs w:val="1"/>
                <w:color w:val="auto"/>
              </w:rPr>
              <w:t>2016</w:t>
            </w:r>
          </w:p>
        </w:tc>
        <w:tc>
          <w:tcPr>
            <w:tcW w:w="280" w:type="dxa"/>
            <w:vAlign w:val="bottom"/>
            <w:tcBorders>
              <w:bottom w:val="single" w:sz="8" w:color="auto"/>
            </w:tcBorders>
          </w:tcPr>
          <w:p>
            <w:pPr>
              <w:spacing w:after="0"/>
              <w:rPr>
                <w:sz w:val="11"/>
                <w:szCs w:val="11"/>
                <w:color w:val="auto"/>
              </w:rPr>
            </w:pPr>
          </w:p>
        </w:tc>
        <w:tc>
          <w:tcPr>
            <w:tcW w:w="260" w:type="dxa"/>
            <w:vAlign w:val="bottom"/>
            <w:tcBorders>
              <w:bottom w:val="single" w:sz="8" w:color="CFF0FC"/>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185"/>
              <w:spacing w:after="0" w:line="138" w:lineRule="exact"/>
              <w:rPr>
                <w:sz w:val="20"/>
                <w:szCs w:val="20"/>
                <w:color w:val="auto"/>
              </w:rPr>
            </w:pPr>
            <w:r>
              <w:rPr>
                <w:rFonts w:ascii="Arial" w:cs="Arial" w:eastAsia="Arial" w:hAnsi="Arial"/>
                <w:sz w:val="13"/>
                <w:szCs w:val="13"/>
                <w:b w:val="1"/>
                <w:bCs w:val="1"/>
                <w:color w:val="auto"/>
                <w:w w:val="95"/>
              </w:rPr>
              <w:t>$ Change</w:t>
            </w:r>
          </w:p>
        </w:tc>
        <w:tc>
          <w:tcPr>
            <w:tcW w:w="240" w:type="dxa"/>
            <w:vAlign w:val="bottom"/>
            <w:tcBorders>
              <w:bottom w:val="single" w:sz="8" w:color="CFF0FC"/>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303"/>
              <w:spacing w:after="0" w:line="138" w:lineRule="exact"/>
              <w:rPr>
                <w:sz w:val="20"/>
                <w:szCs w:val="20"/>
                <w:color w:val="auto"/>
              </w:rPr>
            </w:pPr>
            <w:r>
              <w:rPr>
                <w:rFonts w:ascii="Arial" w:cs="Arial" w:eastAsia="Arial" w:hAnsi="Arial"/>
                <w:sz w:val="13"/>
                <w:szCs w:val="13"/>
                <w:b w:val="1"/>
                <w:bCs w:val="1"/>
                <w:color w:val="auto"/>
              </w:rPr>
              <w:t>2015</w:t>
            </w:r>
          </w:p>
        </w:tc>
        <w:tc>
          <w:tcPr>
            <w:tcW w:w="280" w:type="dxa"/>
            <w:vAlign w:val="bottom"/>
            <w:tcBorders>
              <w:bottom w:val="single" w:sz="8" w:color="CFF0FC"/>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185"/>
              <w:spacing w:after="0" w:line="138" w:lineRule="exact"/>
              <w:rPr>
                <w:sz w:val="20"/>
                <w:szCs w:val="20"/>
                <w:color w:val="auto"/>
              </w:rPr>
            </w:pPr>
            <w:r>
              <w:rPr>
                <w:rFonts w:ascii="Arial" w:cs="Arial" w:eastAsia="Arial" w:hAnsi="Arial"/>
                <w:sz w:val="13"/>
                <w:szCs w:val="13"/>
                <w:b w:val="1"/>
                <w:bCs w:val="1"/>
                <w:color w:val="auto"/>
                <w:w w:val="99"/>
              </w:rPr>
              <w:t>$ Change</w:t>
            </w:r>
          </w:p>
        </w:tc>
        <w:tc>
          <w:tcPr>
            <w:tcW w:w="120" w:type="dxa"/>
            <w:vAlign w:val="bottom"/>
            <w:tcBorders>
              <w:bottom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160" w:type="dxa"/>
            <w:vAlign w:val="bottom"/>
            <w:shd w:val="clear" w:color="auto" w:fill="CFF0FC"/>
          </w:tcPr>
          <w:p>
            <w:pPr>
              <w:spacing w:after="0"/>
              <w:rPr>
                <w:sz w:val="20"/>
                <w:szCs w:val="20"/>
                <w:color w:val="auto"/>
              </w:rPr>
            </w:pPr>
            <w:r>
              <w:rPr>
                <w:rFonts w:ascii="Arial" w:cs="Arial" w:eastAsia="Arial" w:hAnsi="Arial"/>
                <w:sz w:val="16"/>
                <w:szCs w:val="16"/>
                <w:color w:val="auto"/>
              </w:rPr>
              <w:t>Revenues</w:t>
            </w:r>
          </w:p>
        </w:tc>
        <w:tc>
          <w:tcPr>
            <w:tcW w:w="740" w:type="dxa"/>
            <w:vAlign w:val="bottom"/>
            <w:shd w:val="clear" w:color="auto" w:fill="CFF0FC"/>
          </w:tcPr>
          <w:p>
            <w:pPr>
              <w:jc w:val="right"/>
              <w:ind w:right="590"/>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w:t>
            </w:r>
          </w:p>
        </w:tc>
        <w:tc>
          <w:tcPr>
            <w:tcW w:w="280" w:type="dxa"/>
            <w:vAlign w:val="bottom"/>
            <w:shd w:val="clear" w:color="auto" w:fill="CFF0FC"/>
          </w:tcPr>
          <w:p>
            <w:pPr>
              <w:spacing w:after="0"/>
              <w:rPr>
                <w:sz w:val="17"/>
                <w:szCs w:val="17"/>
                <w:color w:val="auto"/>
              </w:rPr>
            </w:pPr>
          </w:p>
        </w:tc>
        <w:tc>
          <w:tcPr>
            <w:tcW w:w="740" w:type="dxa"/>
            <w:vAlign w:val="bottom"/>
            <w:shd w:val="clear" w:color="auto" w:fill="CFF0FC"/>
          </w:tcPr>
          <w:p>
            <w:pPr>
              <w:jc w:val="right"/>
              <w:ind w:right="590"/>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w:t>
            </w: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08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(5)</w:t>
            </w: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120</w:t>
            </w: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vMerge w:val="restart"/>
          </w:tcPr>
          <w:p>
            <w:pPr>
              <w:spacing w:after="0"/>
              <w:rPr>
                <w:sz w:val="15"/>
                <w:szCs w:val="15"/>
                <w:color w:val="auto"/>
              </w:rPr>
            </w:pPr>
          </w:p>
        </w:tc>
        <w:tc>
          <w:tcPr>
            <w:tcW w:w="5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5160" w:type="dxa"/>
            <w:vAlign w:val="bottom"/>
            <w:shd w:val="clear" w:color="auto" w:fill="CFF0FC"/>
          </w:tcPr>
          <w:p>
            <w:pPr>
              <w:spacing w:after="0"/>
              <w:rPr>
                <w:sz w:val="20"/>
                <w:szCs w:val="20"/>
                <w:color w:val="auto"/>
              </w:rPr>
            </w:pPr>
            <w:r>
              <w:rPr>
                <w:rFonts w:ascii="Arial" w:cs="Arial" w:eastAsia="Arial" w:hAnsi="Arial"/>
                <w:sz w:val="16"/>
                <w:szCs w:val="16"/>
                <w:color w:val="auto"/>
              </w:rPr>
              <w:t>Operational EBITDA</w:t>
            </w:r>
          </w:p>
        </w:tc>
        <w:tc>
          <w:tcPr>
            <w:tcW w:w="740" w:type="dxa"/>
            <w:vAlign w:val="bottom"/>
            <w:shd w:val="clear" w:color="auto" w:fill="CFF0FC"/>
          </w:tcPr>
          <w:p>
            <w:pPr>
              <w:spacing w:after="0"/>
              <w:rPr>
                <w:sz w:val="17"/>
                <w:szCs w:val="17"/>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2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right w:val="single" w:sz="8" w:color="CFF0FC"/>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w:t>
            </w: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180" w:type="dxa"/>
            <w:vAlign w:val="bottom"/>
            <w:gridSpan w:val="2"/>
            <w:vMerge w:val="restart"/>
          </w:tcPr>
          <w:p>
            <w:pPr>
              <w:spacing w:after="0"/>
              <w:rPr>
                <w:sz w:val="20"/>
                <w:szCs w:val="20"/>
                <w:color w:val="auto"/>
              </w:rPr>
            </w:pPr>
            <w:r>
              <w:rPr>
                <w:rFonts w:ascii="Arial" w:cs="Arial" w:eastAsia="Arial" w:hAnsi="Arial"/>
                <w:sz w:val="16"/>
                <w:szCs w:val="16"/>
                <w:color w:val="auto"/>
              </w:rPr>
              <w:t>Operational EBITDA as a % of revenues</w:t>
            </w: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180" w:type="dxa"/>
            <w:vAlign w:val="bottom"/>
            <w:gridSpan w:val="2"/>
            <w:vMerge w:val="continue"/>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gridSpan w:val="2"/>
          </w:tcPr>
          <w:p>
            <w:pPr>
              <w:jc w:val="right"/>
              <w:ind w:right="140"/>
              <w:spacing w:after="0" w:line="182" w:lineRule="exact"/>
              <w:rPr>
                <w:sz w:val="20"/>
                <w:szCs w:val="20"/>
                <w:color w:val="auto"/>
              </w:rPr>
            </w:pPr>
            <w:r>
              <w:rPr>
                <w:rFonts w:ascii="Arial" w:cs="Arial" w:eastAsia="Arial" w:hAnsi="Arial"/>
                <w:sz w:val="16"/>
                <w:szCs w:val="16"/>
                <w:color w:val="auto"/>
              </w:rPr>
              <w:t>1%</w:t>
            </w:r>
          </w:p>
        </w:tc>
        <w:tc>
          <w:tcPr>
            <w:tcW w:w="740" w:type="dxa"/>
            <w:vAlign w:val="bottom"/>
          </w:tcPr>
          <w:p>
            <w:pPr>
              <w:spacing w:after="0"/>
              <w:rPr>
                <w:sz w:val="15"/>
                <w:szCs w:val="15"/>
                <w:color w:val="auto"/>
              </w:rPr>
            </w:pPr>
          </w:p>
        </w:tc>
        <w:tc>
          <w:tcPr>
            <w:tcW w:w="540" w:type="dxa"/>
            <w:vAlign w:val="bottom"/>
            <w:gridSpan w:val="2"/>
          </w:tcPr>
          <w:p>
            <w:pPr>
              <w:jc w:val="right"/>
              <w:ind w:right="76"/>
              <w:spacing w:after="0" w:line="182" w:lineRule="exact"/>
              <w:rPr>
                <w:sz w:val="20"/>
                <w:szCs w:val="20"/>
                <w:color w:val="auto"/>
              </w:rPr>
            </w:pPr>
            <w:r>
              <w:rPr>
                <w:rFonts w:ascii="Arial" w:cs="Arial" w:eastAsia="Arial" w:hAnsi="Arial"/>
                <w:sz w:val="16"/>
                <w:szCs w:val="16"/>
                <w:color w:val="auto"/>
              </w:rPr>
              <w:t>1%</w:t>
            </w: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gridSpan w:val="2"/>
          </w:tcPr>
          <w:p>
            <w:pPr>
              <w:jc w:val="right"/>
              <w:ind w:right="140"/>
              <w:spacing w:after="0" w:line="182" w:lineRule="exact"/>
              <w:rPr>
                <w:sz w:val="20"/>
                <w:szCs w:val="20"/>
                <w:color w:val="auto"/>
              </w:rPr>
            </w:pPr>
            <w:r>
              <w:rPr>
                <w:rFonts w:ascii="Arial" w:cs="Arial" w:eastAsia="Arial" w:hAnsi="Arial"/>
                <w:sz w:val="16"/>
                <w:szCs w:val="16"/>
                <w:color w:val="auto"/>
              </w:rPr>
              <w:t>8%</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3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Revenues</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Current Year</w:t>
      </w:r>
    </w:p>
    <w:p>
      <w:pPr>
        <w:spacing w:after="0" w:line="110" w:lineRule="exact"/>
        <w:rPr>
          <w:sz w:val="20"/>
          <w:szCs w:val="20"/>
          <w:color w:val="auto"/>
        </w:rPr>
      </w:pPr>
    </w:p>
    <w:p>
      <w:pPr>
        <w:ind w:right="220"/>
        <w:spacing w:after="0" w:line="315" w:lineRule="auto"/>
        <w:rPr>
          <w:sz w:val="20"/>
          <w:szCs w:val="20"/>
          <w:color w:val="auto"/>
        </w:rPr>
      </w:pPr>
      <w:r>
        <w:rPr>
          <w:rFonts w:ascii="Arial" w:cs="Arial" w:eastAsia="Arial" w:hAnsi="Arial"/>
          <w:sz w:val="15"/>
          <w:szCs w:val="15"/>
          <w:color w:val="auto"/>
        </w:rPr>
        <w:t>The decrease in Software and Solutions revenues of approximately $5 million primarily reflected volume declines in Kodak Technology Solutions due to the divestiture of the Design2Launch and brand protection businesses in the second quarter of 2016 ($2 million), and lower volume in digital front-end controllers ($2 million).</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Prior Year</w:t>
      </w:r>
    </w:p>
    <w:p>
      <w:pPr>
        <w:spacing w:after="0" w:line="26" w:lineRule="exact"/>
        <w:rPr>
          <w:sz w:val="20"/>
          <w:szCs w:val="20"/>
          <w:color w:val="auto"/>
        </w:rPr>
      </w:pPr>
    </w:p>
    <w:p>
      <w:pPr>
        <w:ind w:right="60"/>
        <w:spacing w:after="0" w:line="258" w:lineRule="auto"/>
        <w:rPr>
          <w:sz w:val="20"/>
          <w:szCs w:val="20"/>
          <w:color w:val="auto"/>
        </w:rPr>
      </w:pPr>
      <w:r>
        <w:rPr>
          <w:rFonts w:ascii="Arial" w:cs="Arial" w:eastAsia="Arial" w:hAnsi="Arial"/>
          <w:sz w:val="16"/>
          <w:szCs w:val="16"/>
          <w:color w:val="auto"/>
        </w:rPr>
        <w:t>The decrease in Software and Solutions revenues of approximately $30 million primarily reflected volume declines in Kodak Technology Solutions due to lower revenues from government contracts ($17 million), the divestiture of the Design2Launch and brand protection businesses in the second quarter of the current year ($5 million), lower volume in Unified Workflow Solutions ($3 million) and unfavorable currency rates ($2 million).</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Operational EBITDA</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Current Year</w:t>
      </w:r>
    </w:p>
    <w:p>
      <w:pPr>
        <w:spacing w:after="0" w:line="110" w:lineRule="exact"/>
        <w:rPr>
          <w:sz w:val="20"/>
          <w:szCs w:val="20"/>
          <w:color w:val="auto"/>
        </w:rPr>
      </w:pPr>
    </w:p>
    <w:p>
      <w:pPr>
        <w:ind w:right="100"/>
        <w:spacing w:after="0" w:line="280" w:lineRule="auto"/>
        <w:rPr>
          <w:sz w:val="20"/>
          <w:szCs w:val="20"/>
          <w:color w:val="auto"/>
        </w:rPr>
      </w:pPr>
      <w:r>
        <w:rPr>
          <w:rFonts w:ascii="Arial" w:cs="Arial" w:eastAsia="Arial" w:hAnsi="Arial"/>
          <w:sz w:val="16"/>
          <w:szCs w:val="16"/>
          <w:color w:val="auto"/>
        </w:rPr>
        <w:t>Software and Solutions Operational EBITDA was unchanged from the prior year as a lower level of R&amp;D expenses ($4 million) was primarily offset by lower volume in digital front-end controllers, higher manufacturing costs and increased sales and marketing initiatives (each $1 million).</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Prior Year</w:t>
      </w:r>
    </w:p>
    <w:p>
      <w:pPr>
        <w:spacing w:after="0" w:line="110" w:lineRule="exact"/>
        <w:rPr>
          <w:sz w:val="20"/>
          <w:szCs w:val="20"/>
          <w:color w:val="auto"/>
        </w:rPr>
      </w:pPr>
    </w:p>
    <w:p>
      <w:pPr>
        <w:ind w:right="160"/>
        <w:spacing w:after="0" w:line="266" w:lineRule="auto"/>
        <w:rPr>
          <w:sz w:val="20"/>
          <w:szCs w:val="20"/>
          <w:color w:val="auto"/>
        </w:rPr>
      </w:pPr>
      <w:r>
        <w:rPr>
          <w:rFonts w:ascii="Arial" w:cs="Arial" w:eastAsia="Arial" w:hAnsi="Arial"/>
          <w:sz w:val="16"/>
          <w:szCs w:val="16"/>
          <w:color w:val="auto"/>
        </w:rPr>
        <w:t>The decrease in Software and Solutions Operational EBITDA of approximately $9 million primarily reflected the volume declines in Kodak Technology Solutions described above ($5 million) and lower volume in Unified Workflow Solutions ($1 million). Partially offsetting these declines were favorable impacts from divesting the Design2Launch and brand protection businesses in the second quarter of the current year ($3 million).</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CONSUMER AND FILM SEGMENT</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5160" w:type="dxa"/>
            <w:vAlign w:val="bottom"/>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3"/>
                <w:szCs w:val="13"/>
                <w:b w:val="1"/>
                <w:bCs w:val="1"/>
                <w:color w:val="auto"/>
                <w:w w:val="88"/>
              </w:rPr>
              <w:t>Year Ended December 31,</w:t>
            </w: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5160" w:type="dxa"/>
            <w:vAlign w:val="bottom"/>
          </w:tcPr>
          <w:p>
            <w:pPr>
              <w:spacing w:after="0"/>
              <w:rPr>
                <w:sz w:val="11"/>
                <w:szCs w:val="11"/>
                <w:color w:val="auto"/>
              </w:rPr>
            </w:pPr>
          </w:p>
        </w:tc>
        <w:tc>
          <w:tcPr>
            <w:tcW w:w="700" w:type="dxa"/>
            <w:vAlign w:val="bottom"/>
          </w:tcPr>
          <w:p>
            <w:pPr>
              <w:jc w:val="right"/>
              <w:spacing w:after="0" w:line="138" w:lineRule="exact"/>
              <w:rPr>
                <w:sz w:val="20"/>
                <w:szCs w:val="20"/>
                <w:color w:val="auto"/>
              </w:rPr>
            </w:pPr>
            <w:r>
              <w:rPr>
                <w:rFonts w:ascii="Arial" w:cs="Arial" w:eastAsia="Arial" w:hAnsi="Arial"/>
                <w:sz w:val="13"/>
                <w:szCs w:val="13"/>
                <w:b w:val="1"/>
                <w:bCs w:val="1"/>
                <w:color w:val="auto"/>
              </w:rPr>
              <w:t>2017</w:t>
            </w: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jc w:val="right"/>
              <w:ind w:right="10"/>
              <w:spacing w:after="0" w:line="138" w:lineRule="exact"/>
              <w:rPr>
                <w:sz w:val="20"/>
                <w:szCs w:val="20"/>
                <w:color w:val="auto"/>
              </w:rPr>
            </w:pPr>
            <w:r>
              <w:rPr>
                <w:rFonts w:ascii="Arial" w:cs="Arial" w:eastAsia="Arial" w:hAnsi="Arial"/>
                <w:sz w:val="13"/>
                <w:szCs w:val="13"/>
                <w:b w:val="1"/>
                <w:bCs w:val="1"/>
                <w:color w:val="auto"/>
              </w:rPr>
              <w:t>2016</w:t>
            </w: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gridSpan w:val="2"/>
          </w:tcPr>
          <w:p>
            <w:pPr>
              <w:jc w:val="center"/>
              <w:ind w:right="420"/>
              <w:spacing w:after="0" w:line="138" w:lineRule="exact"/>
              <w:rPr>
                <w:sz w:val="20"/>
                <w:szCs w:val="20"/>
                <w:color w:val="auto"/>
              </w:rPr>
            </w:pPr>
            <w:r>
              <w:rPr>
                <w:rFonts w:ascii="Arial" w:cs="Arial" w:eastAsia="Arial" w:hAnsi="Arial"/>
                <w:sz w:val="13"/>
                <w:szCs w:val="13"/>
                <w:b w:val="1"/>
                <w:bCs w:val="1"/>
                <w:color w:val="auto"/>
                <w:w w:val="85"/>
              </w:rPr>
              <w:t>$ Change</w:t>
            </w:r>
          </w:p>
        </w:tc>
        <w:tc>
          <w:tcPr>
            <w:tcW w:w="220" w:type="dxa"/>
            <w:vAlign w:val="bottom"/>
          </w:tcPr>
          <w:p>
            <w:pPr>
              <w:spacing w:after="0"/>
              <w:rPr>
                <w:sz w:val="11"/>
                <w:szCs w:val="11"/>
                <w:color w:val="auto"/>
              </w:rPr>
            </w:pPr>
          </w:p>
        </w:tc>
        <w:tc>
          <w:tcPr>
            <w:tcW w:w="780" w:type="dxa"/>
            <w:vAlign w:val="bottom"/>
          </w:tcPr>
          <w:p>
            <w:pPr>
              <w:jc w:val="right"/>
              <w:ind w:right="303"/>
              <w:spacing w:after="0" w:line="138" w:lineRule="exact"/>
              <w:rPr>
                <w:sz w:val="20"/>
                <w:szCs w:val="20"/>
                <w:color w:val="auto"/>
              </w:rPr>
            </w:pPr>
            <w:r>
              <w:rPr>
                <w:rFonts w:ascii="Arial" w:cs="Arial" w:eastAsia="Arial" w:hAnsi="Arial"/>
                <w:sz w:val="13"/>
                <w:szCs w:val="13"/>
                <w:b w:val="1"/>
                <w:bCs w:val="1"/>
                <w:color w:val="auto"/>
              </w:rPr>
              <w:t>2015</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38" w:lineRule="exact"/>
              <w:rPr>
                <w:sz w:val="20"/>
                <w:szCs w:val="20"/>
                <w:color w:val="auto"/>
              </w:rPr>
            </w:pPr>
            <w:r>
              <w:rPr>
                <w:rFonts w:ascii="Arial" w:cs="Arial" w:eastAsia="Arial" w:hAnsi="Arial"/>
                <w:sz w:val="13"/>
                <w:szCs w:val="13"/>
                <w:b w:val="1"/>
                <w:bCs w:val="1"/>
                <w:color w:val="auto"/>
              </w:rPr>
              <w:t>$ Change</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1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Revenues</w:t>
            </w:r>
          </w:p>
        </w:tc>
        <w:tc>
          <w:tcPr>
            <w:tcW w:w="700" w:type="dxa"/>
            <w:vAlign w:val="bottom"/>
            <w:tcBorders>
              <w:top w:val="single" w:sz="8" w:color="auto"/>
              <w:bottom w:val="single" w:sz="8" w:color="auto"/>
            </w:tcBorders>
            <w:shd w:val="clear" w:color="auto" w:fill="CFF0FC"/>
          </w:tcPr>
          <w:p>
            <w:pPr>
              <w:jc w:val="right"/>
              <w:ind w:right="546"/>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198</w:t>
            </w:r>
          </w:p>
        </w:tc>
        <w:tc>
          <w:tcPr>
            <w:tcW w:w="280" w:type="dxa"/>
            <w:vAlign w:val="bottom"/>
            <w:tcBorders>
              <w:top w:val="single" w:sz="8" w:color="CFF0FC"/>
              <w:bottom w:val="single" w:sz="8" w:color="CFF0FC"/>
            </w:tcBorders>
            <w:shd w:val="clear" w:color="auto" w:fill="CFF0FC"/>
          </w:tcPr>
          <w:p>
            <w:pPr>
              <w:spacing w:after="0"/>
              <w:rPr>
                <w:sz w:val="17"/>
                <w:szCs w:val="17"/>
                <w:color w:val="auto"/>
              </w:rPr>
            </w:pPr>
          </w:p>
        </w:tc>
        <w:tc>
          <w:tcPr>
            <w:tcW w:w="700" w:type="dxa"/>
            <w:vAlign w:val="bottom"/>
            <w:tcBorders>
              <w:top w:val="single" w:sz="8" w:color="auto"/>
              <w:bottom w:val="single" w:sz="8" w:color="auto"/>
            </w:tcBorders>
            <w:shd w:val="clear" w:color="auto" w:fill="CFF0FC"/>
          </w:tcPr>
          <w:p>
            <w:pPr>
              <w:jc w:val="right"/>
              <w:ind w:right="550"/>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221</w:t>
            </w:r>
          </w:p>
        </w:tc>
        <w:tc>
          <w:tcPr>
            <w:tcW w:w="260" w:type="dxa"/>
            <w:vAlign w:val="bottom"/>
            <w:tcBorders>
              <w:top w:val="single" w:sz="8" w:color="CFF0FC"/>
              <w:bottom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auto"/>
            </w:tcBorders>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ind w:left="620"/>
              <w:spacing w:after="0"/>
              <w:rPr>
                <w:sz w:val="20"/>
                <w:szCs w:val="20"/>
                <w:color w:val="auto"/>
              </w:rPr>
            </w:pPr>
            <w:r>
              <w:rPr>
                <w:rFonts w:ascii="Arial" w:cs="Arial" w:eastAsia="Arial" w:hAnsi="Arial"/>
                <w:sz w:val="16"/>
                <w:szCs w:val="16"/>
                <w:color w:val="auto"/>
                <w:w w:val="70"/>
              </w:rPr>
              <w:t>(23)</w:t>
            </w:r>
          </w:p>
        </w:tc>
        <w:tc>
          <w:tcPr>
            <w:tcW w:w="240" w:type="dxa"/>
            <w:vAlign w:val="bottom"/>
            <w:tcBorders>
              <w:top w:val="single" w:sz="8" w:color="CFF0FC"/>
              <w:bottom w:val="single" w:sz="8" w:color="CFF0FC"/>
            </w:tcBorders>
            <w:shd w:val="clear" w:color="auto" w:fill="CFF0FC"/>
          </w:tcPr>
          <w:p>
            <w:pPr>
              <w:spacing w:after="0"/>
              <w:rPr>
                <w:sz w:val="17"/>
                <w:szCs w:val="17"/>
                <w:color w:val="auto"/>
              </w:rPr>
            </w:pPr>
          </w:p>
        </w:tc>
        <w:tc>
          <w:tcPr>
            <w:tcW w:w="220" w:type="dxa"/>
            <w:vAlign w:val="bottom"/>
            <w:tcBorders>
              <w:top w:val="single" w:sz="8" w:color="auto"/>
              <w:bottom w:val="single" w:sz="8" w:color="auto"/>
            </w:tcBorders>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269</w:t>
            </w:r>
          </w:p>
        </w:tc>
        <w:tc>
          <w:tcPr>
            <w:tcW w:w="280" w:type="dxa"/>
            <w:vAlign w:val="bottom"/>
            <w:tcBorders>
              <w:top w:val="single" w:sz="8" w:color="CFF0FC"/>
              <w:bottom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auto"/>
            </w:tcBorders>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ind w:left="640"/>
              <w:spacing w:after="0"/>
              <w:rPr>
                <w:sz w:val="20"/>
                <w:szCs w:val="20"/>
                <w:color w:val="auto"/>
              </w:rPr>
            </w:pPr>
            <w:r>
              <w:rPr>
                <w:rFonts w:ascii="Arial" w:cs="Arial" w:eastAsia="Arial" w:hAnsi="Arial"/>
                <w:sz w:val="16"/>
                <w:szCs w:val="16"/>
                <w:color w:val="auto"/>
                <w:w w:val="70"/>
              </w:rPr>
              <w:t>(48)</w:t>
            </w: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vMerge w:val="restart"/>
          </w:tcPr>
          <w:p>
            <w:pPr>
              <w:spacing w:after="0"/>
              <w:rPr>
                <w:sz w:val="15"/>
                <w:szCs w:val="15"/>
                <w:color w:val="auto"/>
              </w:rPr>
            </w:pPr>
          </w:p>
        </w:tc>
        <w:tc>
          <w:tcPr>
            <w:tcW w:w="5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5160" w:type="dxa"/>
            <w:vAlign w:val="bottom"/>
            <w:shd w:val="clear" w:color="auto" w:fill="CFF0FC"/>
          </w:tcPr>
          <w:p>
            <w:pPr>
              <w:spacing w:after="0"/>
              <w:rPr>
                <w:sz w:val="20"/>
                <w:szCs w:val="20"/>
                <w:color w:val="auto"/>
              </w:rPr>
            </w:pPr>
            <w:r>
              <w:rPr>
                <w:rFonts w:ascii="Arial" w:cs="Arial" w:eastAsia="Arial" w:hAnsi="Arial"/>
                <w:sz w:val="16"/>
                <w:szCs w:val="16"/>
                <w:color w:val="auto"/>
              </w:rPr>
              <w:t>Operational EBITDA</w:t>
            </w:r>
          </w:p>
        </w:tc>
        <w:tc>
          <w:tcPr>
            <w:tcW w:w="700" w:type="dxa"/>
            <w:vAlign w:val="bottom"/>
            <w:shd w:val="clear" w:color="auto" w:fill="CFF0FC"/>
          </w:tcPr>
          <w:p>
            <w:pPr>
              <w:spacing w:after="0"/>
              <w:rPr>
                <w:sz w:val="17"/>
                <w:szCs w:val="17"/>
                <w:color w:val="auto"/>
              </w:rPr>
            </w:pPr>
          </w:p>
        </w:tc>
        <w:tc>
          <w:tcPr>
            <w:tcW w:w="6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(16)</w:t>
            </w:r>
          </w:p>
        </w:tc>
        <w:tc>
          <w:tcPr>
            <w:tcW w:w="700" w:type="dxa"/>
            <w:vAlign w:val="bottom"/>
            <w:shd w:val="clear" w:color="auto" w:fill="CFF0FC"/>
          </w:tcPr>
          <w:p>
            <w:pPr>
              <w:spacing w:after="0"/>
              <w:rPr>
                <w:sz w:val="17"/>
                <w:szCs w:val="17"/>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w:t>
            </w: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ind w:left="620"/>
              <w:spacing w:after="0"/>
              <w:rPr>
                <w:sz w:val="20"/>
                <w:szCs w:val="20"/>
                <w:color w:val="auto"/>
              </w:rPr>
            </w:pPr>
            <w:r>
              <w:rPr>
                <w:rFonts w:ascii="Arial" w:cs="Arial" w:eastAsia="Arial" w:hAnsi="Arial"/>
                <w:sz w:val="16"/>
                <w:szCs w:val="16"/>
                <w:color w:val="auto"/>
              </w:rPr>
              <w:t>(32)</w:t>
            </w: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w:t>
            </w: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80" w:type="dxa"/>
            <w:vAlign w:val="bottom"/>
            <w:gridSpan w:val="2"/>
            <w:shd w:val="clear" w:color="auto" w:fill="CFF0FC"/>
          </w:tcPr>
          <w:p>
            <w:pPr>
              <w:ind w:left="640"/>
              <w:spacing w:after="0"/>
              <w:rPr>
                <w:sz w:val="20"/>
                <w:szCs w:val="20"/>
                <w:color w:val="auto"/>
              </w:rPr>
            </w:pPr>
            <w:r>
              <w:rPr>
                <w:rFonts w:ascii="Arial" w:cs="Arial" w:eastAsia="Arial" w:hAnsi="Arial"/>
                <w:sz w:val="16"/>
                <w:szCs w:val="16"/>
                <w:color w:val="auto"/>
              </w:rPr>
              <w:t>(36)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180" w:type="dxa"/>
            <w:vAlign w:val="bottom"/>
            <w:gridSpan w:val="2"/>
            <w:vMerge w:val="restart"/>
          </w:tcPr>
          <w:p>
            <w:pPr>
              <w:spacing w:after="0"/>
              <w:rPr>
                <w:sz w:val="20"/>
                <w:szCs w:val="20"/>
                <w:color w:val="auto"/>
              </w:rPr>
            </w:pPr>
            <w:r>
              <w:rPr>
                <w:rFonts w:ascii="Arial" w:cs="Arial" w:eastAsia="Arial" w:hAnsi="Arial"/>
                <w:sz w:val="16"/>
                <w:szCs w:val="16"/>
                <w:color w:val="auto"/>
              </w:rPr>
              <w:t>Operational EBITDA as a % of revenues</w:t>
            </w: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180" w:type="dxa"/>
            <w:vAlign w:val="bottom"/>
            <w:gridSpan w:val="2"/>
            <w:vMerge w:val="continue"/>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gridSpan w:val="2"/>
          </w:tcPr>
          <w:p>
            <w:pPr>
              <w:jc w:val="right"/>
              <w:ind w:right="140"/>
              <w:spacing w:after="0" w:line="182" w:lineRule="exact"/>
              <w:rPr>
                <w:sz w:val="20"/>
                <w:szCs w:val="20"/>
                <w:color w:val="auto"/>
              </w:rPr>
            </w:pPr>
            <w:r>
              <w:rPr>
                <w:rFonts w:ascii="Arial" w:cs="Arial" w:eastAsia="Arial" w:hAnsi="Arial"/>
                <w:sz w:val="16"/>
                <w:szCs w:val="16"/>
                <w:color w:val="auto"/>
              </w:rPr>
              <w:t>-8%</w:t>
            </w:r>
          </w:p>
        </w:tc>
        <w:tc>
          <w:tcPr>
            <w:tcW w:w="700" w:type="dxa"/>
            <w:vAlign w:val="bottom"/>
          </w:tcPr>
          <w:p>
            <w:pPr>
              <w:spacing w:after="0"/>
              <w:rPr>
                <w:sz w:val="15"/>
                <w:szCs w:val="15"/>
                <w:color w:val="auto"/>
              </w:rPr>
            </w:pPr>
          </w:p>
        </w:tc>
        <w:tc>
          <w:tcPr>
            <w:tcW w:w="580" w:type="dxa"/>
            <w:vAlign w:val="bottom"/>
            <w:gridSpan w:val="2"/>
          </w:tcPr>
          <w:p>
            <w:pPr>
              <w:jc w:val="right"/>
              <w:ind w:right="76"/>
              <w:spacing w:after="0" w:line="182" w:lineRule="exact"/>
              <w:rPr>
                <w:sz w:val="20"/>
                <w:szCs w:val="20"/>
                <w:color w:val="auto"/>
              </w:rPr>
            </w:pPr>
            <w:r>
              <w:rPr>
                <w:rFonts w:ascii="Arial" w:cs="Arial" w:eastAsia="Arial" w:hAnsi="Arial"/>
                <w:sz w:val="16"/>
                <w:szCs w:val="16"/>
                <w:color w:val="auto"/>
              </w:rPr>
              <w:t>7%</w:t>
            </w: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gridSpan w:val="2"/>
          </w:tcPr>
          <w:p>
            <w:pPr>
              <w:jc w:val="right"/>
              <w:ind w:right="140"/>
              <w:spacing w:after="0" w:line="182" w:lineRule="exact"/>
              <w:rPr>
                <w:sz w:val="20"/>
                <w:szCs w:val="20"/>
                <w:color w:val="auto"/>
              </w:rPr>
            </w:pPr>
            <w:r>
              <w:rPr>
                <w:rFonts w:ascii="Arial" w:cs="Arial" w:eastAsia="Arial" w:hAnsi="Arial"/>
                <w:sz w:val="16"/>
                <w:szCs w:val="16"/>
                <w:color w:val="auto"/>
              </w:rPr>
              <w:t>19%</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04"/>
        </w:trPr>
        <w:tc>
          <w:tcPr>
            <w:tcW w:w="2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700" w:type="dxa"/>
            <w:vAlign w:val="bottom"/>
          </w:tcPr>
          <w:p>
            <w:pPr>
              <w:jc w:val="right"/>
              <w:ind w:right="6"/>
              <w:spacing w:after="0"/>
              <w:rPr>
                <w:sz w:val="20"/>
                <w:szCs w:val="20"/>
                <w:color w:val="auto"/>
              </w:rPr>
            </w:pPr>
            <w:r>
              <w:rPr>
                <w:rFonts w:ascii="Arial" w:cs="Arial" w:eastAsia="Arial" w:hAnsi="Arial"/>
                <w:sz w:val="16"/>
                <w:szCs w:val="16"/>
                <w:color w:val="auto"/>
              </w:rPr>
              <w:t>44</w:t>
            </w: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516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7253605</wp:posOffset>
            </wp:positionH>
            <wp:positionV relativeFrom="paragraph">
              <wp:posOffset>-27305</wp:posOffset>
            </wp:positionV>
            <wp:extent cx="33020" cy="406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-27305</wp:posOffset>
            </wp:positionV>
            <wp:extent cx="33020" cy="406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460"/>
          </w:cols>
          <w:pgMar w:left="240" w:top="220" w:right="199" w:bottom="1440" w:gutter="0" w:footer="0" w:header="0"/>
        </w:sectPr>
      </w:pPr>
    </w:p>
    <w:bookmarkStart w:id="44" w:name="page45"/>
    <w:bookmarkEnd w:id="44"/>
    <w:p>
      <w:pPr>
        <w:spacing w:after="0"/>
        <w:rPr>
          <w:sz w:val="20"/>
          <w:szCs w:val="20"/>
          <w:color w:val="auto"/>
        </w:rPr>
      </w:pPr>
      <w:r>
        <w:rPr>
          <w:rFonts w:ascii="Arial" w:cs="Arial" w:eastAsia="Arial" w:hAnsi="Arial"/>
          <w:sz w:val="16"/>
          <w:szCs w:val="16"/>
          <w:b w:val="1"/>
          <w:bCs w:val="1"/>
          <w:color w:val="auto"/>
        </w:rPr>
        <w:t>Revenues</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Current Year</w:t>
      </w:r>
    </w:p>
    <w:p>
      <w:pPr>
        <w:spacing w:after="0" w:line="110" w:lineRule="exact"/>
        <w:rPr>
          <w:sz w:val="20"/>
          <w:szCs w:val="20"/>
          <w:color w:val="auto"/>
        </w:rPr>
      </w:pPr>
    </w:p>
    <w:p>
      <w:pPr>
        <w:ind w:right="60"/>
        <w:spacing w:after="0" w:line="257" w:lineRule="auto"/>
        <w:rPr>
          <w:sz w:val="20"/>
          <w:szCs w:val="20"/>
          <w:color w:val="auto"/>
        </w:rPr>
      </w:pPr>
      <w:r>
        <w:rPr>
          <w:rFonts w:ascii="Arial" w:cs="Arial" w:eastAsia="Arial" w:hAnsi="Arial"/>
          <w:sz w:val="16"/>
          <w:szCs w:val="16"/>
          <w:color w:val="auto"/>
        </w:rPr>
        <w:t>The decrease in Consumer and Film revenues of approximately $23 million reflected volume declines in Consumer Inkjet Systems ($16 million) driven by lower sales of ink to the existing installed base of printers and volume declines in Industrial Film and Chemicals ($5 million) driven by lower demand for photo paper chemicals. These unfavorable impacts were offset by higher revenue from brand licensing ($8 million) which included a royalty payment from the modification of a brand licensing arrangement ($6 million) and favorable pricing in Motion Picture ($2 million). The brand licensing modification provided for a payment upon signing satisfying annual minimum royalty payments through 2023. Additionally, the prior year included fulfillment of a significant industrial film order ($7 million) and $3 million related to the fulfillment of motion picture film volume commitments.</w:t>
      </w:r>
    </w:p>
    <w:p>
      <w:pPr>
        <w:spacing w:after="0" w:line="75" w:lineRule="exact"/>
        <w:rPr>
          <w:sz w:val="20"/>
          <w:szCs w:val="20"/>
          <w:color w:val="auto"/>
        </w:rPr>
      </w:pPr>
    </w:p>
    <w:p>
      <w:pPr>
        <w:spacing w:after="0" w:line="274" w:lineRule="auto"/>
        <w:rPr>
          <w:sz w:val="20"/>
          <w:szCs w:val="20"/>
          <w:color w:val="auto"/>
        </w:rPr>
      </w:pPr>
      <w:r>
        <w:rPr>
          <w:rFonts w:ascii="Arial" w:cs="Arial" w:eastAsia="Arial" w:hAnsi="Arial"/>
          <w:sz w:val="15"/>
          <w:szCs w:val="15"/>
          <w:color w:val="auto"/>
        </w:rPr>
        <w:t>Current year brand licensing revenue included $750,000 from a license granted to WENN Digital, Inc. (“WENN”) to use Kodak’s brand in connection with WENN’s KODAKOne image rights management platform and Kodak branded cryptocurrency for a three-year period ending December 31, 2020. Consideration for the license included $750,000 in cash, 50,000 shares of WENN common stock and the right to 3 million cryptocurrency coins (the “Tokens”) upon completion of WENN’s initial coin offering of the Kodak branded cryptocurrency. The cash, deemed value of the WENN stock ($1.25 million), and deemed value of the Tokens serve as an advance royalty to be credited against sales based royalties in the future. The deemed value of the Tokens will be determined one year from their receipt, not to exceed $3 million. The advance royalty is non-refundable. No future sales-based royalty payment will be due until the advance royalty has been depleted. Kodak is also entitled under the license agreement to receive 3% of any cryptocurrency coins issued by WENN in excess of 100,000,000 coins. The common stock of WENN and the right to receive Tokens were recorded at immaterial amounts as of the date of the transaction and as of December 31, 2017. Future changes in value of the common stock of WENN and the Tokens will be reported in Other (income) charges, net in the Consolidated Statement of Operations. The WENN shares and Tokens received by Kodak are restricted securities under applicable securities laws and may only be resold if such sale is registered under applicable securities laws or an exemption from such registration is available.</w:t>
      </w:r>
    </w:p>
    <w:p>
      <w:pPr>
        <w:spacing w:after="0" w:line="61" w:lineRule="exact"/>
        <w:rPr>
          <w:sz w:val="20"/>
          <w:szCs w:val="20"/>
          <w:color w:val="auto"/>
        </w:rPr>
      </w:pPr>
    </w:p>
    <w:p>
      <w:pPr>
        <w:ind w:right="100"/>
        <w:spacing w:after="0" w:line="280" w:lineRule="auto"/>
        <w:rPr>
          <w:sz w:val="20"/>
          <w:szCs w:val="20"/>
          <w:color w:val="auto"/>
        </w:rPr>
      </w:pPr>
      <w:r>
        <w:rPr>
          <w:rFonts w:ascii="Arial" w:cs="Arial" w:eastAsia="Arial" w:hAnsi="Arial"/>
          <w:sz w:val="15"/>
          <w:szCs w:val="15"/>
          <w:color w:val="auto"/>
        </w:rPr>
        <w:t>The licensing arrangement with WENN is a transaction entered into by Kodak in the ordinary course of conducting its brand licensing business with a third party which Kodak does not own or control. Kodak does not have any seats on WENN’s board of directors or any contractual right to board representation. WENN is the developer of, and will own and operate, the KODAKOne platform. WENN is also the issuer of the Kodak branded cryptocurrency, and Kodak will not receive any proceeds from the initial coin offering or other issuances by WENN of such cryptocurrency. All communications with potential investors in the initial coin offering are from WENN, and WENN will make any offers and sales in such offering. The kodakcoin.com and kodakone.com websites are owned and managed by WENN.</w:t>
      </w:r>
    </w:p>
    <w:p>
      <w:pPr>
        <w:spacing w:after="0" w:line="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Prior Year</w:t>
      </w:r>
    </w:p>
    <w:p>
      <w:pPr>
        <w:spacing w:after="0" w:line="110"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The decrease in Consumer and Film revenues of approximately $48 million reflected volume declines in Consumer Inkjet Systems ($30 million) driven by lower sales of ink to the existing installed base of printers and in Motion Picture, Industrial Chemicals and Films ($20 million) due to declining demand for film products. Also contributing to the decline were lower revenues from brand licensing ($4 million) and unfavorable currency rates ($3 million). Partially offsetting these decreases were the favorable impact from a significant industrial films order ($7 million) and the fulfillment of motion picture film volume commitments ($3 million). Additionally, the prior year included $6 million from a brand licensing arrangement that was amended in 2016. The amendment eliminated a requirement for the licensee to pay quarterly royalties through the end of 2018 in return for an upfront payment.</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Operational EBITDA</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Current Year</w:t>
      </w:r>
    </w:p>
    <w:p>
      <w:pPr>
        <w:spacing w:after="0" w:line="110" w:lineRule="exact"/>
        <w:rPr>
          <w:sz w:val="20"/>
          <w:szCs w:val="20"/>
          <w:color w:val="auto"/>
        </w:rPr>
      </w:pPr>
    </w:p>
    <w:p>
      <w:pPr>
        <w:spacing w:after="0" w:line="278" w:lineRule="auto"/>
        <w:rPr>
          <w:sz w:val="20"/>
          <w:szCs w:val="20"/>
          <w:color w:val="auto"/>
        </w:rPr>
      </w:pPr>
      <w:r>
        <w:rPr>
          <w:rFonts w:ascii="Arial" w:cs="Arial" w:eastAsia="Arial" w:hAnsi="Arial"/>
          <w:sz w:val="15"/>
          <w:szCs w:val="15"/>
          <w:color w:val="auto"/>
        </w:rPr>
        <w:t>The $32 million decrease in the Consumer and Film Operational EBITDA reflected volume declines in Consumer Inkjet Systems ($12 million) driven by lower sales of ink to the existing installed base of printers, unfavorable cost absorption in Industrial Film and Chemicals ($7 million), unfavorable manufacturing costs in Motion Picture ($9 million) primarily due to the impact of costs associated with a vendor transition and higher SG&amp;A ($8 million) driven by an increased investment in sales and marketing initiatives. This was offset by the higher brand licensing revenue ($8 million), lower R&amp;D spending ($3 million) as the prior year included higher investment in the Super 8 movie camera, favorable pricing in Motion Picture ($2 million) and lower costs in Consumer Inkjet ($1 million). Additionally, the prior year included the impact of a significant industrial film order ($6 million) and the fulfillment of motion picture film volume commitments ($3 million).</w:t>
      </w:r>
    </w:p>
    <w:p>
      <w:pPr>
        <w:spacing w:after="0" w:line="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Prior Year</w:t>
      </w:r>
    </w:p>
    <w:p>
      <w:pPr>
        <w:spacing w:after="0" w:line="110"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The $36 million decrease in the Consumer and Film Operational EBITDA was driven by the volume declines in Consumer Inkjet Systems as mentioned above ($24 million), as well as unfavorable costs in Motion Picture, Industrial Chemicals and Films ($12 million) primarily due to lower production volume. Also contributing were higher R&amp;D costs ($6 million) due to increased investment in the Super 8 camera, lower revenues from brand licensing ($4 million), and unfavorable currency rates ($3 million). Partially offsetting these decreases were the favorable impact from a significant industrial films order ($6 million), the fulfillment of motion picture film volume commitments ($3 million) and lower costs in Consumer Inkjet ($2 million).</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As discussed above, 2015 included $6 million from a non-recurring brand licensing payment.</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62865</wp:posOffset>
            </wp:positionV>
            <wp:extent cx="7301865" cy="406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301865" cy="40640"/>
                    </a:xfrm>
                    <a:prstGeom prst="rect">
                      <a:avLst/>
                    </a:prstGeom>
                    <a:noFill/>
                  </pic:spPr>
                </pic:pic>
              </a:graphicData>
            </a:graphic>
          </wp:anchor>
        </w:drawing>
      </w:r>
    </w:p>
    <w:p>
      <w:pPr>
        <w:sectPr>
          <w:pgSz w:w="11900" w:h="16838" w:orient="portrait"/>
          <w:cols w:equalWidth="0" w:num="1">
            <w:col w:w="11400"/>
          </w:cols>
          <w:pgMar w:left="240" w:top="220" w:right="259" w:bottom="1440" w:gutter="0" w:footer="0" w:header="0"/>
        </w:sectPr>
      </w:pPr>
    </w:p>
    <w:bookmarkStart w:id="45" w:name="page46"/>
    <w:bookmarkEnd w:id="45"/>
    <w:p>
      <w:pPr>
        <w:spacing w:after="0"/>
        <w:rPr>
          <w:sz w:val="20"/>
          <w:szCs w:val="20"/>
          <w:color w:val="auto"/>
        </w:rPr>
      </w:pPr>
      <w:r>
        <w:rPr>
          <w:rFonts w:ascii="Arial" w:cs="Arial" w:eastAsia="Arial" w:hAnsi="Arial"/>
          <w:sz w:val="16"/>
          <w:szCs w:val="16"/>
          <w:b w:val="1"/>
          <w:bCs w:val="1"/>
          <w:color w:val="auto"/>
        </w:rPr>
        <w:t>ADVANCED MATERIALS AND 3D PRINTING TECHNOLOGY SEGMENT</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gridSpan w:val="6"/>
          </w:tcPr>
          <w:p>
            <w:pPr>
              <w:jc w:val="right"/>
              <w:ind w:right="164"/>
              <w:spacing w:after="0"/>
              <w:rPr>
                <w:sz w:val="20"/>
                <w:szCs w:val="20"/>
                <w:color w:val="auto"/>
              </w:rPr>
            </w:pPr>
            <w:r>
              <w:rPr>
                <w:rFonts w:ascii="Arial" w:cs="Arial" w:eastAsia="Arial" w:hAnsi="Arial"/>
                <w:sz w:val="13"/>
                <w:szCs w:val="13"/>
                <w:b w:val="1"/>
                <w:bCs w:val="1"/>
                <w:color w:val="auto"/>
                <w:w w:val="91"/>
              </w:rPr>
              <w:t>Year Ended December 31,</w:t>
            </w:r>
          </w:p>
        </w:tc>
        <w:tc>
          <w:tcPr>
            <w:tcW w:w="8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940" w:type="dxa"/>
            <w:vAlign w:val="bottom"/>
            <w:tcBorders>
              <w:bottom w:val="single" w:sz="8" w:color="CFF0FC"/>
            </w:tcBorders>
          </w:tcPr>
          <w:p>
            <w:pPr>
              <w:spacing w:after="0"/>
              <w:rPr>
                <w:sz w:val="11"/>
                <w:szCs w:val="11"/>
                <w:color w:val="auto"/>
              </w:rPr>
            </w:pPr>
          </w:p>
        </w:tc>
        <w:tc>
          <w:tcPr>
            <w:tcW w:w="1320" w:type="dxa"/>
            <w:vAlign w:val="bottom"/>
            <w:tcBorders>
              <w:bottom w:val="single" w:sz="8" w:color="CFF0FC"/>
            </w:tcBorders>
          </w:tcPr>
          <w:p>
            <w:pPr>
              <w:spacing w:after="0"/>
              <w:rPr>
                <w:sz w:val="11"/>
                <w:szCs w:val="11"/>
                <w:color w:val="auto"/>
              </w:rPr>
            </w:pPr>
          </w:p>
        </w:tc>
        <w:tc>
          <w:tcPr>
            <w:tcW w:w="660" w:type="dxa"/>
            <w:vAlign w:val="bottom"/>
            <w:tcBorders>
              <w:bottom w:val="single" w:sz="8" w:color="auto"/>
            </w:tcBorders>
          </w:tcPr>
          <w:p>
            <w:pPr>
              <w:jc w:val="right"/>
              <w:spacing w:after="0" w:line="138" w:lineRule="exact"/>
              <w:rPr>
                <w:sz w:val="20"/>
                <w:szCs w:val="20"/>
                <w:color w:val="auto"/>
              </w:rPr>
            </w:pPr>
            <w:r>
              <w:rPr>
                <w:rFonts w:ascii="Arial" w:cs="Arial" w:eastAsia="Arial" w:hAnsi="Arial"/>
                <w:sz w:val="13"/>
                <w:szCs w:val="13"/>
                <w:b w:val="1"/>
                <w:bCs w:val="1"/>
                <w:color w:val="auto"/>
              </w:rPr>
              <w:t>2017</w:t>
            </w:r>
          </w:p>
        </w:tc>
        <w:tc>
          <w:tcPr>
            <w:tcW w:w="360" w:type="dxa"/>
            <w:vAlign w:val="bottom"/>
            <w:tcBorders>
              <w:bottom w:val="single" w:sz="8" w:color="auto"/>
            </w:tcBorders>
          </w:tcPr>
          <w:p>
            <w:pPr>
              <w:spacing w:after="0"/>
              <w:rPr>
                <w:sz w:val="11"/>
                <w:szCs w:val="11"/>
                <w:color w:val="auto"/>
              </w:rPr>
            </w:pPr>
          </w:p>
        </w:tc>
        <w:tc>
          <w:tcPr>
            <w:tcW w:w="140" w:type="dxa"/>
            <w:vAlign w:val="bottom"/>
            <w:tcBorders>
              <w:bottom w:val="single" w:sz="8" w:color="CFF0FC"/>
            </w:tcBorders>
          </w:tcPr>
          <w:p>
            <w:pPr>
              <w:spacing w:after="0"/>
              <w:rPr>
                <w:sz w:val="11"/>
                <w:szCs w:val="11"/>
                <w:color w:val="auto"/>
              </w:rPr>
            </w:pPr>
          </w:p>
        </w:tc>
        <w:tc>
          <w:tcPr>
            <w:tcW w:w="80" w:type="dxa"/>
            <w:vAlign w:val="bottom"/>
            <w:tcBorders>
              <w:bottom w:val="single" w:sz="8" w:color="CFF0FC"/>
            </w:tcBorders>
          </w:tcPr>
          <w:p>
            <w:pPr>
              <w:spacing w:after="0"/>
              <w:rPr>
                <w:sz w:val="11"/>
                <w:szCs w:val="11"/>
                <w:color w:val="auto"/>
              </w:rPr>
            </w:pPr>
          </w:p>
        </w:tc>
        <w:tc>
          <w:tcPr>
            <w:tcW w:w="660" w:type="dxa"/>
            <w:vAlign w:val="bottom"/>
            <w:tcBorders>
              <w:bottom w:val="single" w:sz="8" w:color="auto"/>
            </w:tcBorders>
          </w:tcPr>
          <w:p>
            <w:pPr>
              <w:jc w:val="right"/>
              <w:spacing w:after="0" w:line="138" w:lineRule="exact"/>
              <w:rPr>
                <w:sz w:val="20"/>
                <w:szCs w:val="20"/>
                <w:color w:val="auto"/>
              </w:rPr>
            </w:pPr>
            <w:r>
              <w:rPr>
                <w:rFonts w:ascii="Arial" w:cs="Arial" w:eastAsia="Arial" w:hAnsi="Arial"/>
                <w:sz w:val="13"/>
                <w:szCs w:val="13"/>
                <w:b w:val="1"/>
                <w:bCs w:val="1"/>
                <w:color w:val="auto"/>
              </w:rPr>
              <w:t>2016</w:t>
            </w:r>
          </w:p>
        </w:tc>
        <w:tc>
          <w:tcPr>
            <w:tcW w:w="360" w:type="dxa"/>
            <w:vAlign w:val="bottom"/>
            <w:tcBorders>
              <w:bottom w:val="single" w:sz="8" w:color="auto"/>
            </w:tcBorders>
          </w:tcPr>
          <w:p>
            <w:pPr>
              <w:spacing w:after="0"/>
              <w:rPr>
                <w:sz w:val="11"/>
                <w:szCs w:val="11"/>
                <w:color w:val="auto"/>
              </w:rPr>
            </w:pPr>
          </w:p>
        </w:tc>
        <w:tc>
          <w:tcPr>
            <w:tcW w:w="140" w:type="dxa"/>
            <w:vAlign w:val="bottom"/>
            <w:tcBorders>
              <w:bottom w:val="single" w:sz="8" w:color="CFF0FC"/>
            </w:tcBorders>
          </w:tcPr>
          <w:p>
            <w:pPr>
              <w:spacing w:after="0"/>
              <w:rPr>
                <w:sz w:val="11"/>
                <w:szCs w:val="11"/>
                <w:color w:val="auto"/>
              </w:rPr>
            </w:pPr>
          </w:p>
        </w:tc>
        <w:tc>
          <w:tcPr>
            <w:tcW w:w="80" w:type="dxa"/>
            <w:vAlign w:val="bottom"/>
            <w:tcBorders>
              <w:bottom w:val="single" w:sz="8" w:color="CFF0FC"/>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185"/>
              <w:spacing w:after="0" w:line="138" w:lineRule="exact"/>
              <w:rPr>
                <w:sz w:val="20"/>
                <w:szCs w:val="20"/>
                <w:color w:val="auto"/>
              </w:rPr>
            </w:pPr>
            <w:r>
              <w:rPr>
                <w:rFonts w:ascii="Arial" w:cs="Arial" w:eastAsia="Arial" w:hAnsi="Arial"/>
                <w:sz w:val="13"/>
                <w:szCs w:val="13"/>
                <w:b w:val="1"/>
                <w:bCs w:val="1"/>
                <w:color w:val="auto"/>
                <w:w w:val="99"/>
              </w:rPr>
              <w:t>$ Change</w:t>
            </w:r>
          </w:p>
        </w:tc>
        <w:tc>
          <w:tcPr>
            <w:tcW w:w="220" w:type="dxa"/>
            <w:vAlign w:val="bottom"/>
            <w:tcBorders>
              <w:bottom w:val="single" w:sz="8" w:color="CFF0FC"/>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323"/>
              <w:spacing w:after="0" w:line="138" w:lineRule="exact"/>
              <w:rPr>
                <w:sz w:val="20"/>
                <w:szCs w:val="20"/>
                <w:color w:val="auto"/>
              </w:rPr>
            </w:pPr>
            <w:r>
              <w:rPr>
                <w:rFonts w:ascii="Arial" w:cs="Arial" w:eastAsia="Arial" w:hAnsi="Arial"/>
                <w:sz w:val="13"/>
                <w:szCs w:val="13"/>
                <w:b w:val="1"/>
                <w:bCs w:val="1"/>
                <w:color w:val="auto"/>
              </w:rPr>
              <w:t>2015</w:t>
            </w:r>
          </w:p>
        </w:tc>
        <w:tc>
          <w:tcPr>
            <w:tcW w:w="140" w:type="dxa"/>
            <w:vAlign w:val="bottom"/>
            <w:tcBorders>
              <w:bottom w:val="single" w:sz="8" w:color="CFF0FC"/>
            </w:tcBorders>
          </w:tcPr>
          <w:p>
            <w:pPr>
              <w:spacing w:after="0"/>
              <w:rPr>
                <w:sz w:val="11"/>
                <w:szCs w:val="11"/>
                <w:color w:val="auto"/>
              </w:rPr>
            </w:pPr>
          </w:p>
        </w:tc>
        <w:tc>
          <w:tcPr>
            <w:tcW w:w="80" w:type="dxa"/>
            <w:vAlign w:val="bottom"/>
            <w:tcBorders>
              <w:bottom w:val="single" w:sz="8" w:color="CFF0FC"/>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185"/>
              <w:spacing w:after="0" w:line="138" w:lineRule="exact"/>
              <w:rPr>
                <w:sz w:val="20"/>
                <w:szCs w:val="20"/>
                <w:color w:val="auto"/>
              </w:rPr>
            </w:pPr>
            <w:r>
              <w:rPr>
                <w:rFonts w:ascii="Arial" w:cs="Arial" w:eastAsia="Arial" w:hAnsi="Arial"/>
                <w:sz w:val="13"/>
                <w:szCs w:val="13"/>
                <w:b w:val="1"/>
                <w:bCs w:val="1"/>
                <w:color w:val="auto"/>
                <w:w w:val="99"/>
              </w:rPr>
              <w:t>$ Change</w:t>
            </w:r>
          </w:p>
        </w:tc>
        <w:tc>
          <w:tcPr>
            <w:tcW w:w="120" w:type="dxa"/>
            <w:vAlign w:val="bottom"/>
            <w:tcBorders>
              <w:bottom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940" w:type="dxa"/>
            <w:vAlign w:val="bottom"/>
            <w:shd w:val="clear" w:color="auto" w:fill="CFF0FC"/>
          </w:tcPr>
          <w:p>
            <w:pPr>
              <w:spacing w:after="0"/>
              <w:rPr>
                <w:sz w:val="20"/>
                <w:szCs w:val="20"/>
                <w:color w:val="auto"/>
              </w:rPr>
            </w:pPr>
            <w:r>
              <w:rPr>
                <w:rFonts w:ascii="Arial" w:cs="Arial" w:eastAsia="Arial" w:hAnsi="Arial"/>
                <w:sz w:val="16"/>
                <w:szCs w:val="16"/>
                <w:color w:val="auto"/>
              </w:rPr>
              <w:t>Revenues</w:t>
            </w:r>
          </w:p>
        </w:tc>
        <w:tc>
          <w:tcPr>
            <w:tcW w:w="1320" w:type="dxa"/>
            <w:vAlign w:val="bottom"/>
            <w:shd w:val="clear" w:color="auto" w:fill="CFF0FC"/>
          </w:tcPr>
          <w:p>
            <w:pPr>
              <w:spacing w:after="0"/>
              <w:rPr>
                <w:sz w:val="17"/>
                <w:szCs w:val="17"/>
                <w:color w:val="auto"/>
              </w:rPr>
            </w:pPr>
          </w:p>
        </w:tc>
        <w:tc>
          <w:tcPr>
            <w:tcW w:w="660" w:type="dxa"/>
            <w:vAlign w:val="bottom"/>
            <w:shd w:val="clear" w:color="auto" w:fill="CFF0FC"/>
          </w:tcPr>
          <w:p>
            <w:pPr>
              <w:jc w:val="right"/>
              <w:ind w:right="510"/>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60" w:type="dxa"/>
            <w:vAlign w:val="bottom"/>
            <w:shd w:val="clear" w:color="auto" w:fill="CFF0FC"/>
          </w:tcPr>
          <w:p>
            <w:pPr>
              <w:jc w:val="right"/>
              <w:ind w:right="510"/>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Borders>
              <w:top w:val="single" w:sz="8" w:color="CFF0FC"/>
            </w:tcBorders>
          </w:tcPr>
          <w:p>
            <w:pPr>
              <w:spacing w:after="0" w:line="20" w:lineRule="exact"/>
              <w:rPr>
                <w:sz w:val="1"/>
                <w:szCs w:val="1"/>
                <w:color w:val="auto"/>
              </w:rPr>
            </w:pPr>
          </w:p>
        </w:tc>
        <w:tc>
          <w:tcPr>
            <w:tcW w:w="132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vMerge w:val="restart"/>
          </w:tcPr>
          <w:p>
            <w:pPr>
              <w:spacing w:after="0"/>
              <w:rPr>
                <w:sz w:val="15"/>
                <w:szCs w:val="15"/>
                <w:color w:val="auto"/>
              </w:rPr>
            </w:pPr>
          </w:p>
        </w:tc>
        <w:tc>
          <w:tcPr>
            <w:tcW w:w="39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3940" w:type="dxa"/>
            <w:vAlign w:val="bottom"/>
            <w:shd w:val="clear" w:color="auto" w:fill="CFF0FC"/>
          </w:tcPr>
          <w:p>
            <w:pPr>
              <w:spacing w:after="0"/>
              <w:rPr>
                <w:sz w:val="20"/>
                <w:szCs w:val="20"/>
                <w:color w:val="auto"/>
              </w:rPr>
            </w:pPr>
            <w:r>
              <w:rPr>
                <w:rFonts w:ascii="Arial" w:cs="Arial" w:eastAsia="Arial" w:hAnsi="Arial"/>
                <w:sz w:val="16"/>
                <w:szCs w:val="16"/>
                <w:color w:val="auto"/>
              </w:rPr>
              <w:t>Operational EBITDA</w:t>
            </w:r>
          </w:p>
        </w:tc>
        <w:tc>
          <w:tcPr>
            <w:tcW w:w="13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5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(26)</w:t>
            </w:r>
          </w:p>
        </w:tc>
        <w:tc>
          <w:tcPr>
            <w:tcW w:w="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500" w:type="dxa"/>
            <w:vAlign w:val="bottom"/>
            <w:gridSpan w:val="2"/>
            <w:shd w:val="clear" w:color="auto" w:fill="CFF0FC"/>
          </w:tcPr>
          <w:p>
            <w:pPr>
              <w:jc w:val="right"/>
              <w:ind w:right="16"/>
              <w:spacing w:after="0"/>
              <w:rPr>
                <w:sz w:val="20"/>
                <w:szCs w:val="20"/>
                <w:color w:val="auto"/>
              </w:rPr>
            </w:pPr>
            <w:r>
              <w:rPr>
                <w:rFonts w:ascii="Arial" w:cs="Arial" w:eastAsia="Arial" w:hAnsi="Arial"/>
                <w:sz w:val="16"/>
                <w:szCs w:val="16"/>
                <w:color w:val="auto"/>
              </w:rPr>
              <w:t>(26)</w:t>
            </w: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(35)</w:t>
            </w: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shd w:val="clear" w:color="auto" w:fill="CFF0FC"/>
          </w:tcPr>
          <w:p>
            <w:pPr>
              <w:spacing w:after="0" w:line="20" w:lineRule="exact"/>
              <w:rPr>
                <w:sz w:val="1"/>
                <w:szCs w:val="1"/>
                <w:color w:val="auto"/>
              </w:rPr>
            </w:pPr>
          </w:p>
        </w:tc>
        <w:tc>
          <w:tcPr>
            <w:tcW w:w="132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960" w:type="dxa"/>
            <w:vAlign w:val="bottom"/>
            <w:gridSpan w:val="2"/>
            <w:vMerge w:val="restart"/>
          </w:tcPr>
          <w:p>
            <w:pPr>
              <w:spacing w:after="0"/>
              <w:rPr>
                <w:sz w:val="20"/>
                <w:szCs w:val="20"/>
                <w:color w:val="auto"/>
              </w:rPr>
            </w:pPr>
            <w:r>
              <w:rPr>
                <w:rFonts w:ascii="Arial" w:cs="Arial" w:eastAsia="Arial" w:hAnsi="Arial"/>
                <w:sz w:val="16"/>
                <w:szCs w:val="16"/>
                <w:color w:val="auto"/>
              </w:rPr>
              <w:t>Operational EBITDA as a % of revenues</w:t>
            </w:r>
          </w:p>
        </w:tc>
        <w:tc>
          <w:tcPr>
            <w:tcW w:w="13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960" w:type="dxa"/>
            <w:vAlign w:val="bottom"/>
            <w:gridSpan w:val="2"/>
            <w:vMerge w:val="continue"/>
          </w:tcPr>
          <w:p>
            <w:pPr>
              <w:spacing w:after="0"/>
              <w:rPr>
                <w:sz w:val="15"/>
                <w:szCs w:val="15"/>
                <w:color w:val="auto"/>
              </w:rPr>
            </w:pPr>
          </w:p>
        </w:tc>
        <w:tc>
          <w:tcPr>
            <w:tcW w:w="1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60" w:type="dxa"/>
            <w:vAlign w:val="bottom"/>
          </w:tcPr>
          <w:p>
            <w:pPr>
              <w:jc w:val="right"/>
              <w:spacing w:after="0" w:line="182" w:lineRule="exact"/>
              <w:rPr>
                <w:sz w:val="20"/>
                <w:szCs w:val="20"/>
                <w:color w:val="auto"/>
              </w:rPr>
            </w:pPr>
            <w:r>
              <w:rPr>
                <w:rFonts w:ascii="Arial" w:cs="Arial" w:eastAsia="Arial" w:hAnsi="Arial"/>
                <w:sz w:val="16"/>
                <w:szCs w:val="16"/>
                <w:color w:val="auto"/>
              </w:rPr>
              <w:t>N/M</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60" w:type="dxa"/>
            <w:vAlign w:val="bottom"/>
          </w:tcPr>
          <w:p>
            <w:pPr>
              <w:jc w:val="right"/>
              <w:spacing w:after="0" w:line="182" w:lineRule="exact"/>
              <w:rPr>
                <w:sz w:val="20"/>
                <w:szCs w:val="20"/>
                <w:color w:val="auto"/>
              </w:rPr>
            </w:pPr>
            <w:r>
              <w:rPr>
                <w:rFonts w:ascii="Arial" w:cs="Arial" w:eastAsia="Arial" w:hAnsi="Arial"/>
                <w:sz w:val="16"/>
                <w:szCs w:val="16"/>
                <w:color w:val="auto"/>
              </w:rPr>
              <w:t>N/M</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spacing w:after="0" w:line="182" w:lineRule="exact"/>
              <w:rPr>
                <w:sz w:val="20"/>
                <w:szCs w:val="20"/>
                <w:color w:val="auto"/>
              </w:rPr>
            </w:pPr>
            <w:r>
              <w:rPr>
                <w:rFonts w:ascii="Arial" w:cs="Arial" w:eastAsia="Arial" w:hAnsi="Arial"/>
                <w:sz w:val="16"/>
                <w:szCs w:val="16"/>
                <w:color w:val="auto"/>
              </w:rPr>
              <w:t>N/M</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Current Year</w:t>
      </w:r>
    </w:p>
    <w:p>
      <w:pPr>
        <w:spacing w:after="0" w:line="110" w:lineRule="exact"/>
        <w:rPr>
          <w:sz w:val="20"/>
          <w:szCs w:val="20"/>
          <w:color w:val="auto"/>
        </w:rPr>
      </w:pPr>
    </w:p>
    <w:p>
      <w:pPr>
        <w:ind w:right="860"/>
        <w:spacing w:after="0" w:line="280" w:lineRule="auto"/>
        <w:rPr>
          <w:sz w:val="20"/>
          <w:szCs w:val="20"/>
          <w:color w:val="auto"/>
        </w:rPr>
      </w:pPr>
      <w:r>
        <w:rPr>
          <w:rFonts w:ascii="Arial" w:cs="Arial" w:eastAsia="Arial" w:hAnsi="Arial"/>
          <w:sz w:val="16"/>
          <w:szCs w:val="16"/>
          <w:color w:val="auto"/>
        </w:rPr>
        <w:t>Advanced Materials and 3D Printing Technology Operational EBITDA was unchanged. The reduced level of investment is expected to impact segment earnings by approximately $10 million annually.</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Prior Year</w:t>
      </w:r>
    </w:p>
    <w:p>
      <w:pPr>
        <w:spacing w:after="0" w:line="110" w:lineRule="exact"/>
        <w:rPr>
          <w:sz w:val="20"/>
          <w:szCs w:val="20"/>
          <w:color w:val="auto"/>
        </w:rPr>
      </w:pPr>
    </w:p>
    <w:p>
      <w:pPr>
        <w:ind w:right="500"/>
        <w:spacing w:after="0" w:line="266" w:lineRule="auto"/>
        <w:rPr>
          <w:sz w:val="20"/>
          <w:szCs w:val="20"/>
          <w:color w:val="auto"/>
        </w:rPr>
      </w:pPr>
      <w:r>
        <w:rPr>
          <w:rFonts w:ascii="Arial" w:cs="Arial" w:eastAsia="Arial" w:hAnsi="Arial"/>
          <w:sz w:val="16"/>
          <w:szCs w:val="16"/>
          <w:color w:val="auto"/>
        </w:rPr>
        <w:t>Advanced Materials and 3D Printing Technology Operational EBITDA improved approximately $9 million primarily due to lower R&amp;D costs as the company focused investment in materials science projects and eliminated programs that no longer aligned with this strategy. The results for 2015 included a gain related to assets that were acquired for no monetary consideration as part of the termination of the relationship with Unipixel ($3 million).</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EASTMAN BUSINESS PARK SEGMENT</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Eastman Business Park revenue and Operational EBITDA did not change significantly in the reporting periods.</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RESTRUCTURING COSTS AND OTHER</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2017</w:t>
      </w:r>
    </w:p>
    <w:p>
      <w:pPr>
        <w:spacing w:after="0" w:line="110" w:lineRule="exact"/>
        <w:rPr>
          <w:sz w:val="20"/>
          <w:szCs w:val="20"/>
          <w:color w:val="auto"/>
        </w:rPr>
      </w:pPr>
    </w:p>
    <w:p>
      <w:pPr>
        <w:ind w:right="100"/>
        <w:spacing w:after="0" w:line="292" w:lineRule="auto"/>
        <w:rPr>
          <w:sz w:val="20"/>
          <w:szCs w:val="20"/>
          <w:color w:val="auto"/>
        </w:rPr>
      </w:pPr>
      <w:r>
        <w:rPr>
          <w:rFonts w:ascii="Arial" w:cs="Arial" w:eastAsia="Arial" w:hAnsi="Arial"/>
          <w:sz w:val="15"/>
          <w:szCs w:val="15"/>
          <w:color w:val="auto"/>
        </w:rPr>
        <w:t>Restructuring actions taken in 2017 were initiated to reduce Kodak’s cost structure as part of its commitment to drive sustainable profitability and included actions associated with the Prosper business cost reduction, voluntary workforce transition plans in the U.S., an office closure in Switzerland, the cancellation of the copper touch screen program, as well as various targeted reductions in manufacturing, service, sales, research and development and other administrative functions.</w:t>
      </w:r>
    </w:p>
    <w:p>
      <w:pPr>
        <w:spacing w:after="0" w:line="47" w:lineRule="exact"/>
        <w:rPr>
          <w:sz w:val="20"/>
          <w:szCs w:val="20"/>
          <w:color w:val="auto"/>
        </w:rPr>
      </w:pPr>
    </w:p>
    <w:p>
      <w:pPr>
        <w:ind w:right="320"/>
        <w:spacing w:after="0" w:line="354" w:lineRule="auto"/>
        <w:rPr>
          <w:sz w:val="20"/>
          <w:szCs w:val="20"/>
          <w:color w:val="auto"/>
        </w:rPr>
      </w:pPr>
      <w:r>
        <w:rPr>
          <w:rFonts w:ascii="Arial" w:cs="Arial" w:eastAsia="Arial" w:hAnsi="Arial"/>
          <w:sz w:val="14"/>
          <w:szCs w:val="14"/>
          <w:color w:val="auto"/>
        </w:rPr>
        <w:t>As a result of these actions, for the year ended December 31, 2017 Kodak recorded $38 million of charges, including $7 million of charges for inventory write-downs which were reported in Cost of revenues and $31 million which was reported as Restructuring costs and other in the accompanying Consolidated Statement of Operations.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Kodak made cash payments related to restructuring of approximately $15 million for the year ended December 31, 2017.</w:t>
      </w:r>
    </w:p>
    <w:p>
      <w:pPr>
        <w:spacing w:after="0" w:line="106" w:lineRule="exact"/>
        <w:rPr>
          <w:sz w:val="20"/>
          <w:szCs w:val="20"/>
          <w:color w:val="auto"/>
        </w:rPr>
      </w:pPr>
    </w:p>
    <w:p>
      <w:pPr>
        <w:ind w:right="160"/>
        <w:spacing w:after="0" w:line="266" w:lineRule="auto"/>
        <w:rPr>
          <w:sz w:val="20"/>
          <w:szCs w:val="20"/>
          <w:color w:val="auto"/>
        </w:rPr>
      </w:pPr>
      <w:r>
        <w:rPr>
          <w:rFonts w:ascii="Arial" w:cs="Arial" w:eastAsia="Arial" w:hAnsi="Arial"/>
          <w:sz w:val="16"/>
          <w:szCs w:val="16"/>
          <w:color w:val="auto"/>
        </w:rPr>
        <w:t>The restructuring actions implemented in 2017 are expected to generate future annual cash savings of approximately $40 million. These savings are expected to reduce future annual Cost of revenues, SG&amp;A and R&amp;D expenses by $12 million, $18 million and $10 million, respectively. Kodak expects the majority of the annual savings to be in effect by the end of the first half of 2018 as actions are completed.</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2016</w:t>
      </w:r>
    </w:p>
    <w:p>
      <w:pPr>
        <w:spacing w:after="0" w:line="110" w:lineRule="exact"/>
        <w:rPr>
          <w:sz w:val="20"/>
          <w:szCs w:val="20"/>
          <w:color w:val="auto"/>
        </w:rPr>
      </w:pPr>
    </w:p>
    <w:p>
      <w:pPr>
        <w:ind w:right="500"/>
        <w:spacing w:after="0" w:line="315" w:lineRule="auto"/>
        <w:rPr>
          <w:sz w:val="20"/>
          <w:szCs w:val="20"/>
          <w:color w:val="auto"/>
        </w:rPr>
      </w:pPr>
      <w:r>
        <w:rPr>
          <w:rFonts w:ascii="Arial" w:cs="Arial" w:eastAsia="Arial" w:hAnsi="Arial"/>
          <w:sz w:val="15"/>
          <w:szCs w:val="15"/>
          <w:color w:val="auto"/>
        </w:rPr>
        <w:t>For the year ended December 31, 2016 Kodak recorded $16 million of charges, including $1 million of charges for inventory write-downs which were reported in Cost of revenues and $15 million which were reported as Restructuring costs and other in the accompanying Consolidated Statement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2015</w:t>
      </w:r>
    </w:p>
    <w:p>
      <w:pPr>
        <w:spacing w:after="0" w:line="110" w:lineRule="exact"/>
        <w:rPr>
          <w:sz w:val="20"/>
          <w:szCs w:val="20"/>
          <w:color w:val="auto"/>
        </w:rPr>
      </w:pPr>
    </w:p>
    <w:p>
      <w:pPr>
        <w:ind w:right="240"/>
        <w:spacing w:after="0" w:line="266" w:lineRule="auto"/>
        <w:rPr>
          <w:sz w:val="20"/>
          <w:szCs w:val="20"/>
          <w:color w:val="auto"/>
        </w:rPr>
      </w:pPr>
      <w:r>
        <w:rPr>
          <w:rFonts w:ascii="Arial" w:cs="Arial" w:eastAsia="Arial" w:hAnsi="Arial"/>
          <w:sz w:val="16"/>
          <w:szCs w:val="16"/>
          <w:color w:val="auto"/>
        </w:rPr>
        <w:t>For the year ended December 31, 2015 Kodak recorded $46 million of charges, including $8 million for accelerated depreciation which was reported in Cost of revenues, $37 million which was reported as Restructuring costs and other and $1 million which was reported in (Loss) earnings from discontinued operations in the accompanying Consolidated Statement of Operations.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Prosper Business Cost Reduction</w:t>
      </w:r>
    </w:p>
    <w:p>
      <w:pPr>
        <w:spacing w:after="0" w:line="207" w:lineRule="exact"/>
        <w:rPr>
          <w:sz w:val="20"/>
          <w:szCs w:val="20"/>
          <w:color w:val="auto"/>
        </w:rPr>
      </w:pPr>
    </w:p>
    <w:p>
      <w:pPr>
        <w:jc w:val="both"/>
        <w:ind w:right="400"/>
        <w:spacing w:after="0" w:line="321" w:lineRule="auto"/>
        <w:rPr>
          <w:sz w:val="20"/>
          <w:szCs w:val="20"/>
          <w:color w:val="auto"/>
        </w:rPr>
      </w:pPr>
      <w:r>
        <w:rPr>
          <w:rFonts w:ascii="Arial" w:cs="Arial" w:eastAsia="Arial" w:hAnsi="Arial"/>
          <w:sz w:val="14"/>
          <w:szCs w:val="14"/>
          <w:color w:val="auto"/>
        </w:rPr>
        <w:t xml:space="preserve">On January 12, 2017, Kodak announced an action to streamline costs in its Prosper business. This action is pursuant to Kodak’s initiative to focus the Prosper business on developing next generation Ultrastream technology with solutions that place writing systems in original equipment manufacturer and hybrid applications and the continued placement of Prosper 6000 presses and components in suitable high volume applications. </w:t>
      </w:r>
      <w:r>
        <w:rPr>
          <w:rFonts w:ascii="Arial" w:cs="Arial" w:eastAsia="Arial" w:hAnsi="Arial"/>
          <w:sz w:val="14"/>
          <w:szCs w:val="14"/>
          <w:color w:val="auto"/>
          <w:highlight w:val="white"/>
        </w:rPr>
        <w:t>The action has been substantially completed as of December 31, 2017.</w:t>
      </w:r>
    </w:p>
    <w:p>
      <w:pPr>
        <w:spacing w:after="0" w:line="128" w:lineRule="exact"/>
        <w:rPr>
          <w:sz w:val="20"/>
          <w:szCs w:val="20"/>
          <w:color w:val="auto"/>
        </w:rPr>
      </w:pPr>
    </w:p>
    <w:p>
      <w:pPr>
        <w:ind w:right="20"/>
        <w:spacing w:after="0" w:line="315" w:lineRule="auto"/>
        <w:rPr>
          <w:sz w:val="20"/>
          <w:szCs w:val="20"/>
          <w:color w:val="auto"/>
        </w:rPr>
      </w:pPr>
      <w:r>
        <w:rPr>
          <w:rFonts w:ascii="Arial" w:cs="Arial" w:eastAsia="Arial" w:hAnsi="Arial"/>
          <w:sz w:val="15"/>
          <w:szCs w:val="15"/>
          <w:color w:val="auto"/>
        </w:rPr>
        <w:t>As a result of this action, during the year ended December 31, 2017 Kodak incurred total restructuring and related charges of $12 million, including $4 million of charges related to separation benefits, $6 million of non-cash related charges for inventory write-downs, and $2 million of non-cash related charges for asset write-offs.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62865</wp:posOffset>
            </wp:positionV>
            <wp:extent cx="7301865" cy="406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301865" cy="40640"/>
                    </a:xfrm>
                    <a:prstGeom prst="rect">
                      <a:avLst/>
                    </a:prstGeom>
                    <a:noFill/>
                  </pic:spPr>
                </pic:pic>
              </a:graphicData>
            </a:graphic>
          </wp:anchor>
        </w:drawing>
      </w:r>
    </w:p>
    <w:p>
      <w:pPr>
        <w:sectPr>
          <w:pgSz w:w="11900" w:h="16838" w:orient="portrait"/>
          <w:cols w:equalWidth="0" w:num="1">
            <w:col w:w="11440"/>
          </w:cols>
          <w:pgMar w:left="240" w:top="316" w:right="219" w:bottom="1440" w:gutter="0" w:footer="0" w:header="0"/>
        </w:sectPr>
      </w:pPr>
    </w:p>
    <w:bookmarkStart w:id="46" w:name="page47"/>
    <w:bookmarkEnd w:id="46"/>
    <w:p>
      <w:pPr>
        <w:spacing w:after="0"/>
        <w:rPr>
          <w:sz w:val="20"/>
          <w:szCs w:val="20"/>
          <w:color w:val="auto"/>
        </w:rPr>
      </w:pPr>
      <w:r>
        <w:rPr>
          <w:rFonts w:ascii="Arial" w:cs="Arial" w:eastAsia="Arial" w:hAnsi="Arial"/>
          <w:sz w:val="16"/>
          <w:szCs w:val="16"/>
          <w:b w:val="1"/>
          <w:bCs w:val="1"/>
          <w:color w:val="auto"/>
        </w:rPr>
        <w:t>LIQUIDITY AND CAPITAL RESOURCES</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2017</w:t>
      </w:r>
    </w:p>
    <w:p>
      <w:pPr>
        <w:spacing w:after="0" w:line="296" w:lineRule="exact"/>
        <w:rPr>
          <w:sz w:val="20"/>
          <w:szCs w:val="20"/>
          <w:color w:val="auto"/>
        </w:rPr>
      </w:pPr>
    </w:p>
    <w:tbl>
      <w:tblPr>
        <w:tblLayout w:type="fixed"/>
        <w:tblInd w:w="1720" w:type="dxa"/>
        <w:tblCellMar>
          <w:top w:w="0" w:type="dxa"/>
          <w:left w:w="0" w:type="dxa"/>
          <w:bottom w:w="0" w:type="dxa"/>
          <w:right w:w="0" w:type="dxa"/>
        </w:tblCellMar>
      </w:tblPr>
      <w:tr>
        <w:trPr>
          <w:trHeight w:val="153"/>
        </w:trPr>
        <w:tc>
          <w:tcPr>
            <w:tcW w:w="4080" w:type="dxa"/>
            <w:vAlign w:val="bottom"/>
            <w:vMerge w:val="restart"/>
          </w:tcPr>
          <w:p>
            <w:pPr>
              <w:spacing w:after="0"/>
              <w:rPr>
                <w:sz w:val="20"/>
                <w:szCs w:val="20"/>
                <w:color w:val="auto"/>
              </w:rPr>
            </w:pPr>
            <w:r>
              <w:rPr>
                <w:rFonts w:ascii="Arial" w:cs="Arial" w:eastAsia="Arial" w:hAnsi="Arial"/>
                <w:sz w:val="13"/>
                <w:szCs w:val="13"/>
                <w:color w:val="auto"/>
              </w:rPr>
              <w:t>(in millions)</w:t>
            </w:r>
          </w:p>
        </w:tc>
        <w:tc>
          <w:tcPr>
            <w:tcW w:w="1380" w:type="dxa"/>
            <w:vAlign w:val="bottom"/>
          </w:tcPr>
          <w:p>
            <w:pPr>
              <w:spacing w:after="0"/>
              <w:rPr>
                <w:sz w:val="13"/>
                <w:szCs w:val="13"/>
                <w:color w:val="auto"/>
              </w:rPr>
            </w:pPr>
          </w:p>
        </w:tc>
        <w:tc>
          <w:tcPr>
            <w:tcW w:w="2100" w:type="dxa"/>
            <w:vAlign w:val="bottom"/>
            <w:tcBorders>
              <w:bottom w:val="single" w:sz="8" w:color="auto"/>
            </w:tcBorders>
            <w:gridSpan w:val="4"/>
          </w:tcPr>
          <w:p>
            <w:pPr>
              <w:jc w:val="right"/>
              <w:ind w:right="270"/>
              <w:spacing w:after="0"/>
              <w:rPr>
                <w:sz w:val="20"/>
                <w:szCs w:val="20"/>
                <w:color w:val="auto"/>
              </w:rPr>
            </w:pPr>
            <w:r>
              <w:rPr>
                <w:rFonts w:ascii="Arial" w:cs="Arial" w:eastAsia="Arial" w:hAnsi="Arial"/>
                <w:sz w:val="13"/>
                <w:szCs w:val="13"/>
                <w:b w:val="1"/>
                <w:bCs w:val="1"/>
                <w:color w:val="auto"/>
              </w:rPr>
              <w:t>As of December 31,</w:t>
            </w:r>
          </w:p>
        </w:tc>
        <w:tc>
          <w:tcPr>
            <w:tcW w:w="3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4080" w:type="dxa"/>
            <w:vAlign w:val="bottom"/>
            <w:tcBorders>
              <w:bottom w:val="single" w:sz="8" w:color="CFF0FC"/>
            </w:tcBorders>
            <w:vMerge w:val="continue"/>
          </w:tcPr>
          <w:p>
            <w:pPr>
              <w:spacing w:after="0"/>
              <w:rPr>
                <w:sz w:val="11"/>
                <w:szCs w:val="11"/>
                <w:color w:val="auto"/>
              </w:rPr>
            </w:pPr>
          </w:p>
        </w:tc>
        <w:tc>
          <w:tcPr>
            <w:tcW w:w="1380" w:type="dxa"/>
            <w:vAlign w:val="bottom"/>
            <w:tcBorders>
              <w:bottom w:val="single" w:sz="8" w:color="CFF0FC"/>
            </w:tcBorders>
          </w:tcPr>
          <w:p>
            <w:pPr>
              <w:spacing w:after="0"/>
              <w:rPr>
                <w:sz w:val="11"/>
                <w:szCs w:val="11"/>
                <w:color w:val="auto"/>
              </w:rPr>
            </w:pPr>
          </w:p>
        </w:tc>
        <w:tc>
          <w:tcPr>
            <w:tcW w:w="780" w:type="dxa"/>
            <w:vAlign w:val="bottom"/>
            <w:tcBorders>
              <w:bottom w:val="single" w:sz="8" w:color="auto"/>
            </w:tcBorders>
          </w:tcPr>
          <w:p>
            <w:pPr>
              <w:jc w:val="right"/>
              <w:ind w:right="12"/>
              <w:spacing w:after="0" w:line="138" w:lineRule="exact"/>
              <w:rPr>
                <w:sz w:val="20"/>
                <w:szCs w:val="20"/>
                <w:color w:val="auto"/>
              </w:rPr>
            </w:pPr>
            <w:r>
              <w:rPr>
                <w:rFonts w:ascii="Arial" w:cs="Arial" w:eastAsia="Arial" w:hAnsi="Arial"/>
                <w:sz w:val="13"/>
                <w:szCs w:val="13"/>
                <w:b w:val="1"/>
                <w:bCs w:val="1"/>
                <w:color w:val="auto"/>
              </w:rPr>
              <w:t>2017</w:t>
            </w:r>
          </w:p>
        </w:tc>
        <w:tc>
          <w:tcPr>
            <w:tcW w:w="360" w:type="dxa"/>
            <w:vAlign w:val="bottom"/>
            <w:tcBorders>
              <w:bottom w:val="single" w:sz="8" w:color="auto"/>
            </w:tcBorders>
          </w:tcPr>
          <w:p>
            <w:pPr>
              <w:spacing w:after="0"/>
              <w:rPr>
                <w:sz w:val="11"/>
                <w:szCs w:val="11"/>
                <w:color w:val="auto"/>
              </w:rPr>
            </w:pPr>
          </w:p>
        </w:tc>
        <w:tc>
          <w:tcPr>
            <w:tcW w:w="180" w:type="dxa"/>
            <w:vAlign w:val="bottom"/>
            <w:tcBorders>
              <w:bottom w:val="single" w:sz="8" w:color="CFF0FC"/>
            </w:tcBorders>
          </w:tcPr>
          <w:p>
            <w:pPr>
              <w:spacing w:after="0"/>
              <w:rPr>
                <w:sz w:val="11"/>
                <w:szCs w:val="11"/>
                <w:color w:val="auto"/>
              </w:rPr>
            </w:pPr>
          </w:p>
        </w:tc>
        <w:tc>
          <w:tcPr>
            <w:tcW w:w="780" w:type="dxa"/>
            <w:vAlign w:val="bottom"/>
            <w:tcBorders>
              <w:bottom w:val="single" w:sz="8" w:color="auto"/>
            </w:tcBorders>
          </w:tcPr>
          <w:p>
            <w:pPr>
              <w:jc w:val="right"/>
              <w:ind w:right="10"/>
              <w:spacing w:after="0" w:line="138" w:lineRule="exact"/>
              <w:rPr>
                <w:sz w:val="20"/>
                <w:szCs w:val="20"/>
                <w:color w:val="auto"/>
              </w:rPr>
            </w:pPr>
            <w:r>
              <w:rPr>
                <w:rFonts w:ascii="Arial" w:cs="Arial" w:eastAsia="Arial" w:hAnsi="Arial"/>
                <w:sz w:val="13"/>
                <w:szCs w:val="13"/>
                <w:b w:val="1"/>
                <w:bCs w:val="1"/>
                <w:color w:val="auto"/>
              </w:rPr>
              <w:t>2016</w:t>
            </w:r>
          </w:p>
        </w:tc>
        <w:tc>
          <w:tcPr>
            <w:tcW w:w="360" w:type="dxa"/>
            <w:vAlign w:val="bottom"/>
            <w:tcBorders>
              <w:bottom w:val="single" w:sz="8" w:color="auto"/>
            </w:tcBorders>
          </w:tcPr>
          <w:p>
            <w:pPr>
              <w:spacing w:after="0"/>
              <w:rPr>
                <w:sz w:val="11"/>
                <w:szCs w:val="11"/>
                <w:color w:val="auto"/>
              </w:rPr>
            </w:pPr>
          </w:p>
        </w:tc>
        <w:tc>
          <w:tcPr>
            <w:tcW w:w="80" w:type="dxa"/>
            <w:vAlign w:val="bottom"/>
            <w:tcBorders>
              <w:bottom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40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Cash, cash equivalents and restricted cash</w:t>
            </w:r>
          </w:p>
        </w:tc>
        <w:tc>
          <w:tcPr>
            <w:tcW w:w="1380" w:type="dxa"/>
            <w:vAlign w:val="bottom"/>
            <w:tcBorders>
              <w:bottom w:val="single" w:sz="8" w:color="CFF0FC"/>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ind w:right="632"/>
              <w:spacing w:after="0"/>
              <w:rPr>
                <w:sz w:val="20"/>
                <w:szCs w:val="20"/>
                <w:color w:val="auto"/>
              </w:rPr>
            </w:pPr>
            <w:r>
              <w:rPr>
                <w:rFonts w:ascii="Arial" w:cs="Arial" w:eastAsia="Arial" w:hAnsi="Arial"/>
                <w:sz w:val="15"/>
                <w:szCs w:val="15"/>
                <w:color w:val="auto"/>
                <w:w w:val="71"/>
              </w:rPr>
              <w:t>$</w:t>
            </w: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369</w:t>
            </w:r>
          </w:p>
        </w:tc>
        <w:tc>
          <w:tcPr>
            <w:tcW w:w="180" w:type="dxa"/>
            <w:vAlign w:val="bottom"/>
            <w:tcBorders>
              <w:bottom w:val="single" w:sz="8" w:color="CFF0FC"/>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ind w:right="630"/>
              <w:spacing w:after="0"/>
              <w:rPr>
                <w:sz w:val="20"/>
                <w:szCs w:val="20"/>
                <w:color w:val="auto"/>
              </w:rPr>
            </w:pPr>
            <w:r>
              <w:rPr>
                <w:rFonts w:ascii="Arial" w:cs="Arial" w:eastAsia="Arial" w:hAnsi="Arial"/>
                <w:sz w:val="15"/>
                <w:szCs w:val="15"/>
                <w:color w:val="auto"/>
                <w:w w:val="71"/>
              </w:rPr>
              <w:t>$</w:t>
            </w: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478</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Cash Flow Activity</w:t>
      </w:r>
    </w:p>
    <w:p>
      <w:pPr>
        <w:spacing w:after="0" w:line="292" w:lineRule="exact"/>
        <w:rPr>
          <w:sz w:val="20"/>
          <w:szCs w:val="20"/>
          <w:color w:val="auto"/>
        </w:rPr>
      </w:pPr>
    </w:p>
    <w:tbl>
      <w:tblPr>
        <w:tblLayout w:type="fixed"/>
        <w:tblInd w:w="1140" w:type="dxa"/>
        <w:tblCellMar>
          <w:top w:w="0" w:type="dxa"/>
          <w:left w:w="0" w:type="dxa"/>
          <w:bottom w:w="0" w:type="dxa"/>
          <w:right w:w="0" w:type="dxa"/>
        </w:tblCellMar>
      </w:tblPr>
      <w:tr>
        <w:trPr>
          <w:trHeight w:val="153"/>
        </w:trPr>
        <w:tc>
          <w:tcPr>
            <w:tcW w:w="2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300" w:type="dxa"/>
            <w:vAlign w:val="bottom"/>
            <w:gridSpan w:val="5"/>
          </w:tcPr>
          <w:p>
            <w:pPr>
              <w:jc w:val="right"/>
              <w:ind w:right="680"/>
              <w:spacing w:after="0"/>
              <w:rPr>
                <w:sz w:val="20"/>
                <w:szCs w:val="20"/>
                <w:color w:val="auto"/>
              </w:rPr>
            </w:pPr>
            <w:r>
              <w:rPr>
                <w:rFonts w:ascii="Arial" w:cs="Arial" w:eastAsia="Arial" w:hAnsi="Arial"/>
                <w:sz w:val="13"/>
                <w:szCs w:val="13"/>
                <w:b w:val="1"/>
                <w:bCs w:val="1"/>
                <w:color w:val="auto"/>
              </w:rPr>
              <w:t>Year Ended December 31,</w:t>
            </w:r>
          </w:p>
        </w:tc>
        <w:tc>
          <w:tcPr>
            <w:tcW w:w="80" w:type="dxa"/>
            <w:vAlign w:val="bottom"/>
          </w:tcPr>
          <w:p>
            <w:pPr>
              <w:spacing w:after="0"/>
              <w:rPr>
                <w:sz w:val="13"/>
                <w:szCs w:val="13"/>
                <w:color w:val="auto"/>
              </w:rPr>
            </w:pPr>
          </w:p>
        </w:tc>
        <w:tc>
          <w:tcPr>
            <w:tcW w:w="1080" w:type="dxa"/>
            <w:vAlign w:val="bottom"/>
            <w:gridSpan w:val="2"/>
            <w:vMerge w:val="restart"/>
          </w:tcPr>
          <w:p>
            <w:pPr>
              <w:jc w:val="right"/>
              <w:ind w:right="200"/>
              <w:spacing w:after="0"/>
              <w:rPr>
                <w:sz w:val="20"/>
                <w:szCs w:val="20"/>
                <w:color w:val="auto"/>
              </w:rPr>
            </w:pPr>
            <w:r>
              <w:rPr>
                <w:rFonts w:ascii="Arial" w:cs="Arial" w:eastAsia="Arial" w:hAnsi="Arial"/>
                <w:sz w:val="13"/>
                <w:szCs w:val="13"/>
                <w:b w:val="1"/>
                <w:bCs w:val="1"/>
                <w:color w:val="auto"/>
                <w:w w:val="90"/>
              </w:rPr>
              <w:t>Year-Over-Year</w:t>
            </w:r>
          </w:p>
        </w:tc>
        <w:tc>
          <w:tcPr>
            <w:tcW w:w="0" w:type="dxa"/>
            <w:vAlign w:val="bottom"/>
          </w:tcPr>
          <w:p>
            <w:pPr>
              <w:spacing w:after="0"/>
              <w:rPr>
                <w:sz w:val="1"/>
                <w:szCs w:val="1"/>
                <w:color w:val="auto"/>
              </w:rPr>
            </w:pPr>
          </w:p>
        </w:tc>
      </w:tr>
      <w:tr>
        <w:trPr>
          <w:trHeight w:val="105"/>
        </w:trPr>
        <w:tc>
          <w:tcPr>
            <w:tcW w:w="2380" w:type="dxa"/>
            <w:vAlign w:val="bottom"/>
          </w:tcPr>
          <w:p>
            <w:pPr>
              <w:spacing w:after="0"/>
              <w:rPr>
                <w:sz w:val="9"/>
                <w:szCs w:val="9"/>
                <w:color w:val="auto"/>
              </w:rPr>
            </w:pPr>
          </w:p>
        </w:tc>
        <w:tc>
          <w:tcPr>
            <w:tcW w:w="20" w:type="dxa"/>
            <w:vAlign w:val="bottom"/>
          </w:tcPr>
          <w:p>
            <w:pPr>
              <w:spacing w:after="0"/>
              <w:rPr>
                <w:sz w:val="9"/>
                <w:szCs w:val="9"/>
                <w:color w:val="auto"/>
              </w:rPr>
            </w:pPr>
          </w:p>
        </w:tc>
        <w:tc>
          <w:tcPr>
            <w:tcW w:w="3040" w:type="dxa"/>
            <w:vAlign w:val="bottom"/>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820" w:type="dxa"/>
            <w:vAlign w:val="bottom"/>
            <w:tcBorders>
              <w:top w:val="single" w:sz="8" w:color="auto"/>
            </w:tcBorders>
            <w:vMerge w:val="restart"/>
          </w:tcPr>
          <w:p>
            <w:pPr>
              <w:jc w:val="right"/>
              <w:ind w:right="324"/>
              <w:spacing w:after="0"/>
              <w:rPr>
                <w:sz w:val="20"/>
                <w:szCs w:val="20"/>
                <w:color w:val="auto"/>
              </w:rPr>
            </w:pPr>
            <w:r>
              <w:rPr>
                <w:rFonts w:ascii="Arial" w:cs="Arial" w:eastAsia="Arial" w:hAnsi="Arial"/>
                <w:sz w:val="13"/>
                <w:szCs w:val="13"/>
                <w:b w:val="1"/>
                <w:bCs w:val="1"/>
                <w:color w:val="auto"/>
              </w:rPr>
              <w:t>2017</w:t>
            </w:r>
          </w:p>
        </w:tc>
        <w:tc>
          <w:tcPr>
            <w:tcW w:w="18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840" w:type="dxa"/>
            <w:vAlign w:val="bottom"/>
            <w:tcBorders>
              <w:top w:val="single" w:sz="8" w:color="auto"/>
            </w:tcBorders>
            <w:vMerge w:val="restart"/>
          </w:tcPr>
          <w:p>
            <w:pPr>
              <w:jc w:val="right"/>
              <w:ind w:right="342"/>
              <w:spacing w:after="0"/>
              <w:rPr>
                <w:sz w:val="20"/>
                <w:szCs w:val="20"/>
                <w:color w:val="auto"/>
              </w:rPr>
            </w:pPr>
            <w:r>
              <w:rPr>
                <w:rFonts w:ascii="Arial" w:cs="Arial" w:eastAsia="Arial" w:hAnsi="Arial"/>
                <w:sz w:val="13"/>
                <w:szCs w:val="13"/>
                <w:b w:val="1"/>
                <w:bCs w:val="1"/>
                <w:color w:val="auto"/>
              </w:rPr>
              <w:t>2016</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5440" w:type="dxa"/>
            <w:vAlign w:val="bottom"/>
            <w:gridSpan w:val="3"/>
          </w:tcPr>
          <w:p>
            <w:pPr>
              <w:spacing w:after="0"/>
              <w:rPr>
                <w:sz w:val="20"/>
                <w:szCs w:val="20"/>
                <w:color w:val="auto"/>
              </w:rPr>
            </w:pPr>
            <w:r>
              <w:rPr>
                <w:rFonts w:ascii="Arial" w:cs="Arial" w:eastAsia="Arial" w:hAnsi="Arial"/>
                <w:sz w:val="13"/>
                <w:szCs w:val="13"/>
                <w:color w:val="auto"/>
              </w:rPr>
              <w:t>(in millions)</w:t>
            </w:r>
          </w:p>
        </w:tc>
        <w:tc>
          <w:tcPr>
            <w:tcW w:w="24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178"/>
        </w:trPr>
        <w:tc>
          <w:tcPr>
            <w:tcW w:w="2400" w:type="dxa"/>
            <w:vAlign w:val="bottom"/>
            <w:tcBorders>
              <w:top w:val="single" w:sz="8" w:color="CFF0FC"/>
              <w:bottom w:val="single" w:sz="8" w:color="auto"/>
            </w:tcBorders>
            <w:gridSpan w:val="2"/>
            <w:shd w:val="clear" w:color="auto" w:fill="CFF0FC"/>
          </w:tcPr>
          <w:p>
            <w:pPr>
              <w:spacing w:after="0" w:line="161" w:lineRule="exact"/>
              <w:rPr>
                <w:sz w:val="20"/>
                <w:szCs w:val="20"/>
                <w:color w:val="auto"/>
              </w:rPr>
            </w:pPr>
            <w:r>
              <w:rPr>
                <w:rFonts w:ascii="Arial" w:cs="Arial" w:eastAsia="Arial" w:hAnsi="Arial"/>
                <w:sz w:val="16"/>
                <w:szCs w:val="16"/>
                <w:color w:val="auto"/>
                <w:w w:val="92"/>
              </w:rPr>
              <w:t>Cash flows from operating activities:</w:t>
            </w:r>
          </w:p>
        </w:tc>
        <w:tc>
          <w:tcPr>
            <w:tcW w:w="3040" w:type="dxa"/>
            <w:vAlign w:val="bottom"/>
            <w:tcBorders>
              <w:top w:val="single" w:sz="8" w:color="CFF0FC"/>
              <w:bottom w:val="single" w:sz="8" w:color="CFF0FC"/>
            </w:tcBorders>
            <w:shd w:val="clear" w:color="auto" w:fill="CFF0FC"/>
          </w:tcPr>
          <w:p>
            <w:pPr>
              <w:spacing w:after="0"/>
              <w:rPr>
                <w:sz w:val="15"/>
                <w:szCs w:val="15"/>
                <w:color w:val="auto"/>
              </w:rPr>
            </w:pPr>
          </w:p>
        </w:tc>
        <w:tc>
          <w:tcPr>
            <w:tcW w:w="240" w:type="dxa"/>
            <w:vAlign w:val="bottom"/>
            <w:tcBorders>
              <w:top w:val="single" w:sz="8" w:color="auto"/>
              <w:bottom w:val="single" w:sz="8" w:color="CFF0FC"/>
            </w:tcBorders>
            <w:shd w:val="clear" w:color="auto" w:fill="CFF0FC"/>
          </w:tcPr>
          <w:p>
            <w:pPr>
              <w:spacing w:after="0"/>
              <w:rPr>
                <w:sz w:val="15"/>
                <w:szCs w:val="15"/>
                <w:color w:val="auto"/>
              </w:rPr>
            </w:pPr>
          </w:p>
        </w:tc>
        <w:tc>
          <w:tcPr>
            <w:tcW w:w="820" w:type="dxa"/>
            <w:vAlign w:val="bottom"/>
            <w:tcBorders>
              <w:top w:val="single" w:sz="8" w:color="auto"/>
              <w:bottom w:val="single" w:sz="8" w:color="CFF0FC"/>
            </w:tcBorders>
            <w:shd w:val="clear" w:color="auto" w:fill="CFF0FC"/>
          </w:tcPr>
          <w:p>
            <w:pPr>
              <w:spacing w:after="0"/>
              <w:rPr>
                <w:sz w:val="15"/>
                <w:szCs w:val="15"/>
                <w:color w:val="auto"/>
              </w:rPr>
            </w:pPr>
          </w:p>
        </w:tc>
        <w:tc>
          <w:tcPr>
            <w:tcW w:w="180" w:type="dxa"/>
            <w:vAlign w:val="bottom"/>
            <w:tcBorders>
              <w:top w:val="single" w:sz="8" w:color="CFF0FC"/>
              <w:bottom w:val="single" w:sz="8" w:color="CFF0FC"/>
            </w:tcBorders>
            <w:shd w:val="clear" w:color="auto" w:fill="CFF0FC"/>
          </w:tcPr>
          <w:p>
            <w:pPr>
              <w:spacing w:after="0"/>
              <w:rPr>
                <w:sz w:val="15"/>
                <w:szCs w:val="15"/>
                <w:color w:val="auto"/>
              </w:rPr>
            </w:pPr>
          </w:p>
        </w:tc>
        <w:tc>
          <w:tcPr>
            <w:tcW w:w="240" w:type="dxa"/>
            <w:vAlign w:val="bottom"/>
            <w:tcBorders>
              <w:top w:val="single" w:sz="8" w:color="auto"/>
              <w:bottom w:val="single" w:sz="8" w:color="CFF0FC"/>
            </w:tcBorders>
            <w:shd w:val="clear" w:color="auto" w:fill="CFF0FC"/>
          </w:tcPr>
          <w:p>
            <w:pPr>
              <w:spacing w:after="0"/>
              <w:rPr>
                <w:sz w:val="15"/>
                <w:szCs w:val="15"/>
                <w:color w:val="auto"/>
              </w:rPr>
            </w:pPr>
          </w:p>
        </w:tc>
        <w:tc>
          <w:tcPr>
            <w:tcW w:w="840" w:type="dxa"/>
            <w:vAlign w:val="bottom"/>
            <w:tcBorders>
              <w:top w:val="single" w:sz="8" w:color="auto"/>
              <w:bottom w:val="single" w:sz="8" w:color="CFF0FC"/>
            </w:tcBorders>
            <w:shd w:val="clear" w:color="auto" w:fill="CFF0FC"/>
          </w:tcPr>
          <w:p>
            <w:pPr>
              <w:spacing w:after="0"/>
              <w:rPr>
                <w:sz w:val="15"/>
                <w:szCs w:val="15"/>
                <w:color w:val="auto"/>
              </w:rPr>
            </w:pPr>
          </w:p>
        </w:tc>
        <w:tc>
          <w:tcPr>
            <w:tcW w:w="220" w:type="dxa"/>
            <w:vAlign w:val="bottom"/>
            <w:tcBorders>
              <w:top w:val="single" w:sz="8" w:color="CFF0FC"/>
              <w:bottom w:val="single" w:sz="8" w:color="CFF0FC"/>
            </w:tcBorders>
            <w:shd w:val="clear" w:color="auto" w:fill="CFF0FC"/>
          </w:tcPr>
          <w:p>
            <w:pPr>
              <w:spacing w:after="0"/>
              <w:rPr>
                <w:sz w:val="15"/>
                <w:szCs w:val="15"/>
                <w:color w:val="auto"/>
              </w:rPr>
            </w:pPr>
          </w:p>
        </w:tc>
        <w:tc>
          <w:tcPr>
            <w:tcW w:w="80" w:type="dxa"/>
            <w:vAlign w:val="bottom"/>
            <w:tcBorders>
              <w:top w:val="single" w:sz="8" w:color="auto"/>
              <w:bottom w:val="single" w:sz="8" w:color="CFF0FC"/>
            </w:tcBorders>
            <w:shd w:val="clear" w:color="auto" w:fill="CFF0FC"/>
          </w:tcPr>
          <w:p>
            <w:pPr>
              <w:spacing w:after="0"/>
              <w:rPr>
                <w:sz w:val="15"/>
                <w:szCs w:val="15"/>
                <w:color w:val="auto"/>
              </w:rPr>
            </w:pPr>
          </w:p>
        </w:tc>
        <w:tc>
          <w:tcPr>
            <w:tcW w:w="1000" w:type="dxa"/>
            <w:vAlign w:val="bottom"/>
            <w:tcBorders>
              <w:top w:val="single" w:sz="8" w:color="auto"/>
              <w:bottom w:val="single" w:sz="8" w:color="CFF0FC"/>
            </w:tcBorders>
            <w:shd w:val="clear" w:color="auto" w:fill="CFF0FC"/>
          </w:tcPr>
          <w:p>
            <w:pPr>
              <w:spacing w:after="0"/>
              <w:rPr>
                <w:sz w:val="15"/>
                <w:szCs w:val="15"/>
                <w:color w:val="auto"/>
              </w:rPr>
            </w:pPr>
          </w:p>
        </w:tc>
        <w:tc>
          <w:tcPr>
            <w:tcW w:w="80" w:type="dxa"/>
            <w:vAlign w:val="bottom"/>
            <w:tcBorders>
              <w:top w:val="single" w:sz="8" w:color="CFF0FC"/>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5440" w:type="dxa"/>
            <w:vAlign w:val="bottom"/>
            <w:gridSpan w:val="3"/>
          </w:tcPr>
          <w:p>
            <w:pPr>
              <w:spacing w:after="0"/>
              <w:rPr>
                <w:sz w:val="20"/>
                <w:szCs w:val="20"/>
                <w:color w:val="auto"/>
              </w:rPr>
            </w:pPr>
            <w:r>
              <w:rPr>
                <w:rFonts w:ascii="Arial" w:cs="Arial" w:eastAsia="Arial" w:hAnsi="Arial"/>
                <w:sz w:val="16"/>
                <w:szCs w:val="16"/>
                <w:color w:val="auto"/>
              </w:rPr>
              <w:t>Net cash used in operating activities</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(67)</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(15)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0"/>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178"/>
        </w:trPr>
        <w:tc>
          <w:tcPr>
            <w:tcW w:w="2380" w:type="dxa"/>
            <w:vAlign w:val="bottom"/>
            <w:tcBorders>
              <w:top w:val="single" w:sz="8" w:color="CFF0FC"/>
              <w:bottom w:val="single" w:sz="8" w:color="auto"/>
            </w:tcBorders>
            <w:shd w:val="clear" w:color="auto" w:fill="CFF0FC"/>
          </w:tcPr>
          <w:p>
            <w:pPr>
              <w:spacing w:after="0" w:line="161" w:lineRule="exact"/>
              <w:rPr>
                <w:sz w:val="20"/>
                <w:szCs w:val="20"/>
                <w:color w:val="auto"/>
              </w:rPr>
            </w:pPr>
            <w:r>
              <w:rPr>
                <w:rFonts w:ascii="Arial" w:cs="Arial" w:eastAsia="Arial" w:hAnsi="Arial"/>
                <w:sz w:val="16"/>
                <w:szCs w:val="16"/>
                <w:color w:val="auto"/>
                <w:w w:val="93"/>
              </w:rPr>
              <w:t>Cash flows from investing activities:</w:t>
            </w:r>
          </w:p>
        </w:tc>
        <w:tc>
          <w:tcPr>
            <w:tcW w:w="3060" w:type="dxa"/>
            <w:vAlign w:val="bottom"/>
            <w:tcBorders>
              <w:top w:val="single" w:sz="8" w:color="CFF0FC"/>
              <w:bottom w:val="single" w:sz="8" w:color="CFF0FC"/>
            </w:tcBorders>
            <w:gridSpan w:val="2"/>
            <w:shd w:val="clear" w:color="auto" w:fill="CFF0FC"/>
          </w:tcPr>
          <w:p>
            <w:pPr>
              <w:spacing w:after="0"/>
              <w:rPr>
                <w:sz w:val="15"/>
                <w:szCs w:val="15"/>
                <w:color w:val="auto"/>
              </w:rPr>
            </w:pPr>
          </w:p>
        </w:tc>
        <w:tc>
          <w:tcPr>
            <w:tcW w:w="240" w:type="dxa"/>
            <w:vAlign w:val="bottom"/>
            <w:tcBorders>
              <w:top w:val="single" w:sz="8" w:color="auto"/>
              <w:bottom w:val="single" w:sz="8" w:color="CFF0FC"/>
            </w:tcBorders>
            <w:shd w:val="clear" w:color="auto" w:fill="CFF0FC"/>
          </w:tcPr>
          <w:p>
            <w:pPr>
              <w:spacing w:after="0"/>
              <w:rPr>
                <w:sz w:val="15"/>
                <w:szCs w:val="15"/>
                <w:color w:val="auto"/>
              </w:rPr>
            </w:pPr>
          </w:p>
        </w:tc>
        <w:tc>
          <w:tcPr>
            <w:tcW w:w="820" w:type="dxa"/>
            <w:vAlign w:val="bottom"/>
            <w:tcBorders>
              <w:top w:val="single" w:sz="8" w:color="auto"/>
              <w:bottom w:val="single" w:sz="8" w:color="CFF0FC"/>
            </w:tcBorders>
            <w:shd w:val="clear" w:color="auto" w:fill="CFF0FC"/>
          </w:tcPr>
          <w:p>
            <w:pPr>
              <w:spacing w:after="0"/>
              <w:rPr>
                <w:sz w:val="15"/>
                <w:szCs w:val="15"/>
                <w:color w:val="auto"/>
              </w:rPr>
            </w:pPr>
          </w:p>
        </w:tc>
        <w:tc>
          <w:tcPr>
            <w:tcW w:w="180" w:type="dxa"/>
            <w:vAlign w:val="bottom"/>
            <w:tcBorders>
              <w:top w:val="single" w:sz="8" w:color="CFF0FC"/>
              <w:bottom w:val="single" w:sz="8" w:color="CFF0FC"/>
            </w:tcBorders>
            <w:shd w:val="clear" w:color="auto" w:fill="CFF0FC"/>
          </w:tcPr>
          <w:p>
            <w:pPr>
              <w:spacing w:after="0"/>
              <w:rPr>
                <w:sz w:val="15"/>
                <w:szCs w:val="15"/>
                <w:color w:val="auto"/>
              </w:rPr>
            </w:pPr>
          </w:p>
        </w:tc>
        <w:tc>
          <w:tcPr>
            <w:tcW w:w="240" w:type="dxa"/>
            <w:vAlign w:val="bottom"/>
            <w:tcBorders>
              <w:top w:val="single" w:sz="8" w:color="auto"/>
              <w:bottom w:val="single" w:sz="8" w:color="CFF0FC"/>
            </w:tcBorders>
            <w:shd w:val="clear" w:color="auto" w:fill="CFF0FC"/>
          </w:tcPr>
          <w:p>
            <w:pPr>
              <w:spacing w:after="0"/>
              <w:rPr>
                <w:sz w:val="15"/>
                <w:szCs w:val="15"/>
                <w:color w:val="auto"/>
              </w:rPr>
            </w:pPr>
          </w:p>
        </w:tc>
        <w:tc>
          <w:tcPr>
            <w:tcW w:w="840" w:type="dxa"/>
            <w:vAlign w:val="bottom"/>
            <w:tcBorders>
              <w:top w:val="single" w:sz="8" w:color="auto"/>
              <w:bottom w:val="single" w:sz="8" w:color="CFF0FC"/>
            </w:tcBorders>
            <w:shd w:val="clear" w:color="auto" w:fill="CFF0FC"/>
          </w:tcPr>
          <w:p>
            <w:pPr>
              <w:spacing w:after="0"/>
              <w:rPr>
                <w:sz w:val="15"/>
                <w:szCs w:val="15"/>
                <w:color w:val="auto"/>
              </w:rPr>
            </w:pPr>
          </w:p>
        </w:tc>
        <w:tc>
          <w:tcPr>
            <w:tcW w:w="220" w:type="dxa"/>
            <w:vAlign w:val="bottom"/>
            <w:tcBorders>
              <w:top w:val="single" w:sz="8" w:color="CFF0FC"/>
              <w:bottom w:val="single" w:sz="8" w:color="CFF0FC"/>
            </w:tcBorders>
            <w:shd w:val="clear" w:color="auto" w:fill="CFF0FC"/>
          </w:tcPr>
          <w:p>
            <w:pPr>
              <w:spacing w:after="0"/>
              <w:rPr>
                <w:sz w:val="15"/>
                <w:szCs w:val="15"/>
                <w:color w:val="auto"/>
              </w:rPr>
            </w:pPr>
          </w:p>
        </w:tc>
        <w:tc>
          <w:tcPr>
            <w:tcW w:w="80" w:type="dxa"/>
            <w:vAlign w:val="bottom"/>
            <w:tcBorders>
              <w:top w:val="single" w:sz="8" w:color="auto"/>
              <w:bottom w:val="single" w:sz="8" w:color="CFF0FC"/>
            </w:tcBorders>
            <w:shd w:val="clear" w:color="auto" w:fill="CFF0FC"/>
          </w:tcPr>
          <w:p>
            <w:pPr>
              <w:spacing w:after="0"/>
              <w:rPr>
                <w:sz w:val="15"/>
                <w:szCs w:val="15"/>
                <w:color w:val="auto"/>
              </w:rPr>
            </w:pPr>
          </w:p>
        </w:tc>
        <w:tc>
          <w:tcPr>
            <w:tcW w:w="1000" w:type="dxa"/>
            <w:vAlign w:val="bottom"/>
            <w:tcBorders>
              <w:top w:val="single" w:sz="8" w:color="auto"/>
              <w:bottom w:val="single" w:sz="8" w:color="CFF0FC"/>
            </w:tcBorders>
            <w:shd w:val="clear" w:color="auto" w:fill="CFF0FC"/>
          </w:tcPr>
          <w:p>
            <w:pPr>
              <w:spacing w:after="0"/>
              <w:rPr>
                <w:sz w:val="15"/>
                <w:szCs w:val="15"/>
                <w:color w:val="auto"/>
              </w:rPr>
            </w:pPr>
          </w:p>
        </w:tc>
        <w:tc>
          <w:tcPr>
            <w:tcW w:w="80" w:type="dxa"/>
            <w:vAlign w:val="bottom"/>
            <w:tcBorders>
              <w:top w:val="single" w:sz="8" w:color="CFF0FC"/>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5440" w:type="dxa"/>
            <w:vAlign w:val="bottom"/>
            <w:gridSpan w:val="3"/>
          </w:tcPr>
          <w:p>
            <w:pPr>
              <w:spacing w:after="0"/>
              <w:rPr>
                <w:sz w:val="20"/>
                <w:szCs w:val="20"/>
                <w:color w:val="auto"/>
              </w:rPr>
            </w:pPr>
            <w:r>
              <w:rPr>
                <w:rFonts w:ascii="Arial" w:cs="Arial" w:eastAsia="Arial" w:hAnsi="Arial"/>
                <w:sz w:val="16"/>
                <w:szCs w:val="16"/>
                <w:color w:val="auto"/>
              </w:rPr>
              <w:t>Net cash used in investing activities</w:t>
            </w:r>
          </w:p>
        </w:tc>
        <w:tc>
          <w:tcPr>
            <w:tcW w:w="24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(24)</w:t>
            </w:r>
          </w:p>
        </w:tc>
        <w:tc>
          <w:tcPr>
            <w:tcW w:w="24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(29)</w:t>
            </w:r>
          </w:p>
        </w:tc>
        <w:tc>
          <w:tcPr>
            <w:tcW w:w="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2400" w:type="dxa"/>
            <w:vAlign w:val="bottom"/>
            <w:tcBorders>
              <w:top w:val="single" w:sz="8" w:color="CFF0FC"/>
              <w:bottom w:val="single" w:sz="8" w:color="auto"/>
            </w:tcBorders>
            <w:gridSpan w:val="2"/>
            <w:shd w:val="clear" w:color="auto" w:fill="CFF0FC"/>
          </w:tcPr>
          <w:p>
            <w:pPr>
              <w:spacing w:after="0" w:line="161" w:lineRule="exact"/>
              <w:rPr>
                <w:sz w:val="20"/>
                <w:szCs w:val="20"/>
                <w:color w:val="auto"/>
              </w:rPr>
            </w:pPr>
            <w:r>
              <w:rPr>
                <w:rFonts w:ascii="Arial" w:cs="Arial" w:eastAsia="Arial" w:hAnsi="Arial"/>
                <w:sz w:val="16"/>
                <w:szCs w:val="16"/>
                <w:color w:val="auto"/>
                <w:w w:val="93"/>
              </w:rPr>
              <w:t>Cash flows from financing activities:</w:t>
            </w:r>
          </w:p>
        </w:tc>
        <w:tc>
          <w:tcPr>
            <w:tcW w:w="3040" w:type="dxa"/>
            <w:vAlign w:val="bottom"/>
            <w:tcBorders>
              <w:top w:val="single" w:sz="8" w:color="CFF0FC"/>
              <w:bottom w:val="single" w:sz="8" w:color="CFF0FC"/>
            </w:tcBorders>
            <w:shd w:val="clear" w:color="auto" w:fill="CFF0FC"/>
          </w:tcPr>
          <w:p>
            <w:pPr>
              <w:spacing w:after="0"/>
              <w:rPr>
                <w:sz w:val="15"/>
                <w:szCs w:val="15"/>
                <w:color w:val="auto"/>
              </w:rPr>
            </w:pPr>
          </w:p>
        </w:tc>
        <w:tc>
          <w:tcPr>
            <w:tcW w:w="240" w:type="dxa"/>
            <w:vAlign w:val="bottom"/>
            <w:tcBorders>
              <w:top w:val="single" w:sz="8" w:color="auto"/>
              <w:bottom w:val="single" w:sz="8" w:color="CFF0FC"/>
            </w:tcBorders>
            <w:shd w:val="clear" w:color="auto" w:fill="CFF0FC"/>
          </w:tcPr>
          <w:p>
            <w:pPr>
              <w:spacing w:after="0"/>
              <w:rPr>
                <w:sz w:val="15"/>
                <w:szCs w:val="15"/>
                <w:color w:val="auto"/>
              </w:rPr>
            </w:pPr>
          </w:p>
        </w:tc>
        <w:tc>
          <w:tcPr>
            <w:tcW w:w="820" w:type="dxa"/>
            <w:vAlign w:val="bottom"/>
            <w:tcBorders>
              <w:top w:val="single" w:sz="8" w:color="auto"/>
              <w:bottom w:val="single" w:sz="8" w:color="CFF0FC"/>
            </w:tcBorders>
            <w:shd w:val="clear" w:color="auto" w:fill="CFF0FC"/>
          </w:tcPr>
          <w:p>
            <w:pPr>
              <w:spacing w:after="0"/>
              <w:rPr>
                <w:sz w:val="15"/>
                <w:szCs w:val="15"/>
                <w:color w:val="auto"/>
              </w:rPr>
            </w:pPr>
          </w:p>
        </w:tc>
        <w:tc>
          <w:tcPr>
            <w:tcW w:w="180" w:type="dxa"/>
            <w:vAlign w:val="bottom"/>
            <w:tcBorders>
              <w:top w:val="single" w:sz="8" w:color="CFF0FC"/>
              <w:bottom w:val="single" w:sz="8" w:color="CFF0FC"/>
            </w:tcBorders>
            <w:shd w:val="clear" w:color="auto" w:fill="CFF0FC"/>
          </w:tcPr>
          <w:p>
            <w:pPr>
              <w:spacing w:after="0"/>
              <w:rPr>
                <w:sz w:val="15"/>
                <w:szCs w:val="15"/>
                <w:color w:val="auto"/>
              </w:rPr>
            </w:pPr>
          </w:p>
        </w:tc>
        <w:tc>
          <w:tcPr>
            <w:tcW w:w="240" w:type="dxa"/>
            <w:vAlign w:val="bottom"/>
            <w:tcBorders>
              <w:top w:val="single" w:sz="8" w:color="auto"/>
              <w:bottom w:val="single" w:sz="8" w:color="CFF0FC"/>
            </w:tcBorders>
            <w:shd w:val="clear" w:color="auto" w:fill="CFF0FC"/>
          </w:tcPr>
          <w:p>
            <w:pPr>
              <w:spacing w:after="0"/>
              <w:rPr>
                <w:sz w:val="15"/>
                <w:szCs w:val="15"/>
                <w:color w:val="auto"/>
              </w:rPr>
            </w:pPr>
          </w:p>
        </w:tc>
        <w:tc>
          <w:tcPr>
            <w:tcW w:w="840" w:type="dxa"/>
            <w:vAlign w:val="bottom"/>
            <w:tcBorders>
              <w:top w:val="single" w:sz="8" w:color="auto"/>
              <w:bottom w:val="single" w:sz="8" w:color="CFF0FC"/>
            </w:tcBorders>
            <w:shd w:val="clear" w:color="auto" w:fill="CFF0FC"/>
          </w:tcPr>
          <w:p>
            <w:pPr>
              <w:spacing w:after="0"/>
              <w:rPr>
                <w:sz w:val="15"/>
                <w:szCs w:val="15"/>
                <w:color w:val="auto"/>
              </w:rPr>
            </w:pPr>
          </w:p>
        </w:tc>
        <w:tc>
          <w:tcPr>
            <w:tcW w:w="220" w:type="dxa"/>
            <w:vAlign w:val="bottom"/>
            <w:tcBorders>
              <w:top w:val="single" w:sz="8" w:color="CFF0FC"/>
              <w:bottom w:val="single" w:sz="8" w:color="CFF0FC"/>
            </w:tcBorders>
            <w:shd w:val="clear" w:color="auto" w:fill="CFF0FC"/>
          </w:tcPr>
          <w:p>
            <w:pPr>
              <w:spacing w:after="0"/>
              <w:rPr>
                <w:sz w:val="15"/>
                <w:szCs w:val="15"/>
                <w:color w:val="auto"/>
              </w:rPr>
            </w:pPr>
          </w:p>
        </w:tc>
        <w:tc>
          <w:tcPr>
            <w:tcW w:w="80" w:type="dxa"/>
            <w:vAlign w:val="bottom"/>
            <w:tcBorders>
              <w:top w:val="single" w:sz="8" w:color="auto"/>
              <w:bottom w:val="single" w:sz="8" w:color="CFF0FC"/>
            </w:tcBorders>
            <w:shd w:val="clear" w:color="auto" w:fill="CFF0FC"/>
          </w:tcPr>
          <w:p>
            <w:pPr>
              <w:spacing w:after="0"/>
              <w:rPr>
                <w:sz w:val="15"/>
                <w:szCs w:val="15"/>
                <w:color w:val="auto"/>
              </w:rPr>
            </w:pPr>
          </w:p>
        </w:tc>
        <w:tc>
          <w:tcPr>
            <w:tcW w:w="1000" w:type="dxa"/>
            <w:vAlign w:val="bottom"/>
            <w:tcBorders>
              <w:top w:val="single" w:sz="8" w:color="auto"/>
              <w:bottom w:val="single" w:sz="8" w:color="CFF0FC"/>
            </w:tcBorders>
            <w:shd w:val="clear" w:color="auto" w:fill="CFF0FC"/>
          </w:tcPr>
          <w:p>
            <w:pPr>
              <w:spacing w:after="0"/>
              <w:rPr>
                <w:sz w:val="15"/>
                <w:szCs w:val="15"/>
                <w:color w:val="auto"/>
              </w:rPr>
            </w:pPr>
          </w:p>
        </w:tc>
        <w:tc>
          <w:tcPr>
            <w:tcW w:w="80" w:type="dxa"/>
            <w:vAlign w:val="bottom"/>
            <w:tcBorders>
              <w:top w:val="single" w:sz="8" w:color="CFF0FC"/>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5440" w:type="dxa"/>
            <w:vAlign w:val="bottom"/>
            <w:gridSpan w:val="3"/>
          </w:tcPr>
          <w:p>
            <w:pPr>
              <w:spacing w:after="0"/>
              <w:rPr>
                <w:sz w:val="20"/>
                <w:szCs w:val="20"/>
                <w:color w:val="auto"/>
              </w:rPr>
            </w:pPr>
            <w:r>
              <w:rPr>
                <w:rFonts w:ascii="Arial" w:cs="Arial" w:eastAsia="Arial" w:hAnsi="Arial"/>
                <w:sz w:val="16"/>
                <w:szCs w:val="16"/>
                <w:color w:val="auto"/>
              </w:rPr>
              <w:t>Net cash used in financing activities</w:t>
            </w:r>
          </w:p>
        </w:tc>
        <w:tc>
          <w:tcPr>
            <w:tcW w:w="24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(29)</w:t>
            </w:r>
          </w:p>
        </w:tc>
        <w:tc>
          <w:tcPr>
            <w:tcW w:w="24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(72)</w:t>
            </w:r>
          </w:p>
        </w:tc>
        <w:tc>
          <w:tcPr>
            <w:tcW w:w="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40" w:type="dxa"/>
            <w:vAlign w:val="bottom"/>
            <w:gridSpan w:val="3"/>
            <w:vMerge w:val="restart"/>
            <w:shd w:val="clear" w:color="auto" w:fill="CFF0FC"/>
          </w:tcPr>
          <w:p>
            <w:pPr>
              <w:spacing w:after="0"/>
              <w:rPr>
                <w:sz w:val="20"/>
                <w:szCs w:val="20"/>
                <w:color w:val="auto"/>
              </w:rPr>
            </w:pPr>
            <w:r>
              <w:rPr>
                <w:rFonts w:ascii="Arial" w:cs="Arial" w:eastAsia="Arial" w:hAnsi="Arial"/>
                <w:sz w:val="16"/>
                <w:szCs w:val="16"/>
                <w:color w:val="auto"/>
              </w:rPr>
              <w:t>Effect of exchange rate changes on cash</w:t>
            </w: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5440" w:type="dxa"/>
            <w:vAlign w:val="bottom"/>
            <w:gridSpan w:val="3"/>
            <w:vMerge w:val="continue"/>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w:t>
            </w: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(6)</w:t>
            </w:r>
          </w:p>
        </w:tc>
        <w:tc>
          <w:tcPr>
            <w:tcW w:w="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440" w:type="dxa"/>
            <w:vAlign w:val="bottom"/>
            <w:gridSpan w:val="3"/>
          </w:tcPr>
          <w:p>
            <w:pPr>
              <w:spacing w:after="0"/>
              <w:rPr>
                <w:sz w:val="20"/>
                <w:szCs w:val="20"/>
                <w:color w:val="auto"/>
              </w:rPr>
            </w:pPr>
            <w:r>
              <w:rPr>
                <w:rFonts w:ascii="Arial" w:cs="Arial" w:eastAsia="Arial" w:hAnsi="Arial"/>
                <w:sz w:val="16"/>
                <w:szCs w:val="16"/>
                <w:color w:val="auto"/>
              </w:rPr>
              <w:t>Net decrease in cash, cash equivalents and restricted cash</w:t>
            </w:r>
          </w:p>
        </w:tc>
        <w:tc>
          <w:tcPr>
            <w:tcW w:w="240" w:type="dxa"/>
            <w:vAlign w:val="bottom"/>
            <w:tcBorders>
              <w:top w:val="single" w:sz="8" w:color="auto"/>
              <w:bottom w:val="single" w:sz="8" w:color="auto"/>
            </w:tcBorders>
          </w:tcPr>
          <w:p>
            <w:pPr>
              <w:jc w:val="right"/>
              <w:ind w:right="84"/>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(109)</w:t>
            </w:r>
          </w:p>
        </w:tc>
        <w:tc>
          <w:tcPr>
            <w:tcW w:w="18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84"/>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(122)</w:t>
            </w:r>
          </w:p>
        </w:tc>
        <w:tc>
          <w:tcPr>
            <w:tcW w:w="22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Operating Activities</w:t>
      </w:r>
    </w:p>
    <w:p>
      <w:pPr>
        <w:spacing w:after="0" w:line="106" w:lineRule="exact"/>
        <w:rPr>
          <w:sz w:val="20"/>
          <w:szCs w:val="20"/>
          <w:color w:val="auto"/>
        </w:rPr>
      </w:pPr>
    </w:p>
    <w:p>
      <w:pPr>
        <w:ind w:right="340"/>
        <w:spacing w:after="0" w:line="280" w:lineRule="auto"/>
        <w:rPr>
          <w:sz w:val="20"/>
          <w:szCs w:val="20"/>
          <w:color w:val="auto"/>
        </w:rPr>
      </w:pPr>
      <w:r>
        <w:rPr>
          <w:rFonts w:ascii="Arial" w:cs="Arial" w:eastAsia="Arial" w:hAnsi="Arial"/>
          <w:sz w:val="16"/>
          <w:szCs w:val="16"/>
          <w:color w:val="auto"/>
        </w:rPr>
        <w:t>Net cash used in operating activities increased $52 million for the year ended December 31, 2017 as compared with the prior year primarily due to increased cash usage for working capital and lower cash earnings, partially offset by reduced payments for other liabilities in the current year.</w:t>
      </w:r>
    </w:p>
    <w:p>
      <w:pPr>
        <w:spacing w:after="0" w:line="54" w:lineRule="exact"/>
        <w:rPr>
          <w:sz w:val="20"/>
          <w:szCs w:val="20"/>
          <w:color w:val="auto"/>
        </w:rPr>
      </w:pPr>
    </w:p>
    <w:p>
      <w:pPr>
        <w:ind w:right="640"/>
        <w:spacing w:after="0" w:line="280" w:lineRule="auto"/>
        <w:rPr>
          <w:sz w:val="20"/>
          <w:szCs w:val="20"/>
          <w:color w:val="auto"/>
        </w:rPr>
      </w:pPr>
      <w:r>
        <w:rPr>
          <w:rFonts w:ascii="Arial" w:cs="Arial" w:eastAsia="Arial" w:hAnsi="Arial"/>
          <w:sz w:val="16"/>
          <w:szCs w:val="16"/>
          <w:color w:val="auto"/>
        </w:rPr>
        <w:t>Cash earnings included lower interest expense ($28 million) in the current year period primarily due to the prepayment of the Senior Secured Second Lien Term Credit Agreement and $10 million in net litigation proceeds from DuPont received in the prior year period.</w:t>
      </w:r>
    </w:p>
    <w:p>
      <w:pPr>
        <w:spacing w:after="0" w:line="5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Investing Activities</w:t>
      </w:r>
    </w:p>
    <w:p>
      <w:pPr>
        <w:spacing w:after="0" w:line="106" w:lineRule="exact"/>
        <w:rPr>
          <w:sz w:val="20"/>
          <w:szCs w:val="20"/>
          <w:color w:val="auto"/>
        </w:rPr>
      </w:pPr>
    </w:p>
    <w:p>
      <w:pPr>
        <w:spacing w:after="0" w:line="280" w:lineRule="auto"/>
        <w:rPr>
          <w:sz w:val="20"/>
          <w:szCs w:val="20"/>
          <w:color w:val="auto"/>
        </w:rPr>
      </w:pPr>
      <w:r>
        <w:rPr>
          <w:rFonts w:ascii="Arial" w:cs="Arial" w:eastAsia="Arial" w:hAnsi="Arial"/>
          <w:sz w:val="16"/>
          <w:szCs w:val="16"/>
          <w:color w:val="auto"/>
        </w:rPr>
        <w:t>Net cash used in investing activities improved $5 million for the year ended December 31, 2017 as compared to the prior year due to lower levels of capital expenditures and the impact of the $3 million reduction in cash due to the deconsolidation of RED in the prior year.</w:t>
      </w:r>
    </w:p>
    <w:p>
      <w:pPr>
        <w:spacing w:after="0" w:line="5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Financing Activities</w:t>
      </w:r>
    </w:p>
    <w:p>
      <w:pPr>
        <w:spacing w:after="0" w:line="106" w:lineRule="exact"/>
        <w:rPr>
          <w:sz w:val="20"/>
          <w:szCs w:val="20"/>
          <w:color w:val="auto"/>
        </w:rPr>
      </w:pPr>
    </w:p>
    <w:p>
      <w:pPr>
        <w:ind w:right="80"/>
        <w:spacing w:after="0" w:line="280" w:lineRule="auto"/>
        <w:rPr>
          <w:sz w:val="20"/>
          <w:szCs w:val="20"/>
          <w:color w:val="auto"/>
        </w:rPr>
      </w:pPr>
      <w:r>
        <w:rPr>
          <w:rFonts w:ascii="Arial" w:cs="Arial" w:eastAsia="Arial" w:hAnsi="Arial"/>
          <w:sz w:val="16"/>
          <w:szCs w:val="16"/>
          <w:color w:val="auto"/>
        </w:rPr>
        <w:t>Net cash used in financing activities improved $43 million in the year ended December 31, 2017 as compared to the prior year primarily due to repayments of emergence credit facilities in the prior year period partially offset by the issuance of Series A Preferred Stock.</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Sources of Liquidity</w:t>
      </w:r>
    </w:p>
    <w:p>
      <w:pPr>
        <w:spacing w:after="0" w:line="106" w:lineRule="exact"/>
        <w:rPr>
          <w:sz w:val="20"/>
          <w:szCs w:val="20"/>
          <w:color w:val="auto"/>
        </w:rPr>
      </w:pPr>
    </w:p>
    <w:p>
      <w:pPr>
        <w:spacing w:after="0" w:line="274" w:lineRule="auto"/>
        <w:rPr>
          <w:sz w:val="20"/>
          <w:szCs w:val="20"/>
          <w:color w:val="auto"/>
        </w:rPr>
      </w:pPr>
      <w:r>
        <w:rPr>
          <w:rFonts w:ascii="Arial" w:cs="Arial" w:eastAsia="Arial" w:hAnsi="Arial"/>
          <w:sz w:val="15"/>
          <w:szCs w:val="15"/>
          <w:color w:val="auto"/>
        </w:rPr>
        <w:t>Available liquidity includes cash balances and the unused portion of the Amended and Restated Credit Agreement (the “Amended Credit Agreement”). The amount of available liquidity is subject to fluctuations and includes cash balances held by various entities worldwide. At December 31, 2017 and 2016, approximately $172 million and $205 million, respectively, of cash and cash equivalents were held within the U.S. and approximately $172 million and $229 million, respectively, of cash and cash equivalents were held outside the U.S. Cash balances held outside of the U.S. are generally required to support local country operations, may have high tax costs, or other limitations that delay the ability to repatriate, and therefore may not be readily available for transfer to other jurisdictions. Kodak utilizes cash balances outside the U.S. to fund needs in the U.S. through the use of intercompany loans. As of December 31, 2017, outstanding intercompany loans to the U.S. were $358 million which includes short-term intercompany loans of $59 million</w:t>
      </w:r>
      <w:r>
        <w:rPr>
          <w:rFonts w:ascii="Arial" w:cs="Arial" w:eastAsia="Arial" w:hAnsi="Arial"/>
          <w:sz w:val="15"/>
          <w:szCs w:val="15"/>
          <w:b w:val="1"/>
          <w:bCs w:val="1"/>
          <w:color w:val="auto"/>
        </w:rPr>
        <w:t>.</w:t>
      </w:r>
      <w:r>
        <w:rPr>
          <w:rFonts w:ascii="Arial" w:cs="Arial" w:eastAsia="Arial" w:hAnsi="Arial"/>
          <w:sz w:val="15"/>
          <w:szCs w:val="15"/>
          <w:color w:val="auto"/>
        </w:rPr>
        <w:t xml:space="preserve"> In China, where approximately $108 million of cash and cash equivalents were held as of December 31, 2017, there are limitations related to net asset balances that impact the ability to make cash available to other jurisdictions in the world. Under the terms of the Senior Secured First Lien Term Credit Agreement (the “Term Credit Agreement”) and the Amended Credit Agreement (together with the Term Credit Agreement, the “Credit Agreements”), the Company is permitted to invest up to $100 million at any time in subsidiaries and joint ventures that are not party to the loan agreement.</w:t>
      </w:r>
    </w:p>
    <w:p>
      <w:pPr>
        <w:spacing w:after="0" w:line="279" w:lineRule="exact"/>
        <w:rPr>
          <w:sz w:val="20"/>
          <w:szCs w:val="20"/>
          <w:color w:val="auto"/>
        </w:rPr>
      </w:pPr>
    </w:p>
    <w:p>
      <w:pPr>
        <w:ind w:right="120"/>
        <w:spacing w:after="0" w:line="315" w:lineRule="auto"/>
        <w:rPr>
          <w:sz w:val="20"/>
          <w:szCs w:val="20"/>
          <w:color w:val="auto"/>
        </w:rPr>
      </w:pPr>
      <w:r>
        <w:rPr>
          <w:rFonts w:ascii="Arial" w:cs="Arial" w:eastAsia="Arial" w:hAnsi="Arial"/>
          <w:sz w:val="15"/>
          <w:szCs w:val="15"/>
          <w:color w:val="auto"/>
        </w:rPr>
        <w:t>Kodak funded $6 million and $25 million to the Eligible Cash account held with the Amended Credit Agreement and Amended Credit Agreement Administrative Agents as of December 31, 2017 and 2016, which is classified as Restricted cash in the Consolidated Statement of Financial Position, supporting the Excess Availability amount.</w:t>
      </w:r>
    </w:p>
    <w:p>
      <w:pPr>
        <w:spacing w:after="0" w:line="152" w:lineRule="exact"/>
        <w:rPr>
          <w:sz w:val="20"/>
          <w:szCs w:val="20"/>
          <w:color w:val="auto"/>
        </w:rPr>
      </w:pPr>
    </w:p>
    <w:p>
      <w:pPr>
        <w:ind w:right="420"/>
        <w:spacing w:after="0" w:line="266" w:lineRule="auto"/>
        <w:rPr>
          <w:sz w:val="20"/>
          <w:szCs w:val="20"/>
          <w:color w:val="auto"/>
        </w:rPr>
      </w:pPr>
      <w:r>
        <w:rPr>
          <w:rFonts w:ascii="Arial" w:cs="Arial" w:eastAsia="Arial" w:hAnsi="Arial"/>
          <w:sz w:val="16"/>
          <w:szCs w:val="16"/>
          <w:color w:val="auto"/>
        </w:rPr>
        <w:t>During the second quarter of 2017, the Company reduced the amount of outstanding letters of credit issued under the Amended Credit Agreement by $20 million, which increased the amount of Excess Availability by a corresponding amount, enabling the Company to release Eligible Cash. The reduction of outstanding letters of credit was primarily attributable to the substitution of partially collateralized surety bonds in place of outstanding</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62865</wp:posOffset>
            </wp:positionV>
            <wp:extent cx="7301865" cy="406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301865" cy="40640"/>
                    </a:xfrm>
                    <a:prstGeom prst="rect">
                      <a:avLst/>
                    </a:prstGeom>
                    <a:noFill/>
                  </pic:spPr>
                </pic:pic>
              </a:graphicData>
            </a:graphic>
          </wp:anchor>
        </w:drawing>
      </w:r>
    </w:p>
    <w:p>
      <w:pPr>
        <w:sectPr>
          <w:pgSz w:w="11900" w:h="16838" w:orient="portrait"/>
          <w:cols w:equalWidth="0" w:num="1">
            <w:col w:w="11400"/>
          </w:cols>
          <w:pgMar w:left="240" w:top="316" w:right="259" w:bottom="1440" w:gutter="0" w:footer="0" w:header="0"/>
        </w:sectPr>
      </w:pPr>
    </w:p>
    <w:bookmarkStart w:id="47" w:name="page48"/>
    <w:bookmarkEnd w:id="47"/>
    <w:p>
      <w:pPr>
        <w:ind w:right="40"/>
        <w:spacing w:after="0" w:line="274" w:lineRule="auto"/>
        <w:rPr>
          <w:sz w:val="20"/>
          <w:szCs w:val="20"/>
          <w:color w:val="auto"/>
        </w:rPr>
      </w:pPr>
      <w:r>
        <w:rPr>
          <w:rFonts w:ascii="Arial" w:cs="Arial" w:eastAsia="Arial" w:hAnsi="Arial"/>
          <w:sz w:val="15"/>
          <w:szCs w:val="15"/>
          <w:color w:val="auto"/>
        </w:rPr>
        <w:t>letters of credit. If the Company’s credit ratings were to decline, the Company would be required to provide up to $19 million of letters of credit to the issuers of the surety bonds to fully collateralize the bonds. Under the Amended Credit Agreement, if Excess Availability ($20 million as of December 31, 2017) falls below 12.5% of lender commitments ($18.75 million as of December 31, 2017), Kodak may, in addition to the requirement to be in compliance with a minimum Fixed Charge Coverage Ratio, become subject to cash dominion control. Kodak intends to continue to maintain Excess Availability above the minimum threshold which may require additional funding of Eligible Cash. In addition to Eligible Cash, the borrowing base is supported by Eligible Receivables, Eligible Inventory and Eligible Equipment. To the extent the assets supporting the borrowing base decline, if the remaining assets included in the borrowing base are not sufficient to support the required Excess Availability amount, additional funding of Eligible Cash may be required. Since Excess Availability was greater than 12.5% of lender commitments Kodak is not required to have a minimum Fixed Charge Coverage Ratio of 1.0 to 1.0. As of December 31, 2017, Kodak is in compliance with all covenants under the Amended Credit Agreement. If Kodak was required to have a Fixed Charge Coverage Ratio of 1.0 to 1.0, as defined in the Amended Credit agreement, Fixed Charges exceeded EBITDA by approximately $6 million.</w:t>
      </w:r>
    </w:p>
    <w:p>
      <w:pPr>
        <w:spacing w:after="0" w:line="65" w:lineRule="exact"/>
        <w:rPr>
          <w:sz w:val="20"/>
          <w:szCs w:val="20"/>
          <w:color w:val="auto"/>
        </w:rPr>
      </w:pPr>
    </w:p>
    <w:p>
      <w:pPr>
        <w:spacing w:after="0" w:line="310" w:lineRule="auto"/>
        <w:rPr>
          <w:sz w:val="20"/>
          <w:szCs w:val="20"/>
          <w:color w:val="auto"/>
        </w:rPr>
      </w:pPr>
      <w:r>
        <w:rPr>
          <w:rFonts w:ascii="Arial" w:cs="Arial" w:eastAsia="Arial" w:hAnsi="Arial"/>
          <w:sz w:val="14"/>
          <w:szCs w:val="14"/>
          <w:color w:val="auto"/>
        </w:rPr>
        <w:t>Under the terms of the Term Credit Agreement, Kodak is required to maintain a Secured Leverage Ratio not to exceed specified levels. The Secured Leverage Ratio is tested at the end of each quarter based on the prior four quarters and is generally determined by dividing secured debt, net of U.S. cash and cash equivalents, by consolidated EBITDA, as calculated under the credit agreement. The maximum Secured Leverage Ratio permitted under the Term Credit Agreement is 2.75 to 1. As of December 31, 2017, Kodak’s EBITDA, as calculated under the Term Credit Agreement, exceeded the EBITDA necessary to satisfy the covenant ratios by approximately $26 million.</w:t>
      </w:r>
    </w:p>
    <w:p>
      <w:pPr>
        <w:spacing w:after="0" w:line="159"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Subject to Board approval and the terms of the Credit Agreements, the Company may designate Restricted Subsidiaries as Unrestricted Subsidiaries provided the aggregate sales of all Unrestricted Subsidiaries are less than 7.5% of the consolidated sales of Kodak and the aggregate assets of all Unrestricted Subsidiaries are less than 7.5% of Kodak’s consolidated assets. Further, under the Amended Credit Agreement, on a pro forma basis at the time of designation and immediately after giving effect thereto, Excess Availability must be at least $30 million and the pro forma Fixed Charge Coverage Ratio must be no less than 1.0 to 1.0. Upon designation of Unrestricted Subsidiaries, the Company will be required to provide to the Lenders reconciling statements to eliminate all financial information pertaining to Unrestricted Subsidiaries which is included in its annual and quarterly financial statements.</w:t>
      </w:r>
    </w:p>
    <w:p>
      <w:pPr>
        <w:spacing w:after="0" w:line="196" w:lineRule="exact"/>
        <w:rPr>
          <w:sz w:val="20"/>
          <w:szCs w:val="20"/>
          <w:color w:val="auto"/>
        </w:rPr>
      </w:pPr>
    </w:p>
    <w:p>
      <w:pPr>
        <w:spacing w:after="0" w:line="299" w:lineRule="auto"/>
        <w:rPr>
          <w:sz w:val="20"/>
          <w:szCs w:val="20"/>
          <w:color w:val="auto"/>
        </w:rPr>
      </w:pPr>
      <w:r>
        <w:rPr>
          <w:rFonts w:ascii="Arial" w:cs="Arial" w:eastAsia="Arial" w:hAnsi="Arial"/>
          <w:sz w:val="14"/>
          <w:szCs w:val="14"/>
          <w:color w:val="auto"/>
        </w:rPr>
        <w:t>In March, the Company expects to designate five subsidiaries as Unrestricted Subsidiaries, Kodak PE Tech, LLC, Kodak LB Tech, LLC, Kodak Realty, Inc., Kodakit Singapore Pte. Limited and KP Services (Jersey) Ltd. This action will allow the Company to better position assets which may be monetized in the future and address costs related to underutilized properties. Collectively, these subsidiaries have sales of approximately $7 million for the year ended December 31, 2017 and assets of $17 million as of December 31, 2017, which represent 0% and 1%, respectively, of Kodak’s consolidated sales for the year ended December 31, 2017 and consolidated assets as of December 31, 2017. The designation of these subsidiaries as Unrestricted Subsidiaries is expected to increase the amount by which the Company’s EBITDA, as calculated under the Term Credit Agreement and the Amended Credit Agreement, exceeds the amount of EBITDA needed to satisfy the Net Secured Leverage Ratio covenant of 2.75 to 1.0 and the Fixed Charge Coverage Ratio of 1.0 to 1.0, respectively. Each of the capitalized but undefined terms has the meaning ascribed to such term in the Credit Agreements.</w:t>
      </w:r>
    </w:p>
    <w:p>
      <w:pPr>
        <w:spacing w:after="0" w:line="143" w:lineRule="exact"/>
        <w:rPr>
          <w:sz w:val="20"/>
          <w:szCs w:val="20"/>
          <w:color w:val="auto"/>
        </w:rPr>
      </w:pPr>
    </w:p>
    <w:p>
      <w:pPr>
        <w:ind w:right="120"/>
        <w:spacing w:after="0" w:line="304" w:lineRule="auto"/>
        <w:rPr>
          <w:sz w:val="20"/>
          <w:szCs w:val="20"/>
          <w:color w:val="auto"/>
        </w:rPr>
      </w:pPr>
      <w:r>
        <w:rPr>
          <w:rFonts w:ascii="Arial" w:cs="Arial" w:eastAsia="Arial" w:hAnsi="Arial"/>
          <w:sz w:val="14"/>
          <w:szCs w:val="14"/>
          <w:color w:val="auto"/>
        </w:rPr>
        <w:t>Kodak intends to conduct its operations in a manner that will result in continued compliance with the secured leverage ratio covenant; however, future compliance may depend on Kodak undertaking one or more non-operational transactions, such as the repatriation of cash into the U.S., the management of operating cash outflows, the designation of subsidiaries as Unrestricted Subsidiaries, a monetization of assets, a debt refinancing, the raising of equity capital, or a similar transaction. If Kodak is unable to remain in compliance and does not make alternate arrangements with its term lenders, an event of default would occur under Kodak’s credit agreements which, among other remedies, would entitle the lenders or their agents to declare the outstanding obligations under the Term Credit Agreement to be immediately due and payable.</w:t>
      </w:r>
    </w:p>
    <w:p>
      <w:pPr>
        <w:spacing w:after="0" w:line="44" w:lineRule="exact"/>
        <w:rPr>
          <w:sz w:val="20"/>
          <w:szCs w:val="20"/>
          <w:color w:val="auto"/>
        </w:rPr>
      </w:pPr>
    </w:p>
    <w:p>
      <w:pPr>
        <w:ind w:right="340"/>
        <w:spacing w:after="0" w:line="266" w:lineRule="auto"/>
        <w:rPr>
          <w:sz w:val="20"/>
          <w:szCs w:val="20"/>
          <w:color w:val="auto"/>
        </w:rPr>
      </w:pPr>
      <w:r>
        <w:rPr>
          <w:rFonts w:ascii="Arial" w:cs="Arial" w:eastAsia="Arial" w:hAnsi="Arial"/>
          <w:sz w:val="16"/>
          <w:szCs w:val="16"/>
          <w:color w:val="auto"/>
        </w:rPr>
        <w:t>Kodak made contributions (funded plans) or paid net benefits (unfunded plans) totaling approximately $17 million relating to its defined benefit pension and postretirement benefit plans in 2017. For 2018, the forecasted contribution (funded plans) and net benefit payment (unfunded plans) requirements for its defined benefit pension and postretirement plans are approximately $22 million.</w:t>
      </w:r>
    </w:p>
    <w:p>
      <w:pPr>
        <w:spacing w:after="0" w:line="186" w:lineRule="exact"/>
        <w:rPr>
          <w:sz w:val="20"/>
          <w:szCs w:val="20"/>
          <w:color w:val="auto"/>
        </w:rPr>
      </w:pPr>
    </w:p>
    <w:p>
      <w:pPr>
        <w:ind w:right="360"/>
        <w:spacing w:after="0" w:line="280" w:lineRule="auto"/>
        <w:rPr>
          <w:sz w:val="20"/>
          <w:szCs w:val="20"/>
          <w:color w:val="auto"/>
        </w:rPr>
      </w:pPr>
      <w:r>
        <w:rPr>
          <w:rFonts w:ascii="Arial" w:cs="Arial" w:eastAsia="Arial" w:hAnsi="Arial"/>
          <w:sz w:val="16"/>
          <w:szCs w:val="16"/>
          <w:color w:val="auto"/>
        </w:rPr>
        <w:t>Cash flows from investing activities included $38 million for capital expenditures for the year ended December 31, 2017. Kodak expects approximately $30 million to $40 million of cash flows for investing activities from capital expenditures for the year ended December 31, 2018.</w:t>
      </w:r>
    </w:p>
    <w:p>
      <w:pPr>
        <w:spacing w:after="0" w:line="175"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Kodak is expanding its manufacturing facility in Weatherford, Oklahoma to provide additional production capacity for FLEXCEL NX Plates. The additional capacity will supplement Kodak’s existing plate manufacturing facility in Yamanashi, Japan and is designed to meet increasing demand. The new production line is expected to be in full production by mid-2019 and will initially focus on supplying FLEXCEL NX Plates to customers in the United States, Canada and Latin America. Kodak invested approximately $7 million in 2017 and expects the total investment for the project to be approximately $16 million.</w:t>
      </w:r>
    </w:p>
    <w:p>
      <w:pPr>
        <w:spacing w:after="0" w:line="70" w:lineRule="exact"/>
        <w:rPr>
          <w:sz w:val="20"/>
          <w:szCs w:val="20"/>
          <w:color w:val="auto"/>
        </w:rPr>
      </w:pPr>
    </w:p>
    <w:p>
      <w:pPr>
        <w:ind w:right="100"/>
        <w:spacing w:after="0" w:line="284" w:lineRule="auto"/>
        <w:rPr>
          <w:sz w:val="20"/>
          <w:szCs w:val="20"/>
          <w:color w:val="auto"/>
        </w:rPr>
      </w:pPr>
      <w:r>
        <w:rPr>
          <w:rFonts w:ascii="Arial" w:cs="Arial" w:eastAsia="Arial" w:hAnsi="Arial"/>
          <w:sz w:val="15"/>
          <w:szCs w:val="15"/>
          <w:color w:val="auto"/>
        </w:rPr>
        <w:t>Kodak believes that its liquidity position is adequate to fund its operating and investing needs and to provide the flexibility to respond to further changes in the business environment. The loans made under the First Lien Term Credit Agreement become due on the earlier to occur of (i) the maturity date of September 3, 2019 or (ii) an acceleration of such loans following the occurrence of an event of default (as defined in the First Lien Term Credit Agreement). Kodak intends to refinance the loans under the First Lien Term Credit Agreement before their maturity date. See Item 1A. “Risk Factors” for a discussion of potential challenges to liquidity.</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62865</wp:posOffset>
            </wp:positionV>
            <wp:extent cx="7301865" cy="406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301865" cy="4064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48" w:name="page49"/>
    <w:bookmarkEnd w:id="48"/>
    <w:p>
      <w:pPr>
        <w:ind w:left="3" w:right="40"/>
        <w:spacing w:after="0" w:line="280" w:lineRule="auto"/>
        <w:rPr>
          <w:sz w:val="20"/>
          <w:szCs w:val="20"/>
          <w:color w:val="auto"/>
        </w:rPr>
      </w:pPr>
      <w:r>
        <w:rPr>
          <w:rFonts w:ascii="Arial" w:cs="Arial" w:eastAsia="Arial" w:hAnsi="Arial"/>
          <w:sz w:val="16"/>
          <w:szCs w:val="16"/>
          <w:color w:val="auto"/>
        </w:rPr>
        <w:t>Refer to Note 8, "Debt and Capital Leases," and Note 9, “Redeemable, Convertible Series A Preferred Stock” in the Notes to Financial Statements for further discussion of long-term debt and convertible preferred shares.</w:t>
      </w:r>
    </w:p>
    <w:p>
      <w:pPr>
        <w:spacing w:after="0" w:line="54"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Contractual Obligations</w:t>
      </w:r>
    </w:p>
    <w:p>
      <w:pPr>
        <w:spacing w:after="0" w:line="106" w:lineRule="exact"/>
        <w:rPr>
          <w:sz w:val="20"/>
          <w:szCs w:val="20"/>
          <w:color w:val="auto"/>
        </w:rPr>
      </w:pPr>
    </w:p>
    <w:p>
      <w:pPr>
        <w:ind w:left="3"/>
        <w:spacing w:after="0"/>
        <w:rPr>
          <w:sz w:val="20"/>
          <w:szCs w:val="20"/>
          <w:color w:val="auto"/>
        </w:rPr>
      </w:pPr>
      <w:r>
        <w:rPr>
          <w:rFonts w:ascii="Arial" w:cs="Arial" w:eastAsia="Arial" w:hAnsi="Arial"/>
          <w:sz w:val="16"/>
          <w:szCs w:val="16"/>
          <w:color w:val="auto"/>
        </w:rPr>
        <w:t>The impact that contractual obligations are expected to have on Kodak's cash flow in future periods is as follows:</w:t>
      </w:r>
    </w:p>
    <w:p>
      <w:pPr>
        <w:spacing w:after="0" w:line="292" w:lineRule="exact"/>
        <w:rPr>
          <w:sz w:val="20"/>
          <w:szCs w:val="20"/>
          <w:color w:val="auto"/>
        </w:rPr>
      </w:pPr>
    </w:p>
    <w:tbl>
      <w:tblPr>
        <w:tblLayout w:type="fixed"/>
        <w:tblInd w:w="3" w:type="dxa"/>
        <w:tblCellMar>
          <w:top w:w="0" w:type="dxa"/>
          <w:left w:w="0" w:type="dxa"/>
          <w:bottom w:w="0" w:type="dxa"/>
          <w:right w:w="0" w:type="dxa"/>
        </w:tblCellMar>
      </w:tblPr>
      <w:tr>
        <w:trPr>
          <w:trHeight w:val="153"/>
        </w:trPr>
        <w:tc>
          <w:tcPr>
            <w:tcW w:w="4320" w:type="dxa"/>
            <w:vAlign w:val="bottom"/>
            <w:vMerge w:val="restart"/>
          </w:tcPr>
          <w:p>
            <w:pPr>
              <w:spacing w:after="0"/>
              <w:rPr>
                <w:sz w:val="20"/>
                <w:szCs w:val="20"/>
                <w:color w:val="auto"/>
              </w:rPr>
            </w:pPr>
            <w:r>
              <w:rPr>
                <w:rFonts w:ascii="Arial" w:cs="Arial" w:eastAsia="Arial" w:hAnsi="Arial"/>
                <w:sz w:val="13"/>
                <w:szCs w:val="13"/>
                <w:color w:val="auto"/>
              </w:rPr>
              <w:t>(in millions)</w:t>
            </w:r>
          </w:p>
        </w:tc>
        <w:tc>
          <w:tcPr>
            <w:tcW w:w="180" w:type="dxa"/>
            <w:vAlign w:val="bottom"/>
          </w:tcPr>
          <w:p>
            <w:pPr>
              <w:spacing w:after="0"/>
              <w:rPr>
                <w:sz w:val="13"/>
                <w:szCs w:val="13"/>
                <w:color w:val="auto"/>
              </w:rPr>
            </w:pPr>
          </w:p>
        </w:tc>
        <w:tc>
          <w:tcPr>
            <w:tcW w:w="640" w:type="dxa"/>
            <w:vAlign w:val="bottom"/>
            <w:vMerge w:val="restart"/>
          </w:tcPr>
          <w:p>
            <w:pPr>
              <w:jc w:val="right"/>
              <w:ind w:right="201"/>
              <w:spacing w:after="0"/>
              <w:rPr>
                <w:sz w:val="20"/>
                <w:szCs w:val="20"/>
                <w:color w:val="auto"/>
              </w:rPr>
            </w:pPr>
            <w:r>
              <w:rPr>
                <w:rFonts w:ascii="Arial" w:cs="Arial" w:eastAsia="Arial" w:hAnsi="Arial"/>
                <w:sz w:val="13"/>
                <w:szCs w:val="13"/>
                <w:b w:val="1"/>
                <w:bCs w:val="1"/>
                <w:color w:val="auto"/>
              </w:rPr>
              <w:t>Total</w:t>
            </w:r>
          </w:p>
        </w:tc>
        <w:tc>
          <w:tcPr>
            <w:tcW w:w="20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4"/>
          </w:tcPr>
          <w:p>
            <w:pPr>
              <w:jc w:val="right"/>
              <w:ind w:right="161"/>
              <w:spacing w:after="0"/>
              <w:rPr>
                <w:sz w:val="20"/>
                <w:szCs w:val="20"/>
                <w:color w:val="auto"/>
              </w:rPr>
            </w:pPr>
            <w:r>
              <w:rPr>
                <w:rFonts w:ascii="Arial" w:cs="Arial" w:eastAsia="Arial" w:hAnsi="Arial"/>
                <w:sz w:val="13"/>
                <w:szCs w:val="13"/>
                <w:b w:val="1"/>
                <w:bCs w:val="1"/>
                <w:color w:val="auto"/>
                <w:w w:val="92"/>
              </w:rPr>
              <w:t>As of December 31, 2017</w:t>
            </w:r>
          </w:p>
        </w:tc>
        <w:tc>
          <w:tcPr>
            <w:tcW w:w="2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4320" w:type="dxa"/>
            <w:vAlign w:val="bottom"/>
            <w:tcBorders>
              <w:bottom w:val="single" w:sz="8" w:color="CFF0FC"/>
            </w:tcBorders>
            <w:vMerge w:val="continue"/>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vMerge w:val="continue"/>
          </w:tcPr>
          <w:p>
            <w:pPr>
              <w:spacing w:after="0"/>
              <w:rPr>
                <w:sz w:val="11"/>
                <w:szCs w:val="11"/>
                <w:color w:val="auto"/>
              </w:rPr>
            </w:pPr>
          </w:p>
        </w:tc>
        <w:tc>
          <w:tcPr>
            <w:tcW w:w="200" w:type="dxa"/>
            <w:vAlign w:val="bottom"/>
            <w:tcBorders>
              <w:bottom w:val="single" w:sz="8" w:color="CFF0FC"/>
            </w:tcBorders>
          </w:tcPr>
          <w:p>
            <w:pPr>
              <w:spacing w:after="0"/>
              <w:rPr>
                <w:sz w:val="11"/>
                <w:szCs w:val="11"/>
                <w:color w:val="auto"/>
              </w:rPr>
            </w:pPr>
          </w:p>
        </w:tc>
        <w:tc>
          <w:tcPr>
            <w:tcW w:w="580" w:type="dxa"/>
            <w:vAlign w:val="bottom"/>
            <w:tcBorders>
              <w:bottom w:val="single" w:sz="8" w:color="auto"/>
            </w:tcBorders>
          </w:tcPr>
          <w:p>
            <w:pPr>
              <w:jc w:val="right"/>
              <w:spacing w:after="0" w:line="138" w:lineRule="exact"/>
              <w:rPr>
                <w:sz w:val="20"/>
                <w:szCs w:val="20"/>
                <w:color w:val="auto"/>
              </w:rPr>
            </w:pPr>
            <w:r>
              <w:rPr>
                <w:rFonts w:ascii="Arial" w:cs="Arial" w:eastAsia="Arial" w:hAnsi="Arial"/>
                <w:sz w:val="13"/>
                <w:szCs w:val="13"/>
                <w:b w:val="1"/>
                <w:bCs w:val="1"/>
                <w:color w:val="auto"/>
              </w:rPr>
              <w:t>2018</w:t>
            </w:r>
          </w:p>
        </w:tc>
        <w:tc>
          <w:tcPr>
            <w:tcW w:w="220" w:type="dxa"/>
            <w:vAlign w:val="bottom"/>
            <w:tcBorders>
              <w:bottom w:val="single" w:sz="8" w:color="auto"/>
            </w:tcBorders>
          </w:tcPr>
          <w:p>
            <w:pPr>
              <w:spacing w:after="0"/>
              <w:rPr>
                <w:sz w:val="11"/>
                <w:szCs w:val="11"/>
                <w:color w:val="auto"/>
              </w:rPr>
            </w:pPr>
          </w:p>
        </w:tc>
        <w:tc>
          <w:tcPr>
            <w:tcW w:w="220" w:type="dxa"/>
            <w:vAlign w:val="bottom"/>
            <w:tcBorders>
              <w:bottom w:val="single" w:sz="8" w:color="CFF0FC"/>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221"/>
              <w:spacing w:after="0" w:line="138" w:lineRule="exact"/>
              <w:rPr>
                <w:sz w:val="20"/>
                <w:szCs w:val="20"/>
                <w:color w:val="auto"/>
              </w:rPr>
            </w:pPr>
            <w:r>
              <w:rPr>
                <w:rFonts w:ascii="Arial" w:cs="Arial" w:eastAsia="Arial" w:hAnsi="Arial"/>
                <w:sz w:val="13"/>
                <w:szCs w:val="13"/>
                <w:b w:val="1"/>
                <w:bCs w:val="1"/>
                <w:color w:val="auto"/>
              </w:rPr>
              <w:t>2019</w:t>
            </w:r>
          </w:p>
        </w:tc>
        <w:tc>
          <w:tcPr>
            <w:tcW w:w="200" w:type="dxa"/>
            <w:vAlign w:val="bottom"/>
            <w:tcBorders>
              <w:bottom w:val="single" w:sz="8" w:color="CFF0FC"/>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203"/>
              <w:spacing w:after="0" w:line="138" w:lineRule="exact"/>
              <w:rPr>
                <w:sz w:val="20"/>
                <w:szCs w:val="20"/>
                <w:color w:val="auto"/>
              </w:rPr>
            </w:pPr>
            <w:r>
              <w:rPr>
                <w:rFonts w:ascii="Arial" w:cs="Arial" w:eastAsia="Arial" w:hAnsi="Arial"/>
                <w:sz w:val="13"/>
                <w:szCs w:val="13"/>
                <w:b w:val="1"/>
                <w:bCs w:val="1"/>
                <w:color w:val="auto"/>
              </w:rPr>
              <w:t>2020</w:t>
            </w:r>
          </w:p>
        </w:tc>
        <w:tc>
          <w:tcPr>
            <w:tcW w:w="200" w:type="dxa"/>
            <w:vAlign w:val="bottom"/>
            <w:tcBorders>
              <w:bottom w:val="single" w:sz="8" w:color="CFF0FC"/>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221"/>
              <w:spacing w:after="0" w:line="138" w:lineRule="exact"/>
              <w:rPr>
                <w:sz w:val="20"/>
                <w:szCs w:val="20"/>
                <w:color w:val="auto"/>
              </w:rPr>
            </w:pPr>
            <w:r>
              <w:rPr>
                <w:rFonts w:ascii="Arial" w:cs="Arial" w:eastAsia="Arial" w:hAnsi="Arial"/>
                <w:sz w:val="13"/>
                <w:szCs w:val="13"/>
                <w:b w:val="1"/>
                <w:bCs w:val="1"/>
                <w:color w:val="auto"/>
              </w:rPr>
              <w:t>2021</w:t>
            </w:r>
          </w:p>
        </w:tc>
        <w:tc>
          <w:tcPr>
            <w:tcW w:w="200" w:type="dxa"/>
            <w:vAlign w:val="bottom"/>
            <w:tcBorders>
              <w:bottom w:val="single" w:sz="8" w:color="CFF0FC"/>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201"/>
              <w:spacing w:after="0" w:line="138" w:lineRule="exact"/>
              <w:rPr>
                <w:sz w:val="20"/>
                <w:szCs w:val="20"/>
                <w:color w:val="auto"/>
              </w:rPr>
            </w:pPr>
            <w:r>
              <w:rPr>
                <w:rFonts w:ascii="Arial" w:cs="Arial" w:eastAsia="Arial" w:hAnsi="Arial"/>
                <w:sz w:val="13"/>
                <w:szCs w:val="13"/>
                <w:b w:val="1"/>
                <w:bCs w:val="1"/>
                <w:color w:val="auto"/>
              </w:rPr>
              <w:t>2022</w:t>
            </w:r>
          </w:p>
        </w:tc>
        <w:tc>
          <w:tcPr>
            <w:tcW w:w="200" w:type="dxa"/>
            <w:vAlign w:val="bottom"/>
            <w:tcBorders>
              <w:bottom w:val="single" w:sz="8" w:color="CFF0FC"/>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201"/>
              <w:spacing w:after="0" w:line="138" w:lineRule="exact"/>
              <w:rPr>
                <w:sz w:val="20"/>
                <w:szCs w:val="20"/>
                <w:color w:val="auto"/>
              </w:rPr>
            </w:pPr>
            <w:r>
              <w:rPr>
                <w:rFonts w:ascii="Arial" w:cs="Arial" w:eastAsia="Arial" w:hAnsi="Arial"/>
                <w:sz w:val="13"/>
                <w:szCs w:val="13"/>
                <w:b w:val="1"/>
                <w:bCs w:val="1"/>
                <w:color w:val="auto"/>
              </w:rPr>
              <w:t>2023+</w:t>
            </w:r>
          </w:p>
        </w:tc>
        <w:tc>
          <w:tcPr>
            <w:tcW w:w="120" w:type="dxa"/>
            <w:vAlign w:val="bottom"/>
            <w:tcBorders>
              <w:bottom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4320" w:type="dxa"/>
            <w:vAlign w:val="bottom"/>
            <w:shd w:val="clear" w:color="auto" w:fill="CFF0FC"/>
          </w:tcPr>
          <w:p>
            <w:pPr>
              <w:spacing w:after="0"/>
              <w:rPr>
                <w:sz w:val="20"/>
                <w:szCs w:val="20"/>
                <w:color w:val="auto"/>
              </w:rPr>
            </w:pPr>
            <w:r>
              <w:rPr>
                <w:rFonts w:ascii="Arial" w:cs="Arial" w:eastAsia="Arial" w:hAnsi="Arial"/>
                <w:sz w:val="16"/>
                <w:szCs w:val="16"/>
                <w:color w:val="auto"/>
              </w:rPr>
              <w:t xml:space="preserve">Long-term debt </w:t>
            </w:r>
            <w:r>
              <w:rPr>
                <w:rFonts w:ascii="Arial" w:cs="Arial" w:eastAsia="Arial" w:hAnsi="Arial"/>
                <w:sz w:val="13"/>
                <w:szCs w:val="13"/>
                <w:color w:val="auto"/>
              </w:rPr>
              <w:t>(1)</w:t>
            </w: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398</w:t>
            </w:r>
          </w:p>
        </w:tc>
        <w:tc>
          <w:tcPr>
            <w:tcW w:w="200" w:type="dxa"/>
            <w:vAlign w:val="bottom"/>
            <w:shd w:val="clear" w:color="auto" w:fill="CFF0FC"/>
          </w:tcPr>
          <w:p>
            <w:pPr>
              <w:spacing w:after="0"/>
              <w:rPr>
                <w:sz w:val="17"/>
                <w:szCs w:val="17"/>
                <w:color w:val="auto"/>
              </w:rPr>
            </w:pPr>
          </w:p>
        </w:tc>
        <w:tc>
          <w:tcPr>
            <w:tcW w:w="580" w:type="dxa"/>
            <w:vAlign w:val="bottom"/>
            <w:shd w:val="clear" w:color="auto" w:fill="CFF0FC"/>
          </w:tcPr>
          <w:p>
            <w:pPr>
              <w:jc w:val="right"/>
              <w:ind w:right="428"/>
              <w:spacing w:after="0"/>
              <w:rPr>
                <w:sz w:val="20"/>
                <w:szCs w:val="20"/>
                <w:color w:val="auto"/>
              </w:rPr>
            </w:pPr>
            <w:r>
              <w:rPr>
                <w:rFonts w:ascii="Arial" w:cs="Arial" w:eastAsia="Arial" w:hAnsi="Arial"/>
                <w:sz w:val="15"/>
                <w:szCs w:val="15"/>
                <w:color w:val="auto"/>
                <w:w w:val="71"/>
              </w:rPr>
              <w:t>$</w:t>
            </w: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395</w:t>
            </w: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320" w:type="dxa"/>
            <w:vAlign w:val="bottom"/>
          </w:tcPr>
          <w:p>
            <w:pPr>
              <w:spacing w:after="0"/>
              <w:rPr>
                <w:sz w:val="20"/>
                <w:szCs w:val="20"/>
                <w:color w:val="auto"/>
              </w:rPr>
            </w:pPr>
            <w:r>
              <w:rPr>
                <w:rFonts w:ascii="Arial" w:cs="Arial" w:eastAsia="Arial" w:hAnsi="Arial"/>
                <w:sz w:val="16"/>
                <w:szCs w:val="16"/>
                <w:color w:val="auto"/>
              </w:rPr>
              <w:t xml:space="preserve">Interest payments on debt </w:t>
            </w:r>
            <w:r>
              <w:rPr>
                <w:rFonts w:ascii="Arial" w:cs="Arial" w:eastAsia="Arial" w:hAnsi="Arial"/>
                <w:sz w:val="13"/>
                <w:szCs w:val="13"/>
                <w:color w:val="auto"/>
              </w:rPr>
              <w:t>(2)</w:t>
            </w: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65</w:t>
            </w: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30</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29</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4320" w:type="dxa"/>
            <w:vAlign w:val="bottom"/>
            <w:shd w:val="clear" w:color="auto" w:fill="CFF0FC"/>
          </w:tcPr>
          <w:p>
            <w:pPr>
              <w:spacing w:after="0"/>
              <w:rPr>
                <w:sz w:val="20"/>
                <w:szCs w:val="20"/>
                <w:color w:val="auto"/>
              </w:rPr>
            </w:pPr>
            <w:r>
              <w:rPr>
                <w:rFonts w:ascii="Arial" w:cs="Arial" w:eastAsia="Arial" w:hAnsi="Arial"/>
                <w:sz w:val="16"/>
                <w:szCs w:val="16"/>
                <w:color w:val="auto"/>
              </w:rPr>
              <w:t>Capital lease obligations</w:t>
            </w:r>
          </w:p>
        </w:tc>
        <w:tc>
          <w:tcPr>
            <w:tcW w:w="18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w:t>
            </w:r>
          </w:p>
        </w:tc>
        <w:tc>
          <w:tcPr>
            <w:tcW w:w="2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320" w:type="dxa"/>
            <w:vAlign w:val="bottom"/>
          </w:tcPr>
          <w:p>
            <w:pPr>
              <w:spacing w:after="0"/>
              <w:rPr>
                <w:sz w:val="20"/>
                <w:szCs w:val="20"/>
                <w:color w:val="auto"/>
              </w:rPr>
            </w:pPr>
            <w:r>
              <w:rPr>
                <w:rFonts w:ascii="Arial" w:cs="Arial" w:eastAsia="Arial" w:hAnsi="Arial"/>
                <w:sz w:val="16"/>
                <w:szCs w:val="16"/>
                <w:color w:val="auto"/>
              </w:rPr>
              <w:t>Operating lease obligations</w:t>
            </w: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67</w:t>
            </w: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22</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15</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15</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320" w:type="dxa"/>
            <w:vAlign w:val="bottom"/>
            <w:shd w:val="clear" w:color="auto" w:fill="CFF0FC"/>
          </w:tcPr>
          <w:p>
            <w:pPr>
              <w:spacing w:after="0"/>
              <w:rPr>
                <w:sz w:val="20"/>
                <w:szCs w:val="20"/>
                <w:color w:val="auto"/>
              </w:rPr>
            </w:pPr>
            <w:r>
              <w:rPr>
                <w:rFonts w:ascii="Arial" w:cs="Arial" w:eastAsia="Arial" w:hAnsi="Arial"/>
                <w:sz w:val="16"/>
                <w:szCs w:val="16"/>
                <w:color w:val="auto"/>
              </w:rPr>
              <w:t xml:space="preserve">Purchase obligations </w:t>
            </w:r>
            <w:r>
              <w:rPr>
                <w:rFonts w:ascii="Arial" w:cs="Arial" w:eastAsia="Arial" w:hAnsi="Arial"/>
                <w:sz w:val="13"/>
                <w:szCs w:val="13"/>
                <w:color w:val="auto"/>
              </w:rPr>
              <w:t>(3)</w:t>
            </w:r>
          </w:p>
        </w:tc>
        <w:tc>
          <w:tcPr>
            <w:tcW w:w="18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w:t>
            </w:r>
          </w:p>
        </w:tc>
        <w:tc>
          <w:tcPr>
            <w:tcW w:w="2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w:t>
            </w: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4320" w:type="dxa"/>
            <w:vAlign w:val="bottom"/>
          </w:tcPr>
          <w:p>
            <w:pPr>
              <w:spacing w:after="0"/>
              <w:rPr>
                <w:sz w:val="20"/>
                <w:szCs w:val="20"/>
                <w:color w:val="auto"/>
              </w:rPr>
            </w:pPr>
            <w:r>
              <w:rPr>
                <w:rFonts w:ascii="Arial" w:cs="Arial" w:eastAsia="Arial" w:hAnsi="Arial"/>
                <w:sz w:val="16"/>
                <w:szCs w:val="16"/>
                <w:color w:val="auto"/>
              </w:rPr>
              <w:t xml:space="preserve">Convertible preferred stock dividends </w:t>
            </w:r>
            <w:r>
              <w:rPr>
                <w:rFonts w:ascii="Arial" w:cs="Arial" w:eastAsia="Arial" w:hAnsi="Arial"/>
                <w:sz w:val="13"/>
                <w:szCs w:val="13"/>
                <w:color w:val="auto"/>
              </w:rPr>
              <w:t>(8)</w:t>
            </w: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45</w:t>
            </w: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11</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11</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11</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12</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8"/>
        </w:trPr>
        <w:tc>
          <w:tcPr>
            <w:tcW w:w="43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 xml:space="preserve">Total </w:t>
            </w:r>
            <w:r>
              <w:rPr>
                <w:rFonts w:ascii="Arial" w:cs="Arial" w:eastAsia="Arial" w:hAnsi="Arial"/>
                <w:sz w:val="13"/>
                <w:szCs w:val="13"/>
                <w:color w:val="auto"/>
              </w:rPr>
              <w:t>(4) (5) (6) (7)</w:t>
            </w:r>
          </w:p>
        </w:tc>
        <w:tc>
          <w:tcPr>
            <w:tcW w:w="180" w:type="dxa"/>
            <w:vAlign w:val="bottom"/>
            <w:tcBorders>
              <w:top w:val="single" w:sz="8" w:color="auto"/>
              <w:bottom w:val="single" w:sz="8" w:color="auto"/>
            </w:tcBorders>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606</w:t>
            </w:r>
          </w:p>
        </w:tc>
        <w:tc>
          <w:tcPr>
            <w:tcW w:w="200" w:type="dxa"/>
            <w:vAlign w:val="bottom"/>
            <w:tcBorders>
              <w:top w:val="single" w:sz="8" w:color="CFF0FC"/>
              <w:bottom w:val="single" w:sz="8" w:color="CFF0FC"/>
            </w:tcBorders>
            <w:shd w:val="clear" w:color="auto" w:fill="CFF0FC"/>
          </w:tcPr>
          <w:p>
            <w:pPr>
              <w:spacing w:after="0"/>
              <w:rPr>
                <w:sz w:val="17"/>
                <w:szCs w:val="17"/>
                <w:color w:val="auto"/>
              </w:rPr>
            </w:pPr>
          </w:p>
        </w:tc>
        <w:tc>
          <w:tcPr>
            <w:tcW w:w="580" w:type="dxa"/>
            <w:vAlign w:val="bottom"/>
            <w:tcBorders>
              <w:top w:val="single" w:sz="8" w:color="auto"/>
              <w:bottom w:val="single" w:sz="8" w:color="auto"/>
            </w:tcBorders>
            <w:shd w:val="clear" w:color="auto" w:fill="CFF0FC"/>
          </w:tcPr>
          <w:p>
            <w:pPr>
              <w:jc w:val="right"/>
              <w:ind w:right="428"/>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77</w:t>
            </w:r>
          </w:p>
        </w:tc>
        <w:tc>
          <w:tcPr>
            <w:tcW w:w="220" w:type="dxa"/>
            <w:vAlign w:val="bottom"/>
            <w:tcBorders>
              <w:top w:val="single" w:sz="8" w:color="CFF0FC"/>
              <w:bottom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auto"/>
            </w:tcBorders>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460</w:t>
            </w:r>
          </w:p>
        </w:tc>
        <w:tc>
          <w:tcPr>
            <w:tcW w:w="200" w:type="dxa"/>
            <w:vAlign w:val="bottom"/>
            <w:tcBorders>
              <w:top w:val="single" w:sz="8" w:color="CFF0FC"/>
              <w:bottom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auto"/>
            </w:tcBorders>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34</w:t>
            </w:r>
          </w:p>
        </w:tc>
        <w:tc>
          <w:tcPr>
            <w:tcW w:w="200" w:type="dxa"/>
            <w:vAlign w:val="bottom"/>
            <w:tcBorders>
              <w:top w:val="single" w:sz="8" w:color="CFF0FC"/>
              <w:bottom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w:t>
            </w:r>
          </w:p>
        </w:tc>
        <w:tc>
          <w:tcPr>
            <w:tcW w:w="200" w:type="dxa"/>
            <w:vAlign w:val="bottom"/>
            <w:tcBorders>
              <w:top w:val="single" w:sz="8" w:color="CFF0FC"/>
              <w:bottom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auto"/>
            </w:tcBorders>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200" w:type="dxa"/>
            <w:vAlign w:val="bottom"/>
            <w:tcBorders>
              <w:top w:val="single" w:sz="8" w:color="CFF0FC"/>
              <w:bottom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auto"/>
            </w:tcBorders>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w:t>
            </w: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ind w:left="383" w:right="40" w:hanging="383"/>
        <w:spacing w:after="0" w:line="278" w:lineRule="auto"/>
        <w:tabs>
          <w:tab w:leader="none" w:pos="383" w:val="left"/>
        </w:tabs>
        <w:numPr>
          <w:ilvl w:val="0"/>
          <w:numId w:val="32"/>
        </w:numPr>
        <w:rPr>
          <w:rFonts w:ascii="Arial" w:cs="Arial" w:eastAsia="Arial" w:hAnsi="Arial"/>
          <w:sz w:val="13"/>
          <w:szCs w:val="13"/>
          <w:color w:val="auto"/>
        </w:rPr>
      </w:pPr>
      <w:r>
        <w:rPr>
          <w:rFonts w:ascii="Arial" w:cs="Arial" w:eastAsia="Arial" w:hAnsi="Arial"/>
          <w:sz w:val="15"/>
          <w:szCs w:val="15"/>
          <w:color w:val="auto"/>
        </w:rPr>
        <w:t>Primarily represents the maturity values of Kodak's long-term debt obligations as of December 31, 2017. Annual amounts represent the minimum principal payments owed each year. The contractual obligations do not reflect any contingent mandatory annual principal repayments that may be required to be made upon achieving certain excess cash flow targets, as defined in the Term Credit Agreements. Other prepayments may be required upon the occurrences of certain other events. The loans made under the First Lien Term Credit Agreement become due on the earlier to occur of (i) the maturity date of September 3, 2019 or (ii) an acceleration of such loans following the occurrence of an event of default (as defined in the First Lien Term Credit Agreement). Kodak intends to refinance the loans under the First Lien Term Credit Agreement before their maturity date. Refer to Note 8, "Debt and Capital Leases" in the Notes to Financial Statements.</w:t>
      </w:r>
    </w:p>
    <w:p>
      <w:pPr>
        <w:spacing w:after="0" w:line="179" w:lineRule="exact"/>
        <w:rPr>
          <w:rFonts w:ascii="Arial" w:cs="Arial" w:eastAsia="Arial" w:hAnsi="Arial"/>
          <w:sz w:val="13"/>
          <w:szCs w:val="13"/>
          <w:color w:val="auto"/>
        </w:rPr>
      </w:pPr>
    </w:p>
    <w:p>
      <w:pPr>
        <w:ind w:left="383" w:hanging="383"/>
        <w:spacing w:after="0"/>
        <w:tabs>
          <w:tab w:leader="none" w:pos="383" w:val="left"/>
        </w:tabs>
        <w:numPr>
          <w:ilvl w:val="0"/>
          <w:numId w:val="32"/>
        </w:numPr>
        <w:rPr>
          <w:rFonts w:ascii="Arial" w:cs="Arial" w:eastAsia="Arial" w:hAnsi="Arial"/>
          <w:sz w:val="14"/>
          <w:szCs w:val="14"/>
          <w:color w:val="auto"/>
        </w:rPr>
      </w:pPr>
      <w:r>
        <w:rPr>
          <w:rFonts w:ascii="Arial" w:cs="Arial" w:eastAsia="Arial" w:hAnsi="Arial"/>
          <w:sz w:val="16"/>
          <w:szCs w:val="16"/>
          <w:color w:val="auto"/>
        </w:rPr>
        <w:t>Also includes commitment fees for the Amended Credit Agreement.</w:t>
      </w:r>
    </w:p>
    <w:p>
      <w:pPr>
        <w:spacing w:after="0" w:line="106" w:lineRule="exact"/>
        <w:rPr>
          <w:rFonts w:ascii="Arial" w:cs="Arial" w:eastAsia="Arial" w:hAnsi="Arial"/>
          <w:sz w:val="14"/>
          <w:szCs w:val="14"/>
          <w:color w:val="auto"/>
        </w:rPr>
      </w:pPr>
    </w:p>
    <w:p>
      <w:pPr>
        <w:ind w:left="383" w:right="100" w:hanging="383"/>
        <w:spacing w:after="0" w:line="292" w:lineRule="auto"/>
        <w:tabs>
          <w:tab w:leader="none" w:pos="383" w:val="left"/>
        </w:tabs>
        <w:numPr>
          <w:ilvl w:val="0"/>
          <w:numId w:val="32"/>
        </w:numPr>
        <w:rPr>
          <w:rFonts w:ascii="Arial" w:cs="Arial" w:eastAsia="Arial" w:hAnsi="Arial"/>
          <w:sz w:val="13"/>
          <w:szCs w:val="13"/>
          <w:color w:val="auto"/>
        </w:rPr>
      </w:pPr>
      <w:r>
        <w:rPr>
          <w:rFonts w:ascii="Arial" w:cs="Arial" w:eastAsia="Arial" w:hAnsi="Arial"/>
          <w:sz w:val="15"/>
          <w:szCs w:val="15"/>
          <w:color w:val="auto"/>
        </w:rPr>
        <w:t>Purchase obligations include agreements related to raw materials, supplies, production and administrative services, as well as marketing and advertising, that are enforceable and legally binding on Kodak and that specify all significant terms, including: fixed or minimum quantities to be purchased; fixed, minimum or variable price provisions; and the approximate timing of the transaction. Purchase obligations exclude agreements that are cancelable without penalty.</w:t>
      </w:r>
    </w:p>
    <w:p>
      <w:pPr>
        <w:spacing w:after="0" w:line="47" w:lineRule="exact"/>
        <w:rPr>
          <w:rFonts w:ascii="Arial" w:cs="Arial" w:eastAsia="Arial" w:hAnsi="Arial"/>
          <w:sz w:val="13"/>
          <w:szCs w:val="13"/>
          <w:color w:val="auto"/>
        </w:rPr>
      </w:pPr>
    </w:p>
    <w:p>
      <w:pPr>
        <w:ind w:left="383" w:right="420" w:hanging="383"/>
        <w:spacing w:after="0" w:line="354" w:lineRule="auto"/>
        <w:tabs>
          <w:tab w:leader="none" w:pos="383" w:val="left"/>
        </w:tabs>
        <w:numPr>
          <w:ilvl w:val="0"/>
          <w:numId w:val="32"/>
        </w:numPr>
        <w:rPr>
          <w:rFonts w:ascii="Arial" w:cs="Arial" w:eastAsia="Arial" w:hAnsi="Arial"/>
          <w:sz w:val="12"/>
          <w:szCs w:val="12"/>
          <w:color w:val="auto"/>
        </w:rPr>
      </w:pPr>
      <w:r>
        <w:rPr>
          <w:rFonts w:ascii="Arial" w:cs="Arial" w:eastAsia="Arial" w:hAnsi="Arial"/>
          <w:sz w:val="14"/>
          <w:szCs w:val="14"/>
          <w:color w:val="auto"/>
        </w:rPr>
        <w:t>Due to uncertainty regarding the completion of tax audits and possible outcomes, an estimate of the timing of payments related to uncertain tax positions and interest cannot be made. See Note 15, “Income Taxes,” in the Notes to Financial Statements for additional information regarding Kodak’s uncertain tax positions.</w:t>
      </w:r>
    </w:p>
    <w:p>
      <w:pPr>
        <w:spacing w:after="0" w:line="8" w:lineRule="exact"/>
        <w:rPr>
          <w:rFonts w:ascii="Arial" w:cs="Arial" w:eastAsia="Arial" w:hAnsi="Arial"/>
          <w:sz w:val="12"/>
          <w:szCs w:val="12"/>
          <w:color w:val="auto"/>
        </w:rPr>
      </w:pPr>
    </w:p>
    <w:p>
      <w:pPr>
        <w:ind w:left="383" w:right="220" w:hanging="383"/>
        <w:spacing w:after="0" w:line="280" w:lineRule="auto"/>
        <w:tabs>
          <w:tab w:leader="none" w:pos="383" w:val="left"/>
        </w:tabs>
        <w:numPr>
          <w:ilvl w:val="0"/>
          <w:numId w:val="32"/>
        </w:numPr>
        <w:rPr>
          <w:rFonts w:ascii="Arial" w:cs="Arial" w:eastAsia="Arial" w:hAnsi="Arial"/>
          <w:sz w:val="14"/>
          <w:szCs w:val="14"/>
          <w:color w:val="auto"/>
        </w:rPr>
      </w:pPr>
      <w:r>
        <w:rPr>
          <w:rFonts w:ascii="Arial" w:cs="Arial" w:eastAsia="Arial" w:hAnsi="Arial"/>
          <w:sz w:val="16"/>
          <w:szCs w:val="16"/>
          <w:color w:val="auto"/>
        </w:rPr>
        <w:t>Funding requirements for Kodak's major defined benefit retirement plans and other postretirement benefit plans have not been determined, therefore, they have not been included.</w:t>
      </w:r>
    </w:p>
    <w:p>
      <w:pPr>
        <w:spacing w:after="0" w:line="54" w:lineRule="exact"/>
        <w:rPr>
          <w:rFonts w:ascii="Arial" w:cs="Arial" w:eastAsia="Arial" w:hAnsi="Arial"/>
          <w:sz w:val="14"/>
          <w:szCs w:val="14"/>
          <w:color w:val="auto"/>
        </w:rPr>
      </w:pPr>
    </w:p>
    <w:p>
      <w:pPr>
        <w:ind w:left="383" w:right="340" w:hanging="383"/>
        <w:spacing w:after="0" w:line="280" w:lineRule="auto"/>
        <w:tabs>
          <w:tab w:leader="none" w:pos="383" w:val="left"/>
        </w:tabs>
        <w:numPr>
          <w:ilvl w:val="0"/>
          <w:numId w:val="32"/>
        </w:numPr>
        <w:rPr>
          <w:rFonts w:ascii="Arial" w:cs="Arial" w:eastAsia="Arial" w:hAnsi="Arial"/>
          <w:sz w:val="14"/>
          <w:szCs w:val="14"/>
          <w:color w:val="auto"/>
        </w:rPr>
      </w:pPr>
      <w:r>
        <w:rPr>
          <w:rFonts w:ascii="Arial" w:cs="Arial" w:eastAsia="Arial" w:hAnsi="Arial"/>
          <w:sz w:val="16"/>
          <w:szCs w:val="16"/>
          <w:color w:val="auto"/>
        </w:rPr>
        <w:t>Because timing of their future cash outflows are uncertain, the other long-term liabilities presented in Note 7, “Other Long-Term Liabilities,” in the Notes to Financial Statements are excluded from this table.</w:t>
      </w:r>
    </w:p>
    <w:p>
      <w:pPr>
        <w:spacing w:after="0" w:line="54" w:lineRule="exact"/>
        <w:rPr>
          <w:rFonts w:ascii="Arial" w:cs="Arial" w:eastAsia="Arial" w:hAnsi="Arial"/>
          <w:sz w:val="14"/>
          <w:szCs w:val="14"/>
          <w:color w:val="auto"/>
        </w:rPr>
      </w:pPr>
    </w:p>
    <w:p>
      <w:pPr>
        <w:ind w:left="383" w:right="100" w:hanging="383"/>
        <w:spacing w:after="0" w:line="278" w:lineRule="auto"/>
        <w:tabs>
          <w:tab w:leader="none" w:pos="383" w:val="left"/>
        </w:tabs>
        <w:numPr>
          <w:ilvl w:val="0"/>
          <w:numId w:val="32"/>
        </w:numPr>
        <w:rPr>
          <w:rFonts w:ascii="Arial" w:cs="Arial" w:eastAsia="Arial" w:hAnsi="Arial"/>
          <w:sz w:val="13"/>
          <w:szCs w:val="13"/>
          <w:color w:val="auto"/>
        </w:rPr>
      </w:pPr>
      <w:r>
        <w:rPr>
          <w:rFonts w:ascii="Arial" w:cs="Arial" w:eastAsia="Arial" w:hAnsi="Arial"/>
          <w:sz w:val="15"/>
          <w:szCs w:val="15"/>
          <w:color w:val="auto"/>
        </w:rPr>
        <w:t>On September 3, 2013, Kodak consummated the sale of certain assets of the PI/DI Business to the KPP Purchasing Parties. Up to $35 million in aggregate of the purchase price is subject to repayment to the KPP Purchasing Parties if the PI/DI Business does not achieve certain annual adjusted EBITDA targets over the four-year period ending December 31, 2018. The PI/DI Business did not achieve the annual adjusted EBITDA targets for the years ending December 31, 2016 and 2015. As a result, $11 million of the purchase price, representing the maximum amount that could be owed for 2016 and 2015, was repaid to the KPP Purchasing Parties. The maximum amount that could be owed in each year of the remaining two-year period is as follows: $10 million in 2018 and $14 million in 2019. Due to uncertainty regarding the level of annual adjusted EBITDA for the PI/DI Business, no payments have been included in the table. Refer to Note 25, “Discontinued Operations.”</w:t>
      </w:r>
    </w:p>
    <w:p>
      <w:pPr>
        <w:spacing w:after="0" w:line="58" w:lineRule="exact"/>
        <w:rPr>
          <w:rFonts w:ascii="Arial" w:cs="Arial" w:eastAsia="Arial" w:hAnsi="Arial"/>
          <w:sz w:val="13"/>
          <w:szCs w:val="13"/>
          <w:color w:val="auto"/>
        </w:rPr>
      </w:pPr>
    </w:p>
    <w:p>
      <w:pPr>
        <w:ind w:left="383" w:right="40" w:hanging="383"/>
        <w:spacing w:after="0" w:line="278" w:lineRule="auto"/>
        <w:tabs>
          <w:tab w:leader="none" w:pos="383" w:val="left"/>
        </w:tabs>
        <w:numPr>
          <w:ilvl w:val="0"/>
          <w:numId w:val="32"/>
        </w:numPr>
        <w:rPr>
          <w:rFonts w:ascii="Arial" w:cs="Arial" w:eastAsia="Arial" w:hAnsi="Arial"/>
          <w:sz w:val="13"/>
          <w:szCs w:val="13"/>
          <w:color w:val="auto"/>
        </w:rPr>
      </w:pPr>
      <w:r>
        <w:rPr>
          <w:rFonts w:ascii="Arial" w:cs="Arial" w:eastAsia="Arial" w:hAnsi="Arial"/>
          <w:sz w:val="15"/>
          <w:szCs w:val="15"/>
          <w:color w:val="auto"/>
        </w:rPr>
        <w:t>On November 15, 2016, the Company issued 2,000,000 shares of 5.50% Series A Convertible Preferred Stock, no par value per share (the “Series A Preferred Stock”), for an aggregate purchase price of $200 million, or $100 per share pursuant to a Series A Preferred Stock Purchase Agreement. The Series A Preferred Stock has a liquidation preference of $100 per share, and the holders of Series A Preferred Stock are entitled to cumulative dividends payable quarterly in cash at a rate of 5.50% per annum. If holders of the Series A Preferred stock convert their shares into common stock, dividends will decrease. The Company is required to redeem all shares not converted prior to the fifth anniversary of the initial issuance at $100 per share plus the amount of any accrued and unpaid dividends. Due to uncertainty regarding the number of shares that will be redeemed, the redemption has not been included in the above table.</w:t>
      </w:r>
    </w:p>
    <w:p>
      <w:pPr>
        <w:spacing w:after="0" w:line="155"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62865</wp:posOffset>
            </wp:positionV>
            <wp:extent cx="7301865" cy="406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301865" cy="40640"/>
                    </a:xfrm>
                    <a:prstGeom prst="rect">
                      <a:avLst/>
                    </a:prstGeom>
                    <a:noFill/>
                  </pic:spPr>
                </pic:pic>
              </a:graphicData>
            </a:graphic>
          </wp:anchor>
        </w:drawing>
      </w:r>
    </w:p>
    <w:p>
      <w:pPr>
        <w:sectPr>
          <w:pgSz w:w="11900" w:h="16838" w:orient="portrait"/>
          <w:cols w:equalWidth="0" w:num="1">
            <w:col w:w="11443"/>
          </w:cols>
          <w:pgMar w:left="237" w:top="224" w:right="219" w:bottom="1440" w:gutter="0" w:footer="0" w:header="0"/>
        </w:sectPr>
      </w:pPr>
    </w:p>
    <w:bookmarkStart w:id="49" w:name="page50"/>
    <w:bookmarkEnd w:id="49"/>
    <w:p>
      <w:pPr>
        <w:spacing w:after="0"/>
        <w:rPr>
          <w:sz w:val="20"/>
          <w:szCs w:val="20"/>
          <w:color w:val="auto"/>
        </w:rPr>
      </w:pPr>
      <w:r>
        <w:rPr>
          <w:rFonts w:ascii="Arial" w:cs="Arial" w:eastAsia="Arial" w:hAnsi="Arial"/>
          <w:sz w:val="16"/>
          <w:szCs w:val="16"/>
          <w:b w:val="1"/>
          <w:bCs w:val="1"/>
          <w:i w:val="1"/>
          <w:iCs w:val="1"/>
          <w:color w:val="auto"/>
        </w:rPr>
        <w:t>Off-Balance Sheet Arrangements</w:t>
      </w:r>
    </w:p>
    <w:p>
      <w:pPr>
        <w:spacing w:after="0" w:line="106" w:lineRule="exact"/>
        <w:rPr>
          <w:sz w:val="20"/>
          <w:szCs w:val="20"/>
          <w:color w:val="auto"/>
        </w:rPr>
      </w:pPr>
    </w:p>
    <w:p>
      <w:pPr>
        <w:ind w:right="380"/>
        <w:spacing w:after="0" w:line="280" w:lineRule="auto"/>
        <w:rPr>
          <w:sz w:val="20"/>
          <w:szCs w:val="20"/>
          <w:color w:val="auto"/>
        </w:rPr>
      </w:pPr>
      <w:r>
        <w:rPr>
          <w:rFonts w:ascii="Arial" w:cs="Arial" w:eastAsia="Arial" w:hAnsi="Arial"/>
          <w:sz w:val="16"/>
          <w:szCs w:val="16"/>
          <w:color w:val="auto"/>
        </w:rPr>
        <w:t>EKC guarantees obligations to third parties for some of its consolidated subsidiaries. The maximum amount guaranteed is $9 million and the outstanding amount for those guarantees is $3 million.</w:t>
      </w:r>
    </w:p>
    <w:p>
      <w:pPr>
        <w:spacing w:after="0" w:line="54"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In connection with the settlement of certain of the Company’s historical environmental liabilities at EBP and in accordance with the terms of the associated settlement agreement (“Amended EBP Settlement Agreement”), in the event the historical EBP liabilities exceed $99 million, the Company will become liable for 50% of the portion above $99 million with no limitation to the maximum potential future payments. There is no liability recorded related to this guarantee.</w:t>
      </w:r>
    </w:p>
    <w:p>
      <w:pPr>
        <w:spacing w:after="0" w:line="162" w:lineRule="exact"/>
        <w:rPr>
          <w:sz w:val="20"/>
          <w:szCs w:val="20"/>
          <w:color w:val="auto"/>
        </w:rPr>
      </w:pPr>
    </w:p>
    <w:p>
      <w:pPr>
        <w:ind w:right="20"/>
        <w:spacing w:after="0" w:line="310" w:lineRule="auto"/>
        <w:rPr>
          <w:sz w:val="20"/>
          <w:szCs w:val="20"/>
          <w:color w:val="auto"/>
        </w:rPr>
      </w:pPr>
      <w:r>
        <w:rPr>
          <w:rFonts w:ascii="Arial" w:cs="Arial" w:eastAsia="Arial" w:hAnsi="Arial"/>
          <w:sz w:val="14"/>
          <w:szCs w:val="14"/>
          <w:color w:val="auto"/>
        </w:rPr>
        <w:t>Kodak issues indemnifications in certain instances when it sells businesses and real estate, and in the ordinary course of business with its customers, suppliers, service providers and business partners. Further, the Company indemnifies its directors and officers who are, or were, serving at the Company's request in such capacities. Historically, costs incurred to settle claims related to these indemnifications have not been material to Kodak’s financial position, results of operations or cash flows. Additionally, the fair value of the indemnifications that Kodak issued during the year ended December 31, 2017 was not material to Kodak’s financial position, results of operations or cash flows.</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2016</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Cash Flow Activity</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1140" w:type="dxa"/>
            <w:vAlign w:val="bottom"/>
          </w:tcPr>
          <w:p>
            <w:pPr>
              <w:spacing w:after="0"/>
              <w:rPr>
                <w:sz w:val="13"/>
                <w:szCs w:val="13"/>
                <w:color w:val="auto"/>
              </w:rPr>
            </w:pPr>
          </w:p>
        </w:tc>
        <w:tc>
          <w:tcPr>
            <w:tcW w:w="4680" w:type="dxa"/>
            <w:vAlign w:val="bottom"/>
            <w:gridSpan w:val="4"/>
            <w:vMerge w:val="restart"/>
          </w:tcPr>
          <w:p>
            <w:pPr>
              <w:ind w:left="580"/>
              <w:spacing w:after="0"/>
              <w:rPr>
                <w:sz w:val="20"/>
                <w:szCs w:val="20"/>
                <w:color w:val="auto"/>
              </w:rPr>
            </w:pPr>
            <w:r>
              <w:rPr>
                <w:rFonts w:ascii="Arial" w:cs="Arial" w:eastAsia="Arial" w:hAnsi="Arial"/>
                <w:sz w:val="13"/>
                <w:szCs w:val="13"/>
                <w:color w:val="auto"/>
              </w:rPr>
              <w:t>(in millions)</w:t>
            </w:r>
          </w:p>
        </w:tc>
        <w:tc>
          <w:tcPr>
            <w:tcW w:w="9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gridSpan w:val="8"/>
          </w:tcPr>
          <w:p>
            <w:pPr>
              <w:jc w:val="right"/>
              <w:ind w:right="380"/>
              <w:spacing w:after="0"/>
              <w:rPr>
                <w:sz w:val="20"/>
                <w:szCs w:val="20"/>
                <w:color w:val="auto"/>
              </w:rPr>
            </w:pPr>
            <w:r>
              <w:rPr>
                <w:rFonts w:ascii="Arial" w:cs="Arial" w:eastAsia="Arial" w:hAnsi="Arial"/>
                <w:sz w:val="13"/>
                <w:szCs w:val="13"/>
                <w:b w:val="1"/>
                <w:bCs w:val="1"/>
                <w:color w:val="auto"/>
              </w:rPr>
              <w:t>As of December 31,</w:t>
            </w: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1140" w:type="dxa"/>
            <w:vAlign w:val="bottom"/>
          </w:tcPr>
          <w:p>
            <w:pPr>
              <w:spacing w:after="0"/>
              <w:rPr>
                <w:sz w:val="11"/>
                <w:szCs w:val="11"/>
                <w:color w:val="auto"/>
              </w:rPr>
            </w:pPr>
          </w:p>
        </w:tc>
        <w:tc>
          <w:tcPr>
            <w:tcW w:w="4680" w:type="dxa"/>
            <w:vAlign w:val="bottom"/>
            <w:gridSpan w:val="4"/>
            <w:vMerge w:val="continue"/>
          </w:tcPr>
          <w:p>
            <w:pPr>
              <w:spacing w:after="0"/>
              <w:rPr>
                <w:sz w:val="11"/>
                <w:szCs w:val="11"/>
                <w:color w:val="auto"/>
              </w:rPr>
            </w:pPr>
          </w:p>
        </w:tc>
        <w:tc>
          <w:tcPr>
            <w:tcW w:w="9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jc w:val="right"/>
              <w:spacing w:after="0" w:line="138" w:lineRule="exact"/>
              <w:rPr>
                <w:sz w:val="20"/>
                <w:szCs w:val="20"/>
                <w:color w:val="auto"/>
              </w:rPr>
            </w:pPr>
            <w:r>
              <w:rPr>
                <w:rFonts w:ascii="Arial" w:cs="Arial" w:eastAsia="Arial" w:hAnsi="Arial"/>
                <w:sz w:val="13"/>
                <w:szCs w:val="13"/>
                <w:b w:val="1"/>
                <w:bCs w:val="1"/>
                <w:color w:val="auto"/>
              </w:rPr>
              <w:t>2016</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jc w:val="right"/>
              <w:spacing w:after="0" w:line="138" w:lineRule="exact"/>
              <w:rPr>
                <w:sz w:val="20"/>
                <w:szCs w:val="20"/>
                <w:color w:val="auto"/>
              </w:rPr>
            </w:pPr>
            <w:r>
              <w:rPr>
                <w:rFonts w:ascii="Arial" w:cs="Arial" w:eastAsia="Arial" w:hAnsi="Arial"/>
                <w:sz w:val="13"/>
                <w:szCs w:val="13"/>
                <w:b w:val="1"/>
                <w:bCs w:val="1"/>
                <w:color w:val="auto"/>
              </w:rPr>
              <w:t>2015</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1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100" w:type="dxa"/>
            <w:vAlign w:val="bottom"/>
            <w:tcBorders>
              <w:top w:val="single" w:sz="8" w:color="CFF0FC"/>
              <w:bottom w:val="single" w:sz="8" w:color="CFF0FC"/>
            </w:tcBorders>
            <w:gridSpan w:val="3"/>
            <w:shd w:val="clear" w:color="auto" w:fill="CFF0FC"/>
          </w:tcPr>
          <w:p>
            <w:pPr>
              <w:spacing w:after="0"/>
              <w:rPr>
                <w:sz w:val="20"/>
                <w:szCs w:val="20"/>
                <w:color w:val="auto"/>
              </w:rPr>
            </w:pPr>
            <w:r>
              <w:rPr>
                <w:rFonts w:ascii="Arial" w:cs="Arial" w:eastAsia="Arial" w:hAnsi="Arial"/>
                <w:sz w:val="16"/>
                <w:szCs w:val="16"/>
                <w:color w:val="auto"/>
              </w:rPr>
              <w:t>Cash, cash equivalents and restricted cash</w:t>
            </w:r>
          </w:p>
        </w:tc>
        <w:tc>
          <w:tcPr>
            <w:tcW w:w="960" w:type="dxa"/>
            <w:vAlign w:val="bottom"/>
            <w:tcBorders>
              <w:top w:val="single" w:sz="8" w:color="CFF0FC"/>
              <w:bottom w:val="single" w:sz="8" w:color="CFF0FC"/>
            </w:tcBorders>
            <w:shd w:val="clear" w:color="auto" w:fill="CFF0FC"/>
          </w:tcPr>
          <w:p>
            <w:pPr>
              <w:spacing w:after="0"/>
              <w:rPr>
                <w:sz w:val="17"/>
                <w:szCs w:val="17"/>
                <w:color w:val="auto"/>
              </w:rPr>
            </w:pPr>
          </w:p>
        </w:tc>
        <w:tc>
          <w:tcPr>
            <w:tcW w:w="440" w:type="dxa"/>
            <w:vAlign w:val="bottom"/>
            <w:tcBorders>
              <w:top w:val="single" w:sz="8" w:color="CFF0FC"/>
              <w:bottom w:val="single" w:sz="8" w:color="CFF0FC"/>
            </w:tcBorders>
            <w:shd w:val="clear" w:color="auto" w:fill="CFF0FC"/>
          </w:tcPr>
          <w:p>
            <w:pPr>
              <w:spacing w:after="0"/>
              <w:rPr>
                <w:sz w:val="17"/>
                <w:szCs w:val="17"/>
                <w:color w:val="auto"/>
              </w:rPr>
            </w:pPr>
          </w:p>
        </w:tc>
        <w:tc>
          <w:tcPr>
            <w:tcW w:w="3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w:t>
            </w:r>
          </w:p>
        </w:tc>
        <w:tc>
          <w:tcPr>
            <w:tcW w:w="380" w:type="dxa"/>
            <w:vAlign w:val="bottom"/>
            <w:tcBorders>
              <w:top w:val="single" w:sz="8" w:color="auto"/>
              <w:bottom w:val="single" w:sz="8" w:color="auto"/>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spacing w:after="0"/>
              <w:rPr>
                <w:sz w:val="17"/>
                <w:szCs w:val="17"/>
                <w:color w:val="auto"/>
              </w:rPr>
            </w:pPr>
          </w:p>
        </w:tc>
        <w:tc>
          <w:tcPr>
            <w:tcW w:w="32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478</w:t>
            </w:r>
          </w:p>
        </w:tc>
        <w:tc>
          <w:tcPr>
            <w:tcW w:w="160" w:type="dxa"/>
            <w:vAlign w:val="bottom"/>
            <w:tcBorders>
              <w:top w:val="single" w:sz="8" w:color="CFF0FC"/>
              <w:bottom w:val="single" w:sz="8" w:color="CFF0FC"/>
            </w:tcBorders>
            <w:shd w:val="clear" w:color="auto" w:fill="CFF0FC"/>
          </w:tcPr>
          <w:p>
            <w:pPr>
              <w:spacing w:after="0"/>
              <w:rPr>
                <w:sz w:val="17"/>
                <w:szCs w:val="17"/>
                <w:color w:val="auto"/>
              </w:rPr>
            </w:pPr>
          </w:p>
        </w:tc>
        <w:tc>
          <w:tcPr>
            <w:tcW w:w="360" w:type="dxa"/>
            <w:vAlign w:val="bottom"/>
            <w:tcBorders>
              <w:top w:val="single" w:sz="8" w:color="auto"/>
              <w:bottom w:val="single" w:sz="8" w:color="auto"/>
            </w:tcBorders>
            <w:shd w:val="clear" w:color="auto" w:fill="CFF0FC"/>
          </w:tcPr>
          <w:p>
            <w:pPr>
              <w:jc w:val="right"/>
              <w:ind w:right="210"/>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shd w:val="clear" w:color="auto" w:fill="CFF0FC"/>
          </w:tcPr>
          <w:p>
            <w:pPr>
              <w:spacing w:after="0"/>
              <w:rPr>
                <w:sz w:val="17"/>
                <w:szCs w:val="17"/>
                <w:color w:val="auto"/>
              </w:rPr>
            </w:pPr>
          </w:p>
        </w:tc>
        <w:tc>
          <w:tcPr>
            <w:tcW w:w="100" w:type="dxa"/>
            <w:vAlign w:val="bottom"/>
            <w:tcBorders>
              <w:top w:val="single" w:sz="8" w:color="auto"/>
              <w:bottom w:val="single" w:sz="8" w:color="auto"/>
            </w:tcBorders>
            <w:shd w:val="clear" w:color="auto" w:fill="CFF0FC"/>
          </w:tcPr>
          <w:p>
            <w:pPr>
              <w:spacing w:after="0"/>
              <w:rPr>
                <w:sz w:val="17"/>
                <w:szCs w:val="17"/>
                <w:color w:val="auto"/>
              </w:rPr>
            </w:pPr>
          </w:p>
        </w:tc>
        <w:tc>
          <w:tcPr>
            <w:tcW w:w="30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Arial" w:cs="Arial" w:eastAsia="Arial" w:hAnsi="Arial"/>
                <w:sz w:val="16"/>
                <w:szCs w:val="16"/>
                <w:color w:val="auto"/>
              </w:rPr>
              <w:t>600</w:t>
            </w: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20" w:type="dxa"/>
            <w:vAlign w:val="bottom"/>
            <w:gridSpan w:val="5"/>
            <w:vMerge w:val="restart"/>
          </w:tcPr>
          <w:p>
            <w:pPr>
              <w:spacing w:after="0"/>
              <w:rPr>
                <w:sz w:val="20"/>
                <w:szCs w:val="20"/>
                <w:color w:val="auto"/>
              </w:rPr>
            </w:pPr>
            <w:r>
              <w:rPr>
                <w:rFonts w:ascii="Arial" w:cs="Arial" w:eastAsia="Arial" w:hAnsi="Arial"/>
                <w:sz w:val="16"/>
                <w:szCs w:val="16"/>
                <w:b w:val="1"/>
                <w:bCs w:val="1"/>
                <w:i w:val="1"/>
                <w:iCs w:val="1"/>
                <w:color w:val="auto"/>
              </w:rPr>
              <w:t>Cash Flow Activity</w:t>
            </w:r>
          </w:p>
        </w:tc>
        <w:tc>
          <w:tcPr>
            <w:tcW w:w="9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5820" w:type="dxa"/>
            <w:vAlign w:val="bottom"/>
            <w:gridSpan w:val="5"/>
            <w:vMerge w:val="continue"/>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1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7"/>
          </w:tcPr>
          <w:p>
            <w:pPr>
              <w:jc w:val="right"/>
              <w:ind w:right="70"/>
              <w:spacing w:after="0"/>
              <w:rPr>
                <w:sz w:val="20"/>
                <w:szCs w:val="20"/>
                <w:color w:val="auto"/>
              </w:rPr>
            </w:pPr>
            <w:r>
              <w:rPr>
                <w:rFonts w:ascii="Arial" w:cs="Arial" w:eastAsia="Arial" w:hAnsi="Arial"/>
                <w:sz w:val="13"/>
                <w:szCs w:val="13"/>
                <w:b w:val="1"/>
                <w:bCs w:val="1"/>
                <w:color w:val="auto"/>
                <w:w w:val="92"/>
              </w:rPr>
              <w:t>Year Ended December 31,</w:t>
            </w:r>
          </w:p>
        </w:tc>
        <w:tc>
          <w:tcPr>
            <w:tcW w:w="3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5"/>
            <w:vMerge w:val="restart"/>
          </w:tcPr>
          <w:p>
            <w:pPr>
              <w:jc w:val="center"/>
              <w:ind w:right="100"/>
              <w:spacing w:after="0"/>
              <w:rPr>
                <w:sz w:val="20"/>
                <w:szCs w:val="20"/>
                <w:color w:val="auto"/>
              </w:rPr>
            </w:pPr>
            <w:r>
              <w:rPr>
                <w:rFonts w:ascii="Arial" w:cs="Arial" w:eastAsia="Arial" w:hAnsi="Arial"/>
                <w:sz w:val="13"/>
                <w:szCs w:val="13"/>
                <w:b w:val="1"/>
                <w:bCs w:val="1"/>
                <w:color w:val="auto"/>
                <w:w w:val="93"/>
              </w:rPr>
              <w:t>Year-Over-</w:t>
            </w:r>
          </w:p>
        </w:tc>
        <w:tc>
          <w:tcPr>
            <w:tcW w:w="0" w:type="dxa"/>
            <w:vAlign w:val="bottom"/>
          </w:tcPr>
          <w:p>
            <w:pPr>
              <w:spacing w:after="0"/>
              <w:rPr>
                <w:sz w:val="1"/>
                <w:szCs w:val="1"/>
                <w:color w:val="auto"/>
              </w:rPr>
            </w:pPr>
          </w:p>
        </w:tc>
      </w:tr>
      <w:tr>
        <w:trPr>
          <w:trHeight w:val="105"/>
        </w:trPr>
        <w:tc>
          <w:tcPr>
            <w:tcW w:w="1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80" w:type="dxa"/>
            <w:vAlign w:val="bottom"/>
          </w:tcPr>
          <w:p>
            <w:pPr>
              <w:spacing w:after="0"/>
              <w:rPr>
                <w:sz w:val="9"/>
                <w:szCs w:val="9"/>
                <w:color w:val="auto"/>
              </w:rPr>
            </w:pPr>
          </w:p>
        </w:tc>
        <w:tc>
          <w:tcPr>
            <w:tcW w:w="960" w:type="dxa"/>
            <w:vAlign w:val="bottom"/>
          </w:tcPr>
          <w:p>
            <w:pPr>
              <w:spacing w:after="0"/>
              <w:rPr>
                <w:sz w:val="9"/>
                <w:szCs w:val="9"/>
                <w:color w:val="auto"/>
              </w:rPr>
            </w:pPr>
          </w:p>
        </w:tc>
        <w:tc>
          <w:tcPr>
            <w:tcW w:w="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1700" w:type="dxa"/>
            <w:vAlign w:val="bottom"/>
            <w:gridSpan w:val="3"/>
            <w:vMerge w:val="restart"/>
          </w:tcPr>
          <w:p>
            <w:pPr>
              <w:ind w:left="1380"/>
              <w:spacing w:after="0"/>
              <w:rPr>
                <w:sz w:val="20"/>
                <w:szCs w:val="20"/>
                <w:color w:val="auto"/>
              </w:rPr>
            </w:pPr>
            <w:r>
              <w:rPr>
                <w:rFonts w:ascii="Arial" w:cs="Arial" w:eastAsia="Arial" w:hAnsi="Arial"/>
                <w:sz w:val="13"/>
                <w:szCs w:val="13"/>
                <w:b w:val="1"/>
                <w:bCs w:val="1"/>
                <w:color w:val="auto"/>
              </w:rPr>
              <w:t>2016</w:t>
            </w: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96"/>
              </w:rPr>
              <w:t>2015</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3"/>
          </w:tcPr>
          <w:p>
            <w:pPr>
              <w:jc w:val="center"/>
              <w:ind w:right="300"/>
              <w:spacing w:after="0" w:line="133" w:lineRule="exact"/>
              <w:rPr>
                <w:sz w:val="20"/>
                <w:szCs w:val="20"/>
                <w:color w:val="auto"/>
              </w:rPr>
            </w:pPr>
            <w:r>
              <w:rPr>
                <w:rFonts w:ascii="Arial" w:cs="Arial" w:eastAsia="Arial" w:hAnsi="Arial"/>
                <w:sz w:val="13"/>
                <w:szCs w:val="13"/>
                <w:b w:val="1"/>
                <w:bCs w:val="1"/>
                <w:color w:val="auto"/>
                <w:w w:val="92"/>
              </w:rPr>
              <w:t>Year</w:t>
            </w:r>
          </w:p>
        </w:tc>
        <w:tc>
          <w:tcPr>
            <w:tcW w:w="0" w:type="dxa"/>
            <w:vAlign w:val="bottom"/>
          </w:tcPr>
          <w:p>
            <w:pPr>
              <w:spacing w:after="0"/>
              <w:rPr>
                <w:sz w:val="1"/>
                <w:szCs w:val="1"/>
                <w:color w:val="auto"/>
              </w:rPr>
            </w:pPr>
          </w:p>
        </w:tc>
      </w:tr>
      <w:tr>
        <w:trPr>
          <w:trHeight w:val="153"/>
        </w:trPr>
        <w:tc>
          <w:tcPr>
            <w:tcW w:w="1140" w:type="dxa"/>
            <w:vAlign w:val="bottom"/>
          </w:tcPr>
          <w:p>
            <w:pPr>
              <w:spacing w:after="0"/>
              <w:rPr>
                <w:sz w:val="13"/>
                <w:szCs w:val="13"/>
                <w:color w:val="auto"/>
              </w:rPr>
            </w:pPr>
          </w:p>
        </w:tc>
        <w:tc>
          <w:tcPr>
            <w:tcW w:w="4680" w:type="dxa"/>
            <w:vAlign w:val="bottom"/>
            <w:gridSpan w:val="4"/>
          </w:tcPr>
          <w:p>
            <w:pPr>
              <w:spacing w:after="0"/>
              <w:rPr>
                <w:sz w:val="20"/>
                <w:szCs w:val="20"/>
                <w:color w:val="auto"/>
              </w:rPr>
            </w:pPr>
            <w:r>
              <w:rPr>
                <w:rFonts w:ascii="Arial" w:cs="Arial" w:eastAsia="Arial" w:hAnsi="Arial"/>
                <w:sz w:val="13"/>
                <w:szCs w:val="13"/>
                <w:color w:val="auto"/>
              </w:rPr>
              <w:t>(in millions)</w:t>
            </w:r>
          </w:p>
        </w:tc>
        <w:tc>
          <w:tcPr>
            <w:tcW w:w="1700" w:type="dxa"/>
            <w:vAlign w:val="bottom"/>
            <w:gridSpan w:val="3"/>
            <w:vMerge w:val="continue"/>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vMerge w:val="continue"/>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4"/>
          </w:tcPr>
          <w:p>
            <w:pPr>
              <w:jc w:val="center"/>
              <w:ind w:right="220"/>
              <w:spacing w:after="0"/>
              <w:rPr>
                <w:sz w:val="20"/>
                <w:szCs w:val="20"/>
                <w:color w:val="auto"/>
              </w:rPr>
            </w:pPr>
            <w:r>
              <w:rPr>
                <w:rFonts w:ascii="Arial" w:cs="Arial" w:eastAsia="Arial" w:hAnsi="Arial"/>
                <w:sz w:val="13"/>
                <w:szCs w:val="13"/>
                <w:b w:val="1"/>
                <w:bCs w:val="1"/>
                <w:color w:val="auto"/>
                <w:w w:val="88"/>
              </w:rPr>
              <w:t>Change</w:t>
            </w:r>
          </w:p>
        </w:tc>
        <w:tc>
          <w:tcPr>
            <w:tcW w:w="0" w:type="dxa"/>
            <w:vAlign w:val="bottom"/>
          </w:tcPr>
          <w:p>
            <w:pPr>
              <w:spacing w:after="0"/>
              <w:rPr>
                <w:sz w:val="1"/>
                <w:szCs w:val="1"/>
                <w:color w:val="auto"/>
              </w:rPr>
            </w:pPr>
          </w:p>
        </w:tc>
      </w:tr>
      <w:tr>
        <w:trPr>
          <w:trHeight w:val="178"/>
        </w:trPr>
        <w:tc>
          <w:tcPr>
            <w:tcW w:w="1140" w:type="dxa"/>
            <w:vAlign w:val="bottom"/>
          </w:tcPr>
          <w:p>
            <w:pPr>
              <w:spacing w:after="0"/>
              <w:rPr>
                <w:sz w:val="15"/>
                <w:szCs w:val="15"/>
                <w:color w:val="auto"/>
              </w:rPr>
            </w:pPr>
          </w:p>
        </w:tc>
        <w:tc>
          <w:tcPr>
            <w:tcW w:w="2400" w:type="dxa"/>
            <w:vAlign w:val="bottom"/>
            <w:tcBorders>
              <w:top w:val="single" w:sz="8" w:color="CFF0FC"/>
              <w:bottom w:val="single" w:sz="8" w:color="auto"/>
            </w:tcBorders>
            <w:gridSpan w:val="3"/>
            <w:shd w:val="clear" w:color="auto" w:fill="CFF0FC"/>
          </w:tcPr>
          <w:p>
            <w:pPr>
              <w:spacing w:after="0" w:line="161" w:lineRule="exact"/>
              <w:rPr>
                <w:sz w:val="20"/>
                <w:szCs w:val="20"/>
                <w:color w:val="auto"/>
              </w:rPr>
            </w:pPr>
            <w:r>
              <w:rPr>
                <w:rFonts w:ascii="Arial" w:cs="Arial" w:eastAsia="Arial" w:hAnsi="Arial"/>
                <w:sz w:val="16"/>
                <w:szCs w:val="16"/>
                <w:color w:val="auto"/>
                <w:w w:val="92"/>
              </w:rPr>
              <w:t>Cash flows from operating activities:</w:t>
            </w:r>
          </w:p>
        </w:tc>
        <w:tc>
          <w:tcPr>
            <w:tcW w:w="2280" w:type="dxa"/>
            <w:vAlign w:val="bottom"/>
            <w:tcBorders>
              <w:top w:val="single" w:sz="8" w:color="CFF0FC"/>
              <w:bottom w:val="single" w:sz="8" w:color="CFF0FC"/>
            </w:tcBorders>
            <w:shd w:val="clear" w:color="auto" w:fill="CFF0FC"/>
          </w:tcPr>
          <w:p>
            <w:pPr>
              <w:spacing w:after="0"/>
              <w:rPr>
                <w:sz w:val="15"/>
                <w:szCs w:val="15"/>
                <w:color w:val="auto"/>
              </w:rPr>
            </w:pPr>
          </w:p>
        </w:tc>
        <w:tc>
          <w:tcPr>
            <w:tcW w:w="960" w:type="dxa"/>
            <w:vAlign w:val="bottom"/>
            <w:tcBorders>
              <w:top w:val="single" w:sz="8" w:color="CFF0FC"/>
              <w:bottom w:val="single" w:sz="8" w:color="CFF0FC"/>
            </w:tcBorders>
            <w:shd w:val="clear" w:color="auto" w:fill="CFF0FC"/>
          </w:tcPr>
          <w:p>
            <w:pPr>
              <w:spacing w:after="0"/>
              <w:rPr>
                <w:sz w:val="15"/>
                <w:szCs w:val="15"/>
                <w:color w:val="auto"/>
              </w:rPr>
            </w:pPr>
          </w:p>
        </w:tc>
        <w:tc>
          <w:tcPr>
            <w:tcW w:w="440" w:type="dxa"/>
            <w:vAlign w:val="bottom"/>
            <w:tcBorders>
              <w:top w:val="single" w:sz="8" w:color="auto"/>
              <w:bottom w:val="single" w:sz="8" w:color="CFF0FC"/>
            </w:tcBorders>
            <w:shd w:val="clear" w:color="auto" w:fill="CFF0FC"/>
          </w:tcPr>
          <w:p>
            <w:pPr>
              <w:spacing w:after="0"/>
              <w:rPr>
                <w:sz w:val="15"/>
                <w:szCs w:val="15"/>
                <w:color w:val="auto"/>
              </w:rPr>
            </w:pPr>
          </w:p>
        </w:tc>
        <w:tc>
          <w:tcPr>
            <w:tcW w:w="300" w:type="dxa"/>
            <w:vAlign w:val="bottom"/>
            <w:tcBorders>
              <w:top w:val="single" w:sz="8" w:color="auto"/>
              <w:bottom w:val="single" w:sz="8" w:color="CFF0FC"/>
            </w:tcBorders>
            <w:shd w:val="clear" w:color="auto" w:fill="CFF0FC"/>
          </w:tcPr>
          <w:p>
            <w:pPr>
              <w:spacing w:after="0"/>
              <w:rPr>
                <w:sz w:val="15"/>
                <w:szCs w:val="15"/>
                <w:color w:val="auto"/>
              </w:rPr>
            </w:pPr>
          </w:p>
        </w:tc>
        <w:tc>
          <w:tcPr>
            <w:tcW w:w="380" w:type="dxa"/>
            <w:vAlign w:val="bottom"/>
            <w:tcBorders>
              <w:top w:val="single" w:sz="8" w:color="auto"/>
              <w:bottom w:val="single" w:sz="8" w:color="CFF0FC"/>
            </w:tcBorders>
            <w:shd w:val="clear" w:color="auto" w:fill="CFF0FC"/>
          </w:tcPr>
          <w:p>
            <w:pPr>
              <w:spacing w:after="0"/>
              <w:rPr>
                <w:sz w:val="15"/>
                <w:szCs w:val="15"/>
                <w:color w:val="auto"/>
              </w:rPr>
            </w:pPr>
          </w:p>
        </w:tc>
        <w:tc>
          <w:tcPr>
            <w:tcW w:w="120" w:type="dxa"/>
            <w:vAlign w:val="bottom"/>
            <w:tcBorders>
              <w:top w:val="single" w:sz="8" w:color="CFF0FC"/>
              <w:bottom w:val="single" w:sz="8" w:color="CFF0FC"/>
            </w:tcBorders>
            <w:shd w:val="clear" w:color="auto" w:fill="CFF0FC"/>
          </w:tcPr>
          <w:p>
            <w:pPr>
              <w:spacing w:after="0"/>
              <w:rPr>
                <w:sz w:val="15"/>
                <w:szCs w:val="15"/>
                <w:color w:val="auto"/>
              </w:rPr>
            </w:pPr>
          </w:p>
        </w:tc>
        <w:tc>
          <w:tcPr>
            <w:tcW w:w="80" w:type="dxa"/>
            <w:vAlign w:val="bottom"/>
            <w:tcBorders>
              <w:top w:val="single" w:sz="8" w:color="CFF0FC"/>
              <w:bottom w:val="single" w:sz="8" w:color="CFF0FC"/>
            </w:tcBorders>
            <w:shd w:val="clear" w:color="auto" w:fill="CFF0FC"/>
          </w:tcPr>
          <w:p>
            <w:pPr>
              <w:spacing w:after="0"/>
              <w:rPr>
                <w:sz w:val="15"/>
                <w:szCs w:val="15"/>
                <w:color w:val="auto"/>
              </w:rPr>
            </w:pPr>
          </w:p>
        </w:tc>
        <w:tc>
          <w:tcPr>
            <w:tcW w:w="240" w:type="dxa"/>
            <w:vAlign w:val="bottom"/>
            <w:tcBorders>
              <w:top w:val="single" w:sz="8" w:color="auto"/>
              <w:bottom w:val="single" w:sz="8" w:color="CFF0FC"/>
            </w:tcBorders>
            <w:shd w:val="clear" w:color="auto" w:fill="CFF0FC"/>
          </w:tcPr>
          <w:p>
            <w:pPr>
              <w:spacing w:after="0"/>
              <w:rPr>
                <w:sz w:val="15"/>
                <w:szCs w:val="15"/>
                <w:color w:val="auto"/>
              </w:rPr>
            </w:pPr>
          </w:p>
        </w:tc>
        <w:tc>
          <w:tcPr>
            <w:tcW w:w="160" w:type="dxa"/>
            <w:vAlign w:val="bottom"/>
            <w:tcBorders>
              <w:top w:val="single" w:sz="8" w:color="auto"/>
              <w:bottom w:val="single" w:sz="8" w:color="CFF0FC"/>
            </w:tcBorders>
            <w:shd w:val="clear" w:color="auto" w:fill="CFF0FC"/>
          </w:tcPr>
          <w:p>
            <w:pPr>
              <w:spacing w:after="0"/>
              <w:rPr>
                <w:sz w:val="15"/>
                <w:szCs w:val="15"/>
                <w:color w:val="auto"/>
              </w:rPr>
            </w:pPr>
          </w:p>
        </w:tc>
        <w:tc>
          <w:tcPr>
            <w:tcW w:w="360" w:type="dxa"/>
            <w:vAlign w:val="bottom"/>
            <w:tcBorders>
              <w:top w:val="single" w:sz="8" w:color="auto"/>
              <w:bottom w:val="single" w:sz="8" w:color="CFF0FC"/>
            </w:tcBorders>
            <w:shd w:val="clear" w:color="auto" w:fill="CFF0FC"/>
          </w:tcPr>
          <w:p>
            <w:pPr>
              <w:spacing w:after="0"/>
              <w:rPr>
                <w:sz w:val="15"/>
                <w:szCs w:val="15"/>
                <w:color w:val="auto"/>
              </w:rPr>
            </w:pPr>
          </w:p>
        </w:tc>
        <w:tc>
          <w:tcPr>
            <w:tcW w:w="380" w:type="dxa"/>
            <w:vAlign w:val="bottom"/>
            <w:tcBorders>
              <w:top w:val="single" w:sz="8" w:color="auto"/>
              <w:bottom w:val="single" w:sz="8" w:color="CFF0FC"/>
            </w:tcBorders>
            <w:shd w:val="clear" w:color="auto" w:fill="CFF0FC"/>
          </w:tcPr>
          <w:p>
            <w:pPr>
              <w:spacing w:after="0"/>
              <w:rPr>
                <w:sz w:val="15"/>
                <w:szCs w:val="15"/>
                <w:color w:val="auto"/>
              </w:rPr>
            </w:pPr>
          </w:p>
        </w:tc>
        <w:tc>
          <w:tcPr>
            <w:tcW w:w="100" w:type="dxa"/>
            <w:vAlign w:val="bottom"/>
            <w:tcBorders>
              <w:top w:val="single" w:sz="8" w:color="CFF0FC"/>
              <w:bottom w:val="single" w:sz="8" w:color="CFF0FC"/>
            </w:tcBorders>
            <w:shd w:val="clear" w:color="auto" w:fill="CFF0FC"/>
          </w:tcPr>
          <w:p>
            <w:pPr>
              <w:spacing w:after="0"/>
              <w:rPr>
                <w:sz w:val="15"/>
                <w:szCs w:val="15"/>
                <w:color w:val="auto"/>
              </w:rPr>
            </w:pPr>
          </w:p>
        </w:tc>
        <w:tc>
          <w:tcPr>
            <w:tcW w:w="100" w:type="dxa"/>
            <w:vAlign w:val="bottom"/>
            <w:tcBorders>
              <w:top w:val="single" w:sz="8" w:color="CFF0FC"/>
              <w:bottom w:val="single" w:sz="8" w:color="CFF0FC"/>
            </w:tcBorders>
            <w:shd w:val="clear" w:color="auto" w:fill="CFF0FC"/>
          </w:tcPr>
          <w:p>
            <w:pPr>
              <w:spacing w:after="0"/>
              <w:rPr>
                <w:sz w:val="15"/>
                <w:szCs w:val="15"/>
                <w:color w:val="auto"/>
              </w:rPr>
            </w:pPr>
          </w:p>
        </w:tc>
        <w:tc>
          <w:tcPr>
            <w:tcW w:w="120" w:type="dxa"/>
            <w:vAlign w:val="bottom"/>
            <w:tcBorders>
              <w:top w:val="single" w:sz="8" w:color="auto"/>
              <w:bottom w:val="single" w:sz="8" w:color="CFF0FC"/>
            </w:tcBorders>
            <w:shd w:val="clear" w:color="auto" w:fill="CFF0FC"/>
          </w:tcPr>
          <w:p>
            <w:pPr>
              <w:spacing w:after="0"/>
              <w:rPr>
                <w:sz w:val="15"/>
                <w:szCs w:val="15"/>
                <w:color w:val="auto"/>
              </w:rPr>
            </w:pPr>
          </w:p>
        </w:tc>
        <w:tc>
          <w:tcPr>
            <w:tcW w:w="80" w:type="dxa"/>
            <w:vAlign w:val="bottom"/>
            <w:tcBorders>
              <w:top w:val="single" w:sz="8" w:color="auto"/>
              <w:bottom w:val="single" w:sz="8" w:color="CFF0FC"/>
            </w:tcBorders>
            <w:shd w:val="clear" w:color="auto" w:fill="CFF0FC"/>
          </w:tcPr>
          <w:p>
            <w:pPr>
              <w:spacing w:after="0"/>
              <w:rPr>
                <w:sz w:val="15"/>
                <w:szCs w:val="15"/>
                <w:color w:val="auto"/>
              </w:rPr>
            </w:pPr>
          </w:p>
        </w:tc>
        <w:tc>
          <w:tcPr>
            <w:tcW w:w="80" w:type="dxa"/>
            <w:vAlign w:val="bottom"/>
            <w:tcBorders>
              <w:top w:val="single" w:sz="8" w:color="auto"/>
              <w:bottom w:val="single" w:sz="8" w:color="CFF0FC"/>
            </w:tcBorders>
            <w:shd w:val="clear" w:color="auto" w:fill="CFF0FC"/>
          </w:tcPr>
          <w:p>
            <w:pPr>
              <w:spacing w:after="0"/>
              <w:rPr>
                <w:sz w:val="15"/>
                <w:szCs w:val="15"/>
                <w:color w:val="auto"/>
              </w:rPr>
            </w:pPr>
          </w:p>
        </w:tc>
        <w:tc>
          <w:tcPr>
            <w:tcW w:w="460" w:type="dxa"/>
            <w:vAlign w:val="bottom"/>
            <w:tcBorders>
              <w:top w:val="single" w:sz="8" w:color="auto"/>
              <w:bottom w:val="single" w:sz="8" w:color="CFF0FC"/>
            </w:tcBorders>
            <w:shd w:val="clear" w:color="auto" w:fill="CFF0FC"/>
          </w:tcPr>
          <w:p>
            <w:pPr>
              <w:spacing w:after="0"/>
              <w:rPr>
                <w:sz w:val="15"/>
                <w:szCs w:val="15"/>
                <w:color w:val="auto"/>
              </w:rPr>
            </w:pPr>
          </w:p>
        </w:tc>
        <w:tc>
          <w:tcPr>
            <w:tcW w:w="100" w:type="dxa"/>
            <w:vAlign w:val="bottom"/>
            <w:tcBorders>
              <w:top w:val="single" w:sz="8" w:color="CFF0FC"/>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1140" w:type="dxa"/>
            <w:vAlign w:val="bottom"/>
          </w:tcPr>
          <w:p>
            <w:pPr>
              <w:spacing w:after="0"/>
              <w:rPr>
                <w:sz w:val="17"/>
                <w:szCs w:val="17"/>
                <w:color w:val="auto"/>
              </w:rPr>
            </w:pPr>
          </w:p>
        </w:tc>
        <w:tc>
          <w:tcPr>
            <w:tcW w:w="4680" w:type="dxa"/>
            <w:vAlign w:val="bottom"/>
            <w:gridSpan w:val="4"/>
          </w:tcPr>
          <w:p>
            <w:pPr>
              <w:spacing w:after="0"/>
              <w:rPr>
                <w:sz w:val="20"/>
                <w:szCs w:val="20"/>
                <w:color w:val="auto"/>
              </w:rPr>
            </w:pPr>
            <w:r>
              <w:rPr>
                <w:rFonts w:ascii="Arial" w:cs="Arial" w:eastAsia="Arial" w:hAnsi="Arial"/>
                <w:sz w:val="16"/>
                <w:szCs w:val="16"/>
                <w:color w:val="auto"/>
              </w:rPr>
              <w:t>Net cash used in operating activities</w:t>
            </w:r>
          </w:p>
        </w:tc>
        <w:tc>
          <w:tcPr>
            <w:tcW w:w="140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6"/>
                <w:szCs w:val="16"/>
                <w:color w:val="auto"/>
              </w:rPr>
              <w:t>(15)</w:t>
            </w:r>
          </w:p>
        </w:tc>
        <w:tc>
          <w:tcPr>
            <w:tcW w:w="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6"/>
                <w:szCs w:val="16"/>
                <w:color w:val="auto"/>
              </w:rPr>
              <w:t>(95)</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20" w:type="dxa"/>
            <w:vAlign w:val="bottom"/>
            <w:gridSpan w:val="3"/>
          </w:tcPr>
          <w:p>
            <w:pPr>
              <w:jc w:val="right"/>
              <w:spacing w:after="0"/>
              <w:rPr>
                <w:sz w:val="20"/>
                <w:szCs w:val="20"/>
                <w:color w:val="auto"/>
              </w:rPr>
            </w:pPr>
            <w:r>
              <w:rPr>
                <w:rFonts w:ascii="Arial" w:cs="Arial" w:eastAsia="Arial" w:hAnsi="Arial"/>
                <w:sz w:val="16"/>
                <w:szCs w:val="16"/>
                <w:color w:val="auto"/>
              </w:rPr>
              <w:t>80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140" w:type="dxa"/>
            <w:vAlign w:val="bottom"/>
          </w:tcPr>
          <w:p>
            <w:pPr>
              <w:spacing w:after="0"/>
              <w:rPr>
                <w:sz w:val="17"/>
                <w:szCs w:val="17"/>
                <w:color w:val="auto"/>
              </w:rPr>
            </w:pPr>
          </w:p>
        </w:tc>
        <w:tc>
          <w:tcPr>
            <w:tcW w:w="580" w:type="dxa"/>
            <w:vAlign w:val="bottom"/>
            <w:tcBorders>
              <w:top w:val="single" w:sz="8" w:color="CFF0FC"/>
            </w:tcBorders>
            <w:shd w:val="clear" w:color="auto" w:fill="CFF0FC"/>
          </w:tcPr>
          <w:p>
            <w:pPr>
              <w:spacing w:after="0"/>
              <w:rPr>
                <w:sz w:val="17"/>
                <w:szCs w:val="17"/>
                <w:color w:val="auto"/>
              </w:rPr>
            </w:pPr>
          </w:p>
        </w:tc>
        <w:tc>
          <w:tcPr>
            <w:tcW w:w="180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2280" w:type="dxa"/>
            <w:vAlign w:val="bottom"/>
            <w:tcBorders>
              <w:top w:val="single" w:sz="8" w:color="CFF0FC"/>
            </w:tcBorders>
            <w:shd w:val="clear" w:color="auto" w:fill="CFF0FC"/>
          </w:tcPr>
          <w:p>
            <w:pPr>
              <w:spacing w:after="0"/>
              <w:rPr>
                <w:sz w:val="17"/>
                <w:szCs w:val="17"/>
                <w:color w:val="auto"/>
              </w:rPr>
            </w:pPr>
          </w:p>
        </w:tc>
        <w:tc>
          <w:tcPr>
            <w:tcW w:w="960" w:type="dxa"/>
            <w:vAlign w:val="bottom"/>
            <w:tcBorders>
              <w:top w:val="single" w:sz="8" w:color="CFF0FC"/>
            </w:tcBorders>
            <w:shd w:val="clear" w:color="auto" w:fill="CFF0FC"/>
          </w:tcPr>
          <w:p>
            <w:pPr>
              <w:spacing w:after="0"/>
              <w:rPr>
                <w:sz w:val="17"/>
                <w:szCs w:val="17"/>
                <w:color w:val="auto"/>
              </w:rPr>
            </w:pPr>
          </w:p>
        </w:tc>
        <w:tc>
          <w:tcPr>
            <w:tcW w:w="440" w:type="dxa"/>
            <w:vAlign w:val="bottom"/>
            <w:tcBorders>
              <w:top w:val="single" w:sz="8" w:color="auto"/>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4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1140" w:type="dxa"/>
            <w:vAlign w:val="bottom"/>
          </w:tcPr>
          <w:p>
            <w:pPr>
              <w:spacing w:after="0"/>
              <w:rPr>
                <w:sz w:val="15"/>
                <w:szCs w:val="15"/>
                <w:color w:val="auto"/>
              </w:rPr>
            </w:pPr>
          </w:p>
        </w:tc>
        <w:tc>
          <w:tcPr>
            <w:tcW w:w="2380" w:type="dxa"/>
            <w:vAlign w:val="bottom"/>
            <w:tcBorders>
              <w:bottom w:val="single" w:sz="8" w:color="auto"/>
            </w:tcBorders>
            <w:gridSpan w:val="2"/>
          </w:tcPr>
          <w:p>
            <w:pPr>
              <w:spacing w:after="0" w:line="169" w:lineRule="exact"/>
              <w:rPr>
                <w:sz w:val="20"/>
                <w:szCs w:val="20"/>
                <w:color w:val="auto"/>
              </w:rPr>
            </w:pPr>
            <w:r>
              <w:rPr>
                <w:rFonts w:ascii="Arial" w:cs="Arial" w:eastAsia="Arial" w:hAnsi="Arial"/>
                <w:sz w:val="16"/>
                <w:szCs w:val="16"/>
                <w:color w:val="auto"/>
                <w:w w:val="93"/>
              </w:rPr>
              <w:t>Cash flows from investing activities:</w:t>
            </w:r>
          </w:p>
        </w:tc>
        <w:tc>
          <w:tcPr>
            <w:tcW w:w="2300" w:type="dxa"/>
            <w:vAlign w:val="bottom"/>
            <w:gridSpan w:val="2"/>
          </w:tcPr>
          <w:p>
            <w:pPr>
              <w:spacing w:after="0"/>
              <w:rPr>
                <w:sz w:val="15"/>
                <w:szCs w:val="15"/>
                <w:color w:val="auto"/>
              </w:rPr>
            </w:pPr>
          </w:p>
        </w:tc>
        <w:tc>
          <w:tcPr>
            <w:tcW w:w="9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1140" w:type="dxa"/>
            <w:vAlign w:val="bottom"/>
          </w:tcPr>
          <w:p>
            <w:pPr>
              <w:spacing w:after="0"/>
              <w:rPr>
                <w:sz w:val="18"/>
                <w:szCs w:val="18"/>
                <w:color w:val="auto"/>
              </w:rPr>
            </w:pPr>
          </w:p>
        </w:tc>
        <w:tc>
          <w:tcPr>
            <w:tcW w:w="4680" w:type="dxa"/>
            <w:vAlign w:val="bottom"/>
            <w:gridSpan w:val="4"/>
            <w:shd w:val="clear" w:color="auto" w:fill="CFF0FC"/>
          </w:tcPr>
          <w:p>
            <w:pPr>
              <w:spacing w:after="0"/>
              <w:rPr>
                <w:sz w:val="20"/>
                <w:szCs w:val="20"/>
                <w:color w:val="auto"/>
              </w:rPr>
            </w:pPr>
            <w:r>
              <w:rPr>
                <w:rFonts w:ascii="Arial" w:cs="Arial" w:eastAsia="Arial" w:hAnsi="Arial"/>
                <w:sz w:val="16"/>
                <w:szCs w:val="16"/>
                <w:color w:val="auto"/>
              </w:rPr>
              <w:t>Net cash used in investing activities</w:t>
            </w:r>
          </w:p>
        </w:tc>
        <w:tc>
          <w:tcPr>
            <w:tcW w:w="9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(29)</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(41)</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1140" w:type="dxa"/>
            <w:vAlign w:val="bottom"/>
          </w:tcPr>
          <w:p>
            <w:pPr>
              <w:spacing w:after="0"/>
              <w:rPr>
                <w:sz w:val="16"/>
                <w:szCs w:val="16"/>
                <w:color w:val="auto"/>
              </w:rPr>
            </w:pPr>
          </w:p>
        </w:tc>
        <w:tc>
          <w:tcPr>
            <w:tcW w:w="2400" w:type="dxa"/>
            <w:vAlign w:val="bottom"/>
            <w:tcBorders>
              <w:bottom w:val="single" w:sz="8" w:color="auto"/>
            </w:tcBorders>
            <w:gridSpan w:val="3"/>
            <w:shd w:val="clear" w:color="auto" w:fill="CFF0FC"/>
          </w:tcPr>
          <w:p>
            <w:pPr>
              <w:spacing w:after="0" w:line="169" w:lineRule="exact"/>
              <w:rPr>
                <w:sz w:val="20"/>
                <w:szCs w:val="20"/>
                <w:color w:val="auto"/>
              </w:rPr>
            </w:pPr>
            <w:r>
              <w:rPr>
                <w:rFonts w:ascii="Arial" w:cs="Arial" w:eastAsia="Arial" w:hAnsi="Arial"/>
                <w:sz w:val="16"/>
                <w:szCs w:val="16"/>
                <w:color w:val="auto"/>
                <w:w w:val="93"/>
              </w:rPr>
              <w:t>Cash flows from financing activities:</w:t>
            </w:r>
          </w:p>
        </w:tc>
        <w:tc>
          <w:tcPr>
            <w:tcW w:w="2280" w:type="dxa"/>
            <w:vAlign w:val="bottom"/>
            <w:tcBorders>
              <w:bottom w:val="single" w:sz="8" w:color="CFF0FC"/>
            </w:tcBorders>
            <w:shd w:val="clear" w:color="auto" w:fill="CFF0FC"/>
          </w:tcPr>
          <w:p>
            <w:pPr>
              <w:spacing w:after="0"/>
              <w:rPr>
                <w:sz w:val="16"/>
                <w:szCs w:val="16"/>
                <w:color w:val="auto"/>
              </w:rPr>
            </w:pPr>
          </w:p>
        </w:tc>
        <w:tc>
          <w:tcPr>
            <w:tcW w:w="960" w:type="dxa"/>
            <w:vAlign w:val="bottom"/>
            <w:tcBorders>
              <w:bottom w:val="single" w:sz="8" w:color="CFF0FC"/>
            </w:tcBorders>
            <w:shd w:val="clear" w:color="auto" w:fill="CFF0FC"/>
          </w:tcPr>
          <w:p>
            <w:pPr>
              <w:spacing w:after="0"/>
              <w:rPr>
                <w:sz w:val="16"/>
                <w:szCs w:val="16"/>
                <w:color w:val="auto"/>
              </w:rPr>
            </w:pPr>
          </w:p>
        </w:tc>
        <w:tc>
          <w:tcPr>
            <w:tcW w:w="440" w:type="dxa"/>
            <w:vAlign w:val="bottom"/>
            <w:tcBorders>
              <w:bottom w:val="single" w:sz="8" w:color="CFF0FC"/>
            </w:tcBorders>
            <w:shd w:val="clear" w:color="auto" w:fill="CFF0FC"/>
          </w:tcPr>
          <w:p>
            <w:pPr>
              <w:spacing w:after="0"/>
              <w:rPr>
                <w:sz w:val="16"/>
                <w:szCs w:val="16"/>
                <w:color w:val="auto"/>
              </w:rPr>
            </w:pPr>
          </w:p>
        </w:tc>
        <w:tc>
          <w:tcPr>
            <w:tcW w:w="300" w:type="dxa"/>
            <w:vAlign w:val="bottom"/>
            <w:tcBorders>
              <w:bottom w:val="single" w:sz="8" w:color="CFF0FC"/>
            </w:tcBorders>
            <w:shd w:val="clear" w:color="auto" w:fill="CFF0FC"/>
          </w:tcPr>
          <w:p>
            <w:pPr>
              <w:spacing w:after="0"/>
              <w:rPr>
                <w:sz w:val="16"/>
                <w:szCs w:val="16"/>
                <w:color w:val="auto"/>
              </w:rPr>
            </w:pPr>
          </w:p>
        </w:tc>
        <w:tc>
          <w:tcPr>
            <w:tcW w:w="38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CFF0FC"/>
            </w:tcBorders>
            <w:shd w:val="clear" w:color="auto" w:fill="CFF0FC"/>
          </w:tcPr>
          <w:p>
            <w:pPr>
              <w:spacing w:after="0"/>
              <w:rPr>
                <w:sz w:val="16"/>
                <w:szCs w:val="16"/>
                <w:color w:val="auto"/>
              </w:rPr>
            </w:pPr>
          </w:p>
        </w:tc>
        <w:tc>
          <w:tcPr>
            <w:tcW w:w="360" w:type="dxa"/>
            <w:vAlign w:val="bottom"/>
            <w:tcBorders>
              <w:bottom w:val="single" w:sz="8" w:color="CFF0FC"/>
            </w:tcBorders>
            <w:shd w:val="clear" w:color="auto" w:fill="CFF0FC"/>
          </w:tcPr>
          <w:p>
            <w:pPr>
              <w:spacing w:after="0"/>
              <w:rPr>
                <w:sz w:val="16"/>
                <w:szCs w:val="16"/>
                <w:color w:val="auto"/>
              </w:rPr>
            </w:pPr>
          </w:p>
        </w:tc>
        <w:tc>
          <w:tcPr>
            <w:tcW w:w="38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46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1140" w:type="dxa"/>
            <w:vAlign w:val="bottom"/>
          </w:tcPr>
          <w:p>
            <w:pPr>
              <w:spacing w:after="0"/>
              <w:rPr>
                <w:sz w:val="17"/>
                <w:szCs w:val="17"/>
                <w:color w:val="auto"/>
              </w:rPr>
            </w:pPr>
          </w:p>
        </w:tc>
        <w:tc>
          <w:tcPr>
            <w:tcW w:w="4680" w:type="dxa"/>
            <w:vAlign w:val="bottom"/>
            <w:gridSpan w:val="4"/>
          </w:tcPr>
          <w:p>
            <w:pPr>
              <w:spacing w:after="0"/>
              <w:rPr>
                <w:sz w:val="20"/>
                <w:szCs w:val="20"/>
                <w:color w:val="auto"/>
              </w:rPr>
            </w:pPr>
            <w:r>
              <w:rPr>
                <w:rFonts w:ascii="Arial" w:cs="Arial" w:eastAsia="Arial" w:hAnsi="Arial"/>
                <w:sz w:val="16"/>
                <w:szCs w:val="16"/>
                <w:color w:val="auto"/>
              </w:rPr>
              <w:t>Net cash used in financing activities</w:t>
            </w:r>
          </w:p>
        </w:tc>
        <w:tc>
          <w:tcPr>
            <w:tcW w:w="9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6"/>
                <w:szCs w:val="16"/>
                <w:color w:val="auto"/>
              </w:rPr>
              <w:t>(72)</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4"/>
          </w:tcPr>
          <w:p>
            <w:pPr>
              <w:jc w:val="right"/>
              <w:ind w:right="40"/>
              <w:spacing w:after="0"/>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198"/>
        </w:trPr>
        <w:tc>
          <w:tcPr>
            <w:tcW w:w="1140" w:type="dxa"/>
            <w:vAlign w:val="bottom"/>
          </w:tcPr>
          <w:p>
            <w:pPr>
              <w:spacing w:after="0"/>
              <w:rPr>
                <w:sz w:val="17"/>
                <w:szCs w:val="17"/>
                <w:color w:val="auto"/>
              </w:rPr>
            </w:pPr>
          </w:p>
        </w:tc>
        <w:tc>
          <w:tcPr>
            <w:tcW w:w="580" w:type="dxa"/>
            <w:vAlign w:val="bottom"/>
            <w:tcBorders>
              <w:top w:val="single" w:sz="8" w:color="CFF0FC"/>
            </w:tcBorders>
            <w:shd w:val="clear" w:color="auto" w:fill="CFF0FC"/>
          </w:tcPr>
          <w:p>
            <w:pPr>
              <w:spacing w:after="0"/>
              <w:rPr>
                <w:sz w:val="17"/>
                <w:szCs w:val="17"/>
                <w:color w:val="auto"/>
              </w:rPr>
            </w:pPr>
          </w:p>
        </w:tc>
        <w:tc>
          <w:tcPr>
            <w:tcW w:w="180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2280" w:type="dxa"/>
            <w:vAlign w:val="bottom"/>
            <w:tcBorders>
              <w:top w:val="single" w:sz="8" w:color="CFF0FC"/>
            </w:tcBorders>
            <w:shd w:val="clear" w:color="auto" w:fill="CFF0FC"/>
          </w:tcPr>
          <w:p>
            <w:pPr>
              <w:spacing w:after="0"/>
              <w:rPr>
                <w:sz w:val="17"/>
                <w:szCs w:val="17"/>
                <w:color w:val="auto"/>
              </w:rPr>
            </w:pPr>
          </w:p>
        </w:tc>
        <w:tc>
          <w:tcPr>
            <w:tcW w:w="960" w:type="dxa"/>
            <w:vAlign w:val="bottom"/>
            <w:tcBorders>
              <w:top w:val="single" w:sz="8" w:color="CFF0FC"/>
            </w:tcBorders>
            <w:shd w:val="clear" w:color="auto" w:fill="CFF0FC"/>
          </w:tcPr>
          <w:p>
            <w:pPr>
              <w:spacing w:after="0"/>
              <w:rPr>
                <w:sz w:val="17"/>
                <w:szCs w:val="17"/>
                <w:color w:val="auto"/>
              </w:rPr>
            </w:pPr>
          </w:p>
        </w:tc>
        <w:tc>
          <w:tcPr>
            <w:tcW w:w="440" w:type="dxa"/>
            <w:vAlign w:val="bottom"/>
            <w:tcBorders>
              <w:top w:val="single" w:sz="8" w:color="auto"/>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4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40" w:type="dxa"/>
            <w:vAlign w:val="bottom"/>
          </w:tcPr>
          <w:p>
            <w:pPr>
              <w:spacing w:after="0"/>
              <w:rPr>
                <w:sz w:val="17"/>
                <w:szCs w:val="17"/>
                <w:color w:val="auto"/>
              </w:rPr>
            </w:pPr>
          </w:p>
        </w:tc>
        <w:tc>
          <w:tcPr>
            <w:tcW w:w="4680" w:type="dxa"/>
            <w:vAlign w:val="bottom"/>
            <w:gridSpan w:val="4"/>
          </w:tcPr>
          <w:p>
            <w:pPr>
              <w:spacing w:after="0"/>
              <w:rPr>
                <w:sz w:val="20"/>
                <w:szCs w:val="20"/>
                <w:color w:val="auto"/>
              </w:rPr>
            </w:pPr>
            <w:r>
              <w:rPr>
                <w:rFonts w:ascii="Arial" w:cs="Arial" w:eastAsia="Arial" w:hAnsi="Arial"/>
                <w:sz w:val="16"/>
                <w:szCs w:val="16"/>
                <w:color w:val="auto"/>
              </w:rPr>
              <w:t>Effect of exchange rate changes on cash</w:t>
            </w:r>
          </w:p>
        </w:tc>
        <w:tc>
          <w:tcPr>
            <w:tcW w:w="9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6"/>
                <w:szCs w:val="16"/>
                <w:color w:val="auto"/>
              </w:rPr>
              <w:t>(6)</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gridSpan w:val="3"/>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140" w:type="dxa"/>
            <w:vAlign w:val="bottom"/>
          </w:tcPr>
          <w:p>
            <w:pPr>
              <w:spacing w:after="0"/>
              <w:rPr>
                <w:sz w:val="17"/>
                <w:szCs w:val="17"/>
                <w:color w:val="auto"/>
              </w:rPr>
            </w:pPr>
          </w:p>
        </w:tc>
        <w:tc>
          <w:tcPr>
            <w:tcW w:w="580" w:type="dxa"/>
            <w:vAlign w:val="bottom"/>
            <w:tcBorders>
              <w:top w:val="single" w:sz="8" w:color="CFF0FC"/>
            </w:tcBorders>
            <w:shd w:val="clear" w:color="auto" w:fill="CFF0FC"/>
          </w:tcPr>
          <w:p>
            <w:pPr>
              <w:spacing w:after="0"/>
              <w:rPr>
                <w:sz w:val="17"/>
                <w:szCs w:val="17"/>
                <w:color w:val="auto"/>
              </w:rPr>
            </w:pPr>
          </w:p>
        </w:tc>
        <w:tc>
          <w:tcPr>
            <w:tcW w:w="180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2280" w:type="dxa"/>
            <w:vAlign w:val="bottom"/>
            <w:tcBorders>
              <w:top w:val="single" w:sz="8" w:color="CFF0FC"/>
            </w:tcBorders>
            <w:shd w:val="clear" w:color="auto" w:fill="CFF0FC"/>
          </w:tcPr>
          <w:p>
            <w:pPr>
              <w:spacing w:after="0"/>
              <w:rPr>
                <w:sz w:val="17"/>
                <w:szCs w:val="17"/>
                <w:color w:val="auto"/>
              </w:rPr>
            </w:pPr>
          </w:p>
        </w:tc>
        <w:tc>
          <w:tcPr>
            <w:tcW w:w="960" w:type="dxa"/>
            <w:vAlign w:val="bottom"/>
            <w:tcBorders>
              <w:top w:val="single" w:sz="8" w:color="CFF0FC"/>
            </w:tcBorders>
            <w:shd w:val="clear" w:color="auto" w:fill="CFF0FC"/>
          </w:tcPr>
          <w:p>
            <w:pPr>
              <w:spacing w:after="0"/>
              <w:rPr>
                <w:sz w:val="17"/>
                <w:szCs w:val="17"/>
                <w:color w:val="auto"/>
              </w:rPr>
            </w:pPr>
          </w:p>
        </w:tc>
        <w:tc>
          <w:tcPr>
            <w:tcW w:w="440" w:type="dxa"/>
            <w:vAlign w:val="bottom"/>
            <w:tcBorders>
              <w:top w:val="single" w:sz="8" w:color="auto"/>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4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40" w:type="dxa"/>
            <w:vAlign w:val="bottom"/>
          </w:tcPr>
          <w:p>
            <w:pPr>
              <w:spacing w:after="0"/>
              <w:rPr>
                <w:sz w:val="17"/>
                <w:szCs w:val="17"/>
                <w:color w:val="auto"/>
              </w:rPr>
            </w:pPr>
          </w:p>
        </w:tc>
        <w:tc>
          <w:tcPr>
            <w:tcW w:w="4680" w:type="dxa"/>
            <w:vAlign w:val="bottom"/>
            <w:gridSpan w:val="4"/>
          </w:tcPr>
          <w:p>
            <w:pPr>
              <w:spacing w:after="0"/>
              <w:rPr>
                <w:sz w:val="20"/>
                <w:szCs w:val="20"/>
                <w:color w:val="auto"/>
              </w:rPr>
            </w:pPr>
            <w:r>
              <w:rPr>
                <w:rFonts w:ascii="Arial" w:cs="Arial" w:eastAsia="Arial" w:hAnsi="Arial"/>
                <w:sz w:val="16"/>
                <w:szCs w:val="16"/>
                <w:color w:val="auto"/>
              </w:rPr>
              <w:t>Net decrease in cash, cash equivalents and restricted cash</w:t>
            </w:r>
          </w:p>
        </w:tc>
        <w:tc>
          <w:tcPr>
            <w:tcW w:w="140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6"/>
                <w:szCs w:val="16"/>
                <w:color w:val="auto"/>
              </w:rPr>
              <w:t>(122)</w:t>
            </w:r>
          </w:p>
        </w:tc>
        <w:tc>
          <w:tcPr>
            <w:tcW w:w="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6"/>
                <w:szCs w:val="16"/>
                <w:color w:val="auto"/>
              </w:rPr>
              <w:t>(158)</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20" w:type="dxa"/>
            <w:vAlign w:val="bottom"/>
            <w:gridSpan w:val="3"/>
          </w:tcPr>
          <w:p>
            <w:pPr>
              <w:jc w:val="right"/>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Operating Activities</w:t>
      </w:r>
    </w:p>
    <w:p>
      <w:pPr>
        <w:spacing w:after="0" w:line="22" w:lineRule="exact"/>
        <w:rPr>
          <w:sz w:val="20"/>
          <w:szCs w:val="20"/>
          <w:color w:val="auto"/>
        </w:rPr>
      </w:pPr>
    </w:p>
    <w:p>
      <w:pPr>
        <w:ind w:right="60"/>
        <w:spacing w:after="0" w:line="258" w:lineRule="auto"/>
        <w:rPr>
          <w:sz w:val="20"/>
          <w:szCs w:val="20"/>
          <w:color w:val="auto"/>
        </w:rPr>
      </w:pPr>
      <w:r>
        <w:rPr>
          <w:rFonts w:ascii="Arial" w:cs="Arial" w:eastAsia="Arial" w:hAnsi="Arial"/>
          <w:sz w:val="16"/>
          <w:szCs w:val="16"/>
          <w:color w:val="auto"/>
        </w:rPr>
        <w:t>Net cash used in operating activities improved by $80 million for the year ended December 31, 2016 as compared with the prior year primarily due to improved earnings, which includes the $10 million in net litigation proceeds from DuPont, as well as increased cash provided from declines in accounts receivable and inventory and lower levels of liabilities as Kodak’s size declines.</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Investing Activities</w:t>
      </w:r>
    </w:p>
    <w:p>
      <w:pPr>
        <w:spacing w:after="0" w:line="22" w:lineRule="exact"/>
        <w:rPr>
          <w:sz w:val="20"/>
          <w:szCs w:val="20"/>
          <w:color w:val="auto"/>
        </w:rPr>
      </w:pPr>
    </w:p>
    <w:p>
      <w:pPr>
        <w:ind w:right="300"/>
        <w:spacing w:after="0" w:line="298" w:lineRule="auto"/>
        <w:rPr>
          <w:sz w:val="20"/>
          <w:szCs w:val="20"/>
          <w:color w:val="auto"/>
        </w:rPr>
      </w:pPr>
      <w:r>
        <w:rPr>
          <w:rFonts w:ascii="Arial" w:cs="Arial" w:eastAsia="Arial" w:hAnsi="Arial"/>
          <w:sz w:val="15"/>
          <w:szCs w:val="15"/>
          <w:color w:val="auto"/>
        </w:rPr>
        <w:t>Net cash used in investing activities improved $12 million for the year ended December 31, 2016 as compared to the prior year primarily due to increased proceeds from the sales of businesses/assets. Partially offsetting the favorable impacts was the $3 million reduction in cash due to the deconsolidation of RED.</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Financing Activities</w:t>
      </w:r>
    </w:p>
    <w:p>
      <w:pPr>
        <w:spacing w:after="0" w:line="22" w:lineRule="exact"/>
        <w:rPr>
          <w:sz w:val="20"/>
          <w:szCs w:val="20"/>
          <w:color w:val="auto"/>
        </w:rPr>
      </w:pPr>
    </w:p>
    <w:p>
      <w:pPr>
        <w:ind w:right="100"/>
        <w:spacing w:after="0" w:line="264" w:lineRule="auto"/>
        <w:rPr>
          <w:sz w:val="20"/>
          <w:szCs w:val="20"/>
          <w:color w:val="auto"/>
        </w:rPr>
      </w:pPr>
      <w:r>
        <w:rPr>
          <w:rFonts w:ascii="Arial" w:cs="Arial" w:eastAsia="Arial" w:hAnsi="Arial"/>
          <w:sz w:val="16"/>
          <w:szCs w:val="16"/>
          <w:color w:val="auto"/>
        </w:rPr>
        <w:t>Net cash used in financing activities increased $71 million in the year ended December 31, 2016 as compared to the prior year primarily due to repayments of emergence credit facilities partially offset by proceeds from the issuance of preferred stock and from equity transactions with non- controlling interests.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SUMMARY OF OPERATING DATA</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A summary of operating data for 2017 and for the four years prior is shown in Item 6.</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62865</wp:posOffset>
            </wp:positionV>
            <wp:extent cx="7301865" cy="406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301865" cy="40640"/>
                    </a:xfrm>
                    <a:prstGeom prst="rect">
                      <a:avLst/>
                    </a:prstGeom>
                    <a:noFill/>
                  </pic:spPr>
                </pic:pic>
              </a:graphicData>
            </a:graphic>
          </wp:anchor>
        </w:drawing>
      </w:r>
    </w:p>
    <w:p>
      <w:pPr>
        <w:sectPr>
          <w:pgSz w:w="11900" w:h="16838" w:orient="portrait"/>
          <w:cols w:equalWidth="0" w:num="1">
            <w:col w:w="11420"/>
          </w:cols>
          <w:pgMar w:left="240" w:top="417" w:right="239" w:bottom="1440" w:gutter="0" w:footer="0" w:header="0"/>
        </w:sectPr>
      </w:pPr>
    </w:p>
    <w:bookmarkStart w:id="50" w:name="page51"/>
    <w:bookmarkEnd w:id="50"/>
    <w:p>
      <w:pPr>
        <w:spacing w:after="0"/>
        <w:rPr>
          <w:sz w:val="20"/>
          <w:szCs w:val="20"/>
          <w:color w:val="auto"/>
        </w:rPr>
      </w:pPr>
      <w:r>
        <w:rPr>
          <w:rFonts w:ascii="Arial" w:cs="Arial" w:eastAsia="Arial" w:hAnsi="Arial"/>
          <w:sz w:val="16"/>
          <w:szCs w:val="16"/>
          <w:b w:val="1"/>
          <w:bCs w:val="1"/>
          <w:color w:val="auto"/>
        </w:rPr>
        <w:t>ITEM 7A. QUANTITATIVE AND QUALITATIVE DISCLOSURES ABOUT MARKET RISK</w:t>
      </w:r>
    </w:p>
    <w:p>
      <w:pPr>
        <w:spacing w:after="0" w:line="110" w:lineRule="exact"/>
        <w:rPr>
          <w:sz w:val="20"/>
          <w:szCs w:val="20"/>
          <w:color w:val="auto"/>
        </w:rPr>
      </w:pPr>
    </w:p>
    <w:p>
      <w:pPr>
        <w:ind w:right="320"/>
        <w:spacing w:after="0" w:line="277" w:lineRule="auto"/>
        <w:rPr>
          <w:sz w:val="20"/>
          <w:szCs w:val="20"/>
          <w:color w:val="auto"/>
        </w:rPr>
      </w:pPr>
      <w:r>
        <w:rPr>
          <w:rFonts w:ascii="Arial" w:cs="Arial" w:eastAsia="Arial" w:hAnsi="Arial"/>
          <w:sz w:val="15"/>
          <w:szCs w:val="15"/>
          <w:color w:val="auto"/>
        </w:rPr>
        <w:t>Kodak, as a result of its global operating and financing activities, is exposed to changes in foreign currency exchange rates, commodity prices, and interest rates, which may adversely affect its results of operations and financial position. In seeking to minimize the risks associated with such activities, Kodak may enter into derivative</w:t>
      </w:r>
    </w:p>
    <w:p>
      <w:pPr>
        <w:spacing w:after="0" w:line="1"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contracts. Kodak does not utilize financial instruments for trading or other speculative purposes. Foreign currency forward contracts are used to hedge existing foreign currency denominated assets and liabilities, especially those of Kodak’s International Treasury Center. Kodak’s exposure to changes in interest rates results from its investing and borrowing activities used to meet its liquidity needs. Long-term debt is generally used to finance long-term investments, while short-term debt is used to meet working capital requirements.</w:t>
      </w:r>
    </w:p>
    <w:p>
      <w:pPr>
        <w:spacing w:after="0" w:line="170" w:lineRule="exact"/>
        <w:rPr>
          <w:sz w:val="20"/>
          <w:szCs w:val="20"/>
          <w:color w:val="auto"/>
        </w:rPr>
      </w:pPr>
    </w:p>
    <w:p>
      <w:pPr>
        <w:ind w:right="200"/>
        <w:spacing w:after="0" w:line="266" w:lineRule="auto"/>
        <w:rPr>
          <w:sz w:val="20"/>
          <w:szCs w:val="20"/>
          <w:color w:val="auto"/>
        </w:rPr>
      </w:pPr>
      <w:r>
        <w:rPr>
          <w:rFonts w:ascii="Arial" w:cs="Arial" w:eastAsia="Arial" w:hAnsi="Arial"/>
          <w:sz w:val="16"/>
          <w:szCs w:val="16"/>
          <w:color w:val="auto"/>
        </w:rPr>
        <w:t>Using a sensitivity analysis based on estimated fair value of open foreign currency forward contracts using available forward rates, if the U.S. dollar had been 10% stronger at December 31, 2017 and 2016, the fair value of open forward contracts would have decreased $21 million and $20 million, respectively. Such changes in fair value would be substantially offset by the revaluation or settlement of the underlying positions hedged.</w:t>
      </w:r>
    </w:p>
    <w:p>
      <w:pPr>
        <w:spacing w:after="0" w:line="162" w:lineRule="exact"/>
        <w:rPr>
          <w:sz w:val="20"/>
          <w:szCs w:val="20"/>
          <w:color w:val="auto"/>
        </w:rPr>
      </w:pPr>
    </w:p>
    <w:p>
      <w:pPr>
        <w:jc w:val="both"/>
        <w:ind w:right="140"/>
        <w:spacing w:after="0" w:line="266" w:lineRule="auto"/>
        <w:rPr>
          <w:sz w:val="20"/>
          <w:szCs w:val="20"/>
          <w:color w:val="auto"/>
        </w:rPr>
      </w:pPr>
      <w:r>
        <w:rPr>
          <w:rFonts w:ascii="Arial" w:cs="Arial" w:eastAsia="Arial" w:hAnsi="Arial"/>
          <w:sz w:val="16"/>
          <w:szCs w:val="16"/>
          <w:color w:val="auto"/>
        </w:rPr>
        <w:t>Kodak is exposed to interest rate risk primarily through its borrowing activities. Kodak may utilize borrowings to fund its working capital and investment needs. The majority of short-term and long-term borrowings are in variable-rate instruments. There is inherent roll-over risk for borrowings as they mature and are renewed at current market rates. The extent of this risk is not predictable because of the variability of future interest rates and business financing requirements.</w:t>
      </w:r>
    </w:p>
    <w:p>
      <w:pPr>
        <w:spacing w:after="0" w:line="162" w:lineRule="exact"/>
        <w:rPr>
          <w:sz w:val="20"/>
          <w:szCs w:val="20"/>
          <w:color w:val="auto"/>
        </w:rPr>
      </w:pPr>
    </w:p>
    <w:p>
      <w:pPr>
        <w:ind w:right="80"/>
        <w:spacing w:after="0" w:line="321" w:lineRule="auto"/>
        <w:rPr>
          <w:sz w:val="20"/>
          <w:szCs w:val="20"/>
          <w:color w:val="auto"/>
        </w:rPr>
      </w:pPr>
      <w:r>
        <w:rPr>
          <w:rFonts w:ascii="Arial" w:cs="Arial" w:eastAsia="Arial" w:hAnsi="Arial"/>
          <w:sz w:val="14"/>
          <w:szCs w:val="14"/>
          <w:color w:val="auto"/>
        </w:rPr>
        <w:t>Kodak’s borrowings under the First Lien Term Credit Agreement are in variable-rate instruments with an interest rate floor. See Note 8, “Debt and Capital Leases” in the Notes to Financial Statements. At December 31, 2017 and 2016, the one-month LIBOR rate was approximately 1.56 % and 0.77%, respectively. When the LIBOR rates are above the 1% floor, interest expense increases approximately $4 million for each 1% of LIBOR above the floor ($395 million face amount of debt times 1% at December 31, 2017).</w:t>
      </w:r>
    </w:p>
    <w:p>
      <w:pPr>
        <w:spacing w:after="0" w:line="128" w:lineRule="exact"/>
        <w:rPr>
          <w:sz w:val="20"/>
          <w:szCs w:val="20"/>
          <w:color w:val="auto"/>
        </w:rPr>
      </w:pPr>
    </w:p>
    <w:p>
      <w:pPr>
        <w:ind w:right="220"/>
        <w:spacing w:after="0" w:line="266" w:lineRule="auto"/>
        <w:rPr>
          <w:sz w:val="20"/>
          <w:szCs w:val="20"/>
          <w:color w:val="auto"/>
        </w:rPr>
      </w:pPr>
      <w:r>
        <w:rPr>
          <w:rFonts w:ascii="Arial" w:cs="Arial" w:eastAsia="Arial" w:hAnsi="Arial"/>
          <w:sz w:val="16"/>
          <w:szCs w:val="16"/>
          <w:color w:val="auto"/>
        </w:rPr>
        <w:t>Kodak’s financial instrument counterparties are high-quality investment or commercial banks with significant experience with such instruments. Kodak manages exposure to counterparty credit risk by requiring specific minimum credit standards and diversification of counterparties. Kodak has procedures to monitor the credit exposure amounts. The maximum credit exposure at December 31, 2017 was not significant to Kodak.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62865</wp:posOffset>
            </wp:positionV>
            <wp:extent cx="7301865" cy="406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301865" cy="40640"/>
                    </a:xfrm>
                    <a:prstGeom prst="rect">
                      <a:avLst/>
                    </a:prstGeom>
                    <a:noFill/>
                  </pic:spPr>
                </pic:pic>
              </a:graphicData>
            </a:graphic>
          </wp:anchor>
        </w:drawing>
      </w:r>
    </w:p>
    <w:p>
      <w:pPr>
        <w:sectPr>
          <w:pgSz w:w="11900" w:h="16838" w:orient="portrait"/>
          <w:cols w:equalWidth="0" w:num="1">
            <w:col w:w="11420"/>
          </w:cols>
          <w:pgMar w:left="240" w:top="304" w:right="239" w:bottom="1440" w:gutter="0" w:footer="0" w:header="0"/>
        </w:sectPr>
      </w:pPr>
    </w:p>
    <w:bookmarkStart w:id="51" w:name="page52"/>
    <w:bookmarkEnd w:id="51"/>
    <w:p>
      <w:pPr>
        <w:spacing w:after="0"/>
        <w:rPr>
          <w:sz w:val="20"/>
          <w:szCs w:val="20"/>
          <w:color w:val="auto"/>
        </w:rPr>
      </w:pPr>
      <w:r>
        <w:rPr>
          <w:rFonts w:ascii="Arial" w:cs="Arial" w:eastAsia="Arial" w:hAnsi="Arial"/>
          <w:sz w:val="16"/>
          <w:szCs w:val="16"/>
          <w:b w:val="1"/>
          <w:bCs w:val="1"/>
          <w:color w:val="auto"/>
        </w:rPr>
        <w:t>ITEM 8. FINANCIAL STATEMENTS AND SUPPLEMENTARY DATA</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To the Board of Directors and Shareholders of Eastman Kodak Company</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Opinions on the Financial Statements and Internal Control over Financial Reporting</w:t>
      </w:r>
    </w:p>
    <w:p>
      <w:pPr>
        <w:spacing w:after="0" w:line="22" w:lineRule="exact"/>
        <w:rPr>
          <w:sz w:val="20"/>
          <w:szCs w:val="20"/>
          <w:color w:val="auto"/>
        </w:rPr>
      </w:pPr>
    </w:p>
    <w:p>
      <w:pPr>
        <w:ind w:right="140"/>
        <w:spacing w:after="0" w:line="300" w:lineRule="auto"/>
        <w:rPr>
          <w:sz w:val="20"/>
          <w:szCs w:val="20"/>
          <w:color w:val="auto"/>
        </w:rPr>
      </w:pPr>
      <w:r>
        <w:rPr>
          <w:rFonts w:ascii="Arial" w:cs="Arial" w:eastAsia="Arial" w:hAnsi="Arial"/>
          <w:sz w:val="14"/>
          <w:szCs w:val="14"/>
          <w:color w:val="auto"/>
        </w:rPr>
        <w:t xml:space="preserve">We have audited the accompanying consolidated statement of financial position of Eastman Kodak Company and its subsidiaries as of December 31, 2017 and 2016, and the related consolidated statements of operations, comprehensive income (loss), equity (deficit), and cash flows for each of the three years in the period ended December 31, 2017, including the related notes and schedule of valuation and qualifying accounts for each of the three years in the period ended December 31, 2017 appearing under Item 15(a)(2) (collectively referred to as the “consolidated financial statements”). We also have audited the Company's internal control over financial reporting as of December 31, 2017, based on criteria established in </w:t>
      </w:r>
      <w:r>
        <w:rPr>
          <w:rFonts w:ascii="Arial" w:cs="Arial" w:eastAsia="Arial" w:hAnsi="Arial"/>
          <w:sz w:val="14"/>
          <w:szCs w:val="14"/>
          <w:i w:val="1"/>
          <w:iCs w:val="1"/>
          <w:color w:val="auto"/>
        </w:rPr>
        <w:t>Internal Control - Integrated Framework</w:t>
      </w:r>
      <w:r>
        <w:rPr>
          <w:rFonts w:ascii="Arial" w:cs="Arial" w:eastAsia="Arial" w:hAnsi="Arial"/>
          <w:sz w:val="14"/>
          <w:szCs w:val="14"/>
          <w:color w:val="auto"/>
        </w:rPr>
        <w:t xml:space="preserve"> (2013) issued by the Committee of Sponsoring Organizations of the Treadway Commission (COSO).</w:t>
      </w:r>
    </w:p>
    <w:p>
      <w:pPr>
        <w:spacing w:after="0" w:line="166" w:lineRule="exact"/>
        <w:rPr>
          <w:sz w:val="20"/>
          <w:szCs w:val="20"/>
          <w:color w:val="auto"/>
        </w:rPr>
      </w:pPr>
    </w:p>
    <w:p>
      <w:pPr>
        <w:ind w:right="40"/>
        <w:spacing w:after="0" w:line="284" w:lineRule="auto"/>
        <w:rPr>
          <w:sz w:val="20"/>
          <w:szCs w:val="20"/>
          <w:color w:val="auto"/>
        </w:rPr>
      </w:pPr>
      <w:r>
        <w:rPr>
          <w:rFonts w:ascii="Arial" w:cs="Arial" w:eastAsia="Arial" w:hAnsi="Arial"/>
          <w:sz w:val="15"/>
          <w:szCs w:val="15"/>
          <w:color w:val="auto"/>
        </w:rPr>
        <w:t xml:space="preserve">In our opinion, the consolidated financial statements referred to above present fairly, in all material respects, the financial position of the Company as of December 31, 2017 and 2016, and the results of their operations and their cash flows for each of the three years in the period ended December 31, 2017 in conformity with accounting principles generally accepted in the United States of America. Also in our opinion, the Company maintained, in all material respects, effective internal control over financial reporting as of December 31, 2017, based on criteria established in </w:t>
      </w:r>
      <w:r>
        <w:rPr>
          <w:rFonts w:ascii="Arial" w:cs="Arial" w:eastAsia="Arial" w:hAnsi="Arial"/>
          <w:sz w:val="15"/>
          <w:szCs w:val="15"/>
          <w:i w:val="1"/>
          <w:iCs w:val="1"/>
          <w:color w:val="auto"/>
        </w:rPr>
        <w:t>Internal Control - Integrated Framework</w:t>
      </w:r>
      <w:r>
        <w:rPr>
          <w:rFonts w:ascii="Arial" w:cs="Arial" w:eastAsia="Arial" w:hAnsi="Arial"/>
          <w:sz w:val="15"/>
          <w:szCs w:val="15"/>
          <w:color w:val="auto"/>
        </w:rPr>
        <w:t xml:space="preserve"> (2013) issued by the COSO.</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Basis for Opinions</w:t>
      </w:r>
    </w:p>
    <w:p>
      <w:pPr>
        <w:spacing w:after="0" w:line="22" w:lineRule="exact"/>
        <w:rPr>
          <w:sz w:val="20"/>
          <w:szCs w:val="20"/>
          <w:color w:val="auto"/>
        </w:rPr>
      </w:pPr>
    </w:p>
    <w:p>
      <w:pPr>
        <w:ind w:right="20"/>
        <w:spacing w:after="0" w:line="300" w:lineRule="auto"/>
        <w:rPr>
          <w:sz w:val="20"/>
          <w:szCs w:val="20"/>
          <w:color w:val="auto"/>
        </w:rPr>
      </w:pPr>
      <w:r>
        <w:rPr>
          <w:rFonts w:ascii="Arial" w:cs="Arial" w:eastAsia="Arial" w:hAnsi="Arial"/>
          <w:sz w:val="14"/>
          <w:szCs w:val="14"/>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66"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86"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Definition and Limitations of Internal Control over Financial Reporting</w:t>
      </w:r>
    </w:p>
    <w:p>
      <w:pPr>
        <w:spacing w:after="0" w:line="22"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96"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/s/ PricewaterhouseCoopers LLP</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Rochester, NY</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March 15, 2018</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We have served as the Company’s auditor since at least 1924. We have not determined the specific year we began serving as auditor of the Company.</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62865</wp:posOffset>
            </wp:positionV>
            <wp:extent cx="7301865" cy="406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301865" cy="40640"/>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52" w:name="page53"/>
    <w:bookmarkEnd w:id="52"/>
    <w:p>
      <w:pPr>
        <w:spacing w:after="0"/>
        <w:rPr>
          <w:sz w:val="20"/>
          <w:szCs w:val="20"/>
          <w:color w:val="auto"/>
        </w:rPr>
      </w:pPr>
      <w:r>
        <w:rPr>
          <w:rFonts w:ascii="Arial" w:cs="Arial" w:eastAsia="Arial" w:hAnsi="Arial"/>
          <w:sz w:val="16"/>
          <w:szCs w:val="16"/>
          <w:b w:val="1"/>
          <w:bCs w:val="1"/>
          <w:color w:val="auto"/>
        </w:rPr>
        <w:t>EASTMAN KODAK COMPANY</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CONSOLIDATED STATEMENT OF OPERATIONS</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(in millions, except per share data)</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6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3"/>
                <w:szCs w:val="13"/>
                <w:b w:val="1"/>
                <w:bCs w:val="1"/>
                <w:color w:val="auto"/>
                <w:w w:val="93"/>
              </w:rPr>
              <w:t>Year Ended December 31,</w:t>
            </w:r>
          </w:p>
        </w:tc>
        <w:tc>
          <w:tcPr>
            <w:tcW w:w="1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500" w:type="dxa"/>
            <w:vAlign w:val="bottom"/>
            <w:tcBorders>
              <w:bottom w:val="single" w:sz="8" w:color="CFF0FC"/>
            </w:tcBorders>
          </w:tcPr>
          <w:p>
            <w:pPr>
              <w:spacing w:after="0"/>
              <w:rPr>
                <w:sz w:val="11"/>
                <w:szCs w:val="11"/>
                <w:color w:val="auto"/>
              </w:rPr>
            </w:pPr>
          </w:p>
        </w:tc>
        <w:tc>
          <w:tcPr>
            <w:tcW w:w="260" w:type="dxa"/>
            <w:vAlign w:val="bottom"/>
            <w:tcBorders>
              <w:bottom w:val="single" w:sz="8" w:color="CFF0FC"/>
            </w:tcBorders>
          </w:tcPr>
          <w:p>
            <w:pPr>
              <w:spacing w:after="0"/>
              <w:rPr>
                <w:sz w:val="11"/>
                <w:szCs w:val="11"/>
                <w:color w:val="auto"/>
              </w:rPr>
            </w:pPr>
          </w:p>
        </w:tc>
        <w:tc>
          <w:tcPr>
            <w:tcW w:w="860" w:type="dxa"/>
            <w:vAlign w:val="bottom"/>
            <w:tcBorders>
              <w:bottom w:val="single" w:sz="8" w:color="auto"/>
            </w:tcBorders>
          </w:tcPr>
          <w:p>
            <w:pPr>
              <w:jc w:val="right"/>
              <w:ind w:right="7"/>
              <w:spacing w:after="0" w:line="138" w:lineRule="exact"/>
              <w:rPr>
                <w:sz w:val="20"/>
                <w:szCs w:val="20"/>
                <w:color w:val="auto"/>
              </w:rPr>
            </w:pPr>
            <w:r>
              <w:rPr>
                <w:rFonts w:ascii="Arial" w:cs="Arial" w:eastAsia="Arial" w:hAnsi="Arial"/>
                <w:sz w:val="13"/>
                <w:szCs w:val="13"/>
                <w:b w:val="1"/>
                <w:bCs w:val="1"/>
                <w:color w:val="auto"/>
              </w:rPr>
              <w:t>2017</w:t>
            </w:r>
          </w:p>
        </w:tc>
        <w:tc>
          <w:tcPr>
            <w:tcW w:w="460" w:type="dxa"/>
            <w:vAlign w:val="bottom"/>
            <w:tcBorders>
              <w:bottom w:val="single" w:sz="8" w:color="auto"/>
            </w:tcBorders>
          </w:tcPr>
          <w:p>
            <w:pPr>
              <w:spacing w:after="0"/>
              <w:rPr>
                <w:sz w:val="11"/>
                <w:szCs w:val="11"/>
                <w:color w:val="auto"/>
              </w:rPr>
            </w:pPr>
          </w:p>
        </w:tc>
        <w:tc>
          <w:tcPr>
            <w:tcW w:w="140" w:type="dxa"/>
            <w:vAlign w:val="bottom"/>
            <w:tcBorders>
              <w:bottom w:val="single" w:sz="8" w:color="CFF0FC"/>
            </w:tcBorders>
          </w:tcPr>
          <w:p>
            <w:pPr>
              <w:spacing w:after="0"/>
              <w:rPr>
                <w:sz w:val="11"/>
                <w:szCs w:val="11"/>
                <w:color w:val="auto"/>
              </w:rPr>
            </w:pPr>
          </w:p>
        </w:tc>
        <w:tc>
          <w:tcPr>
            <w:tcW w:w="140" w:type="dxa"/>
            <w:vAlign w:val="bottom"/>
            <w:tcBorders>
              <w:bottom w:val="single" w:sz="8" w:color="CFF0FC"/>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480"/>
              <w:spacing w:after="0" w:line="138" w:lineRule="exact"/>
              <w:rPr>
                <w:sz w:val="20"/>
                <w:szCs w:val="20"/>
                <w:color w:val="auto"/>
              </w:rPr>
            </w:pPr>
            <w:r>
              <w:rPr>
                <w:rFonts w:ascii="Arial" w:cs="Arial" w:eastAsia="Arial" w:hAnsi="Arial"/>
                <w:sz w:val="13"/>
                <w:szCs w:val="13"/>
                <w:b w:val="1"/>
                <w:bCs w:val="1"/>
                <w:color w:val="auto"/>
              </w:rPr>
              <w:t>2016</w:t>
            </w:r>
          </w:p>
        </w:tc>
        <w:tc>
          <w:tcPr>
            <w:tcW w:w="160" w:type="dxa"/>
            <w:vAlign w:val="bottom"/>
            <w:tcBorders>
              <w:bottom w:val="single" w:sz="8" w:color="CFF0FC"/>
            </w:tcBorders>
          </w:tcPr>
          <w:p>
            <w:pPr>
              <w:spacing w:after="0"/>
              <w:rPr>
                <w:sz w:val="11"/>
                <w:szCs w:val="11"/>
                <w:color w:val="auto"/>
              </w:rPr>
            </w:pPr>
          </w:p>
        </w:tc>
        <w:tc>
          <w:tcPr>
            <w:tcW w:w="100" w:type="dxa"/>
            <w:vAlign w:val="bottom"/>
            <w:tcBorders>
              <w:bottom w:val="single" w:sz="8" w:color="CFF0FC"/>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460"/>
              <w:spacing w:after="0" w:line="138" w:lineRule="exact"/>
              <w:rPr>
                <w:sz w:val="20"/>
                <w:szCs w:val="20"/>
                <w:color w:val="auto"/>
              </w:rPr>
            </w:pPr>
            <w:r>
              <w:rPr>
                <w:rFonts w:ascii="Arial" w:cs="Arial" w:eastAsia="Arial" w:hAnsi="Arial"/>
                <w:sz w:val="13"/>
                <w:szCs w:val="13"/>
                <w:b w:val="1"/>
                <w:bCs w:val="1"/>
                <w:color w:val="auto"/>
              </w:rPr>
              <w:t>2015</w:t>
            </w:r>
          </w:p>
        </w:tc>
        <w:tc>
          <w:tcPr>
            <w:tcW w:w="120" w:type="dxa"/>
            <w:vAlign w:val="bottom"/>
            <w:tcBorders>
              <w:bottom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500" w:type="dxa"/>
            <w:vAlign w:val="bottom"/>
            <w:shd w:val="clear" w:color="auto" w:fill="CFF0FC"/>
          </w:tcPr>
          <w:p>
            <w:pPr>
              <w:spacing w:after="0"/>
              <w:rPr>
                <w:sz w:val="20"/>
                <w:szCs w:val="20"/>
                <w:color w:val="auto"/>
              </w:rPr>
            </w:pPr>
            <w:r>
              <w:rPr>
                <w:rFonts w:ascii="Arial" w:cs="Arial" w:eastAsia="Arial" w:hAnsi="Arial"/>
                <w:sz w:val="16"/>
                <w:szCs w:val="16"/>
                <w:color w:val="auto"/>
              </w:rPr>
              <w:t>Revenues</w:t>
            </w:r>
          </w:p>
        </w:tc>
        <w:tc>
          <w:tcPr>
            <w:tcW w:w="2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500" w:type="dxa"/>
            <w:vAlign w:val="bottom"/>
          </w:tcPr>
          <w:p>
            <w:pPr>
              <w:ind w:left="200"/>
              <w:spacing w:after="0"/>
              <w:rPr>
                <w:sz w:val="20"/>
                <w:szCs w:val="20"/>
                <w:color w:val="auto"/>
              </w:rPr>
            </w:pPr>
            <w:r>
              <w:rPr>
                <w:rFonts w:ascii="Arial" w:cs="Arial" w:eastAsia="Arial" w:hAnsi="Arial"/>
                <w:sz w:val="16"/>
                <w:szCs w:val="16"/>
                <w:color w:val="auto"/>
              </w:rPr>
              <w:t>Sales</w:t>
            </w:r>
          </w:p>
        </w:tc>
        <w:tc>
          <w:tcPr>
            <w:tcW w:w="1120" w:type="dxa"/>
            <w:vAlign w:val="bottom"/>
            <w:gridSpan w:val="2"/>
          </w:tcPr>
          <w:p>
            <w:pPr>
              <w:jc w:val="right"/>
              <w:ind w:right="707"/>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1,232</w:t>
            </w:r>
          </w:p>
        </w:tc>
        <w:tc>
          <w:tcPr>
            <w:tcW w:w="140" w:type="dxa"/>
            <w:vAlign w:val="bottom"/>
          </w:tcPr>
          <w:p>
            <w:pPr>
              <w:spacing w:after="0"/>
              <w:rPr>
                <w:sz w:val="17"/>
                <w:szCs w:val="17"/>
                <w:color w:val="auto"/>
              </w:rPr>
            </w:pPr>
          </w:p>
        </w:tc>
        <w:tc>
          <w:tcPr>
            <w:tcW w:w="440" w:type="dxa"/>
            <w:vAlign w:val="bottom"/>
            <w:gridSpan w:val="2"/>
          </w:tcPr>
          <w:p>
            <w:pPr>
              <w:jc w:val="right"/>
              <w:ind w:right="144"/>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1,320</w:t>
            </w:r>
          </w:p>
        </w:tc>
        <w:tc>
          <w:tcPr>
            <w:tcW w:w="160" w:type="dxa"/>
            <w:vAlign w:val="bottom"/>
          </w:tcPr>
          <w:p>
            <w:pPr>
              <w:spacing w:after="0"/>
              <w:rPr>
                <w:sz w:val="17"/>
                <w:szCs w:val="17"/>
                <w:color w:val="auto"/>
              </w:rPr>
            </w:pPr>
          </w:p>
        </w:tc>
        <w:tc>
          <w:tcPr>
            <w:tcW w:w="400" w:type="dxa"/>
            <w:vAlign w:val="bottom"/>
            <w:gridSpan w:val="2"/>
          </w:tcPr>
          <w:p>
            <w:pPr>
              <w:jc w:val="right"/>
              <w:ind w:right="144"/>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1,452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5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Services</w:t>
            </w:r>
          </w:p>
        </w:tc>
        <w:tc>
          <w:tcPr>
            <w:tcW w:w="260" w:type="dxa"/>
            <w:vAlign w:val="bottom"/>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299</w:t>
            </w: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323</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351</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520" w:type="dxa"/>
            <w:vAlign w:val="bottom"/>
            <w:gridSpan w:val="2"/>
          </w:tcPr>
          <w:p>
            <w:pPr>
              <w:spacing w:after="0"/>
              <w:rPr>
                <w:sz w:val="20"/>
                <w:szCs w:val="20"/>
                <w:color w:val="auto"/>
              </w:rPr>
            </w:pPr>
            <w:r>
              <w:rPr>
                <w:rFonts w:ascii="Arial" w:cs="Arial" w:eastAsia="Arial" w:hAnsi="Arial"/>
                <w:sz w:val="16"/>
                <w:szCs w:val="16"/>
                <w:color w:val="auto"/>
              </w:rPr>
              <w:t>Total net revenues</w:t>
            </w: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1,531</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1,643</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1,803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Cost of revenues</w:t>
            </w:r>
          </w:p>
        </w:tc>
        <w:tc>
          <w:tcPr>
            <w:tcW w:w="260" w:type="dxa"/>
            <w:vAlign w:val="bottom"/>
            <w:tcBorders>
              <w:top w:val="single" w:sz="8" w:color="CFF0FC"/>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46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500" w:type="dxa"/>
            <w:vAlign w:val="bottom"/>
          </w:tcPr>
          <w:p>
            <w:pPr>
              <w:ind w:left="200"/>
              <w:spacing w:after="0"/>
              <w:rPr>
                <w:sz w:val="20"/>
                <w:szCs w:val="20"/>
                <w:color w:val="auto"/>
              </w:rPr>
            </w:pPr>
            <w:r>
              <w:rPr>
                <w:rFonts w:ascii="Arial" w:cs="Arial" w:eastAsia="Arial" w:hAnsi="Arial"/>
                <w:sz w:val="16"/>
                <w:szCs w:val="16"/>
                <w:color w:val="auto"/>
              </w:rPr>
              <w:t>Sales</w:t>
            </w: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981</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1,028</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1,175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5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Services</w:t>
            </w:r>
          </w:p>
        </w:tc>
        <w:tc>
          <w:tcPr>
            <w:tcW w:w="260" w:type="dxa"/>
            <w:vAlign w:val="bottom"/>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195</w:t>
            </w: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212</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247</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520" w:type="dxa"/>
            <w:vAlign w:val="bottom"/>
            <w:gridSpan w:val="2"/>
          </w:tcPr>
          <w:p>
            <w:pPr>
              <w:spacing w:after="0"/>
              <w:rPr>
                <w:sz w:val="20"/>
                <w:szCs w:val="20"/>
                <w:color w:val="auto"/>
              </w:rPr>
            </w:pPr>
            <w:r>
              <w:rPr>
                <w:rFonts w:ascii="Arial" w:cs="Arial" w:eastAsia="Arial" w:hAnsi="Arial"/>
                <w:sz w:val="16"/>
                <w:szCs w:val="16"/>
                <w:color w:val="auto"/>
              </w:rPr>
              <w:t>Total cost of revenues</w:t>
            </w: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1,176</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1,240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1,422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500" w:type="dxa"/>
            <w:vAlign w:val="bottom"/>
            <w:tcBorders>
              <w:top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Gross profit</w:t>
            </w:r>
          </w:p>
        </w:tc>
        <w:tc>
          <w:tcPr>
            <w:tcW w:w="260" w:type="dxa"/>
            <w:vAlign w:val="bottom"/>
            <w:tcBorders>
              <w:top w:val="single" w:sz="8" w:color="CFF0FC"/>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355</w:t>
            </w:r>
          </w:p>
        </w:tc>
        <w:tc>
          <w:tcPr>
            <w:tcW w:w="14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403</w:t>
            </w:r>
          </w:p>
        </w:tc>
        <w:tc>
          <w:tcPr>
            <w:tcW w:w="1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381</w:t>
            </w: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500" w:type="dxa"/>
            <w:vAlign w:val="bottom"/>
          </w:tcPr>
          <w:p>
            <w:pPr>
              <w:spacing w:after="0"/>
              <w:rPr>
                <w:sz w:val="20"/>
                <w:szCs w:val="20"/>
                <w:color w:val="auto"/>
              </w:rPr>
            </w:pPr>
            <w:r>
              <w:rPr>
                <w:rFonts w:ascii="Arial" w:cs="Arial" w:eastAsia="Arial" w:hAnsi="Arial"/>
                <w:sz w:val="16"/>
                <w:szCs w:val="16"/>
                <w:color w:val="auto"/>
              </w:rPr>
              <w:t>Selling, general and administrative expenses</w:t>
            </w: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205</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198</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226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500" w:type="dxa"/>
            <w:vAlign w:val="bottom"/>
            <w:shd w:val="clear" w:color="auto" w:fill="CFF0FC"/>
          </w:tcPr>
          <w:p>
            <w:pPr>
              <w:spacing w:after="0"/>
              <w:rPr>
                <w:sz w:val="20"/>
                <w:szCs w:val="20"/>
                <w:color w:val="auto"/>
              </w:rPr>
            </w:pPr>
            <w:r>
              <w:rPr>
                <w:rFonts w:ascii="Arial" w:cs="Arial" w:eastAsia="Arial" w:hAnsi="Arial"/>
                <w:sz w:val="16"/>
                <w:szCs w:val="16"/>
                <w:color w:val="auto"/>
              </w:rPr>
              <w:t>Research and development costs</w:t>
            </w:r>
          </w:p>
        </w:tc>
        <w:tc>
          <w:tcPr>
            <w:tcW w:w="2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w:t>
            </w: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500" w:type="dxa"/>
            <w:vAlign w:val="bottom"/>
          </w:tcPr>
          <w:p>
            <w:pPr>
              <w:spacing w:after="0"/>
              <w:rPr>
                <w:sz w:val="20"/>
                <w:szCs w:val="20"/>
                <w:color w:val="auto"/>
              </w:rPr>
            </w:pPr>
            <w:r>
              <w:rPr>
                <w:rFonts w:ascii="Arial" w:cs="Arial" w:eastAsia="Arial" w:hAnsi="Arial"/>
                <w:sz w:val="16"/>
                <w:szCs w:val="16"/>
                <w:color w:val="auto"/>
              </w:rPr>
              <w:t>Restructuring costs and other</w:t>
            </w: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31</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500" w:type="dxa"/>
            <w:vAlign w:val="bottom"/>
            <w:shd w:val="clear" w:color="auto" w:fill="CFF0FC"/>
          </w:tcPr>
          <w:p>
            <w:pPr>
              <w:spacing w:after="0"/>
              <w:rPr>
                <w:sz w:val="20"/>
                <w:szCs w:val="20"/>
                <w:color w:val="auto"/>
              </w:rPr>
            </w:pPr>
            <w:r>
              <w:rPr>
                <w:rFonts w:ascii="Arial" w:cs="Arial" w:eastAsia="Arial" w:hAnsi="Arial"/>
                <w:sz w:val="16"/>
                <w:szCs w:val="16"/>
                <w:color w:val="auto"/>
              </w:rPr>
              <w:t>Other operating expense (income), net</w:t>
            </w:r>
          </w:p>
        </w:tc>
        <w:tc>
          <w:tcPr>
            <w:tcW w:w="2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w:t>
            </w: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500" w:type="dxa"/>
            <w:vAlign w:val="bottom"/>
          </w:tcPr>
          <w:p>
            <w:pPr>
              <w:spacing w:after="0"/>
              <w:rPr>
                <w:sz w:val="20"/>
                <w:szCs w:val="20"/>
                <w:color w:val="auto"/>
              </w:rPr>
            </w:pPr>
            <w:r>
              <w:rPr>
                <w:rFonts w:ascii="Arial" w:cs="Arial" w:eastAsia="Arial" w:hAnsi="Arial"/>
                <w:sz w:val="16"/>
                <w:szCs w:val="16"/>
                <w:color w:val="auto"/>
              </w:rPr>
              <w:t>Goodwill impairment loss</w:t>
            </w: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56</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(Loss) earnings from continuing operations before interest expense, loss on</w:t>
            </w:r>
          </w:p>
        </w:tc>
        <w:tc>
          <w:tcPr>
            <w:tcW w:w="260" w:type="dxa"/>
            <w:vAlign w:val="bottom"/>
            <w:tcBorders>
              <w:top w:val="single" w:sz="8" w:color="CFF0FC"/>
            </w:tcBorders>
            <w:shd w:val="clear" w:color="auto" w:fill="CFF0FC"/>
          </w:tcPr>
          <w:p>
            <w:pPr>
              <w:spacing w:after="0"/>
              <w:rPr>
                <w:sz w:val="16"/>
                <w:szCs w:val="16"/>
                <w:color w:val="auto"/>
              </w:rPr>
            </w:pPr>
          </w:p>
        </w:tc>
        <w:tc>
          <w:tcPr>
            <w:tcW w:w="860" w:type="dxa"/>
            <w:vAlign w:val="bottom"/>
            <w:tcBorders>
              <w:top w:val="single" w:sz="8" w:color="auto"/>
            </w:tcBorders>
            <w:shd w:val="clear" w:color="auto" w:fill="CFF0FC"/>
          </w:tcPr>
          <w:p>
            <w:pPr>
              <w:spacing w:after="0"/>
              <w:rPr>
                <w:sz w:val="16"/>
                <w:szCs w:val="16"/>
                <w:color w:val="auto"/>
              </w:rPr>
            </w:pPr>
          </w:p>
        </w:tc>
        <w:tc>
          <w:tcPr>
            <w:tcW w:w="460" w:type="dxa"/>
            <w:vAlign w:val="bottom"/>
            <w:tcBorders>
              <w:top w:val="single" w:sz="8" w:color="auto"/>
            </w:tcBorders>
            <w:shd w:val="clear" w:color="auto" w:fill="CFF0FC"/>
          </w:tcPr>
          <w:p>
            <w:pPr>
              <w:spacing w:after="0"/>
              <w:rPr>
                <w:sz w:val="16"/>
                <w:szCs w:val="16"/>
                <w:color w:val="auto"/>
              </w:rPr>
            </w:pPr>
          </w:p>
        </w:tc>
        <w:tc>
          <w:tcPr>
            <w:tcW w:w="140" w:type="dxa"/>
            <w:vAlign w:val="bottom"/>
            <w:tcBorders>
              <w:top w:val="single" w:sz="8" w:color="CFF0FC"/>
            </w:tcBorders>
            <w:shd w:val="clear" w:color="auto" w:fill="CFF0FC"/>
          </w:tcPr>
          <w:p>
            <w:pPr>
              <w:spacing w:after="0"/>
              <w:rPr>
                <w:sz w:val="16"/>
                <w:szCs w:val="16"/>
                <w:color w:val="auto"/>
              </w:rPr>
            </w:pPr>
          </w:p>
        </w:tc>
        <w:tc>
          <w:tcPr>
            <w:tcW w:w="140" w:type="dxa"/>
            <w:vAlign w:val="bottom"/>
            <w:tcBorders>
              <w:top w:val="single" w:sz="8" w:color="CFF0FC"/>
            </w:tcBorders>
            <w:shd w:val="clear" w:color="auto" w:fill="CFF0FC"/>
          </w:tcPr>
          <w:p>
            <w:pPr>
              <w:spacing w:after="0"/>
              <w:rPr>
                <w:sz w:val="16"/>
                <w:szCs w:val="16"/>
                <w:color w:val="auto"/>
              </w:rPr>
            </w:pPr>
          </w:p>
        </w:tc>
        <w:tc>
          <w:tcPr>
            <w:tcW w:w="300" w:type="dxa"/>
            <w:vAlign w:val="bottom"/>
            <w:tcBorders>
              <w:top w:val="single" w:sz="8" w:color="auto"/>
            </w:tcBorders>
            <w:shd w:val="clear" w:color="auto" w:fill="CFF0FC"/>
          </w:tcPr>
          <w:p>
            <w:pPr>
              <w:spacing w:after="0"/>
              <w:rPr>
                <w:sz w:val="16"/>
                <w:szCs w:val="16"/>
                <w:color w:val="auto"/>
              </w:rPr>
            </w:pPr>
          </w:p>
        </w:tc>
        <w:tc>
          <w:tcPr>
            <w:tcW w:w="1040" w:type="dxa"/>
            <w:vAlign w:val="bottom"/>
            <w:tcBorders>
              <w:top w:val="single" w:sz="8" w:color="auto"/>
            </w:tcBorders>
            <w:shd w:val="clear" w:color="auto" w:fill="CFF0FC"/>
          </w:tcPr>
          <w:p>
            <w:pPr>
              <w:spacing w:after="0"/>
              <w:rPr>
                <w:sz w:val="16"/>
                <w:szCs w:val="16"/>
                <w:color w:val="auto"/>
              </w:rPr>
            </w:pPr>
          </w:p>
        </w:tc>
        <w:tc>
          <w:tcPr>
            <w:tcW w:w="16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300" w:type="dxa"/>
            <w:vAlign w:val="bottom"/>
            <w:tcBorders>
              <w:top w:val="single" w:sz="8" w:color="auto"/>
            </w:tcBorders>
            <w:shd w:val="clear" w:color="auto" w:fill="CFF0FC"/>
          </w:tcPr>
          <w:p>
            <w:pPr>
              <w:spacing w:after="0"/>
              <w:rPr>
                <w:sz w:val="16"/>
                <w:szCs w:val="16"/>
                <w:color w:val="auto"/>
              </w:rPr>
            </w:pPr>
          </w:p>
        </w:tc>
        <w:tc>
          <w:tcPr>
            <w:tcW w:w="104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500" w:type="dxa"/>
            <w:vAlign w:val="bottom"/>
            <w:shd w:val="clear" w:color="auto" w:fill="CFF0FC"/>
          </w:tcPr>
          <w:p>
            <w:pPr>
              <w:ind w:left="100"/>
              <w:spacing w:after="0"/>
              <w:rPr>
                <w:sz w:val="20"/>
                <w:szCs w:val="20"/>
                <w:color w:val="auto"/>
              </w:rPr>
            </w:pPr>
            <w:r>
              <w:rPr>
                <w:rFonts w:ascii="Arial" w:cs="Arial" w:eastAsia="Arial" w:hAnsi="Arial"/>
                <w:sz w:val="16"/>
                <w:szCs w:val="16"/>
                <w:color w:val="auto"/>
              </w:rPr>
              <w:t>early extinguishment of debt, net, other charges, net, reorganization items,</w:t>
            </w:r>
          </w:p>
        </w:tc>
        <w:tc>
          <w:tcPr>
            <w:tcW w:w="26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500" w:type="dxa"/>
            <w:vAlign w:val="bottom"/>
            <w:shd w:val="clear" w:color="auto" w:fill="CFF0FC"/>
          </w:tcPr>
          <w:p>
            <w:pPr>
              <w:ind w:left="100"/>
              <w:spacing w:after="0"/>
              <w:rPr>
                <w:sz w:val="20"/>
                <w:szCs w:val="20"/>
                <w:color w:val="auto"/>
              </w:rPr>
            </w:pPr>
            <w:r>
              <w:rPr>
                <w:rFonts w:ascii="Arial" w:cs="Arial" w:eastAsia="Arial" w:hAnsi="Arial"/>
                <w:sz w:val="16"/>
                <w:szCs w:val="16"/>
                <w:color w:val="auto"/>
              </w:rPr>
              <w:t>net and income taxes</w:t>
            </w:r>
          </w:p>
        </w:tc>
        <w:tc>
          <w:tcPr>
            <w:tcW w:w="2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6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(18)</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113</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500" w:type="dxa"/>
            <w:vAlign w:val="bottom"/>
          </w:tcPr>
          <w:p>
            <w:pPr>
              <w:spacing w:after="0"/>
              <w:rPr>
                <w:sz w:val="20"/>
                <w:szCs w:val="20"/>
                <w:color w:val="auto"/>
              </w:rPr>
            </w:pPr>
            <w:r>
              <w:rPr>
                <w:rFonts w:ascii="Arial" w:cs="Arial" w:eastAsia="Arial" w:hAnsi="Arial"/>
                <w:sz w:val="16"/>
                <w:szCs w:val="16"/>
                <w:color w:val="auto"/>
              </w:rPr>
              <w:t>Interest expense</w:t>
            </w: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32</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500" w:type="dxa"/>
            <w:vAlign w:val="bottom"/>
            <w:shd w:val="clear" w:color="auto" w:fill="CFF0FC"/>
          </w:tcPr>
          <w:p>
            <w:pPr>
              <w:spacing w:after="0"/>
              <w:rPr>
                <w:sz w:val="20"/>
                <w:szCs w:val="20"/>
                <w:color w:val="auto"/>
              </w:rPr>
            </w:pPr>
            <w:r>
              <w:rPr>
                <w:rFonts w:ascii="Arial" w:cs="Arial" w:eastAsia="Arial" w:hAnsi="Arial"/>
                <w:sz w:val="16"/>
                <w:szCs w:val="16"/>
                <w:color w:val="auto"/>
              </w:rPr>
              <w:t>Loss on early extinguishment of debt</w:t>
            </w:r>
          </w:p>
        </w:tc>
        <w:tc>
          <w:tcPr>
            <w:tcW w:w="2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6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500" w:type="dxa"/>
            <w:vAlign w:val="bottom"/>
          </w:tcPr>
          <w:p>
            <w:pPr>
              <w:spacing w:after="0"/>
              <w:rPr>
                <w:sz w:val="20"/>
                <w:szCs w:val="20"/>
                <w:color w:val="auto"/>
              </w:rPr>
            </w:pPr>
            <w:r>
              <w:rPr>
                <w:rFonts w:ascii="Arial" w:cs="Arial" w:eastAsia="Arial" w:hAnsi="Arial"/>
                <w:sz w:val="16"/>
                <w:szCs w:val="16"/>
                <w:color w:val="auto"/>
              </w:rPr>
              <w:t>Other (income) charges, net</w:t>
            </w: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6"/>
                <w:szCs w:val="16"/>
                <w:color w:val="auto"/>
              </w:rPr>
              <w:t>(37)</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500" w:type="dxa"/>
            <w:vAlign w:val="bottom"/>
            <w:shd w:val="clear" w:color="auto" w:fill="CFF0FC"/>
          </w:tcPr>
          <w:p>
            <w:pPr>
              <w:spacing w:after="0"/>
              <w:rPr>
                <w:sz w:val="20"/>
                <w:szCs w:val="20"/>
                <w:color w:val="auto"/>
              </w:rPr>
            </w:pPr>
            <w:r>
              <w:rPr>
                <w:rFonts w:ascii="Arial" w:cs="Arial" w:eastAsia="Arial" w:hAnsi="Arial"/>
                <w:sz w:val="16"/>
                <w:szCs w:val="16"/>
                <w:color w:val="auto"/>
              </w:rPr>
              <w:t>Reorganization items, net</w:t>
            </w:r>
          </w:p>
        </w:tc>
        <w:tc>
          <w:tcPr>
            <w:tcW w:w="2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6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(6)</w:t>
            </w: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520" w:type="dxa"/>
            <w:vAlign w:val="bottom"/>
            <w:gridSpan w:val="2"/>
          </w:tcPr>
          <w:p>
            <w:pPr>
              <w:spacing w:after="0"/>
              <w:rPr>
                <w:sz w:val="20"/>
                <w:szCs w:val="20"/>
                <w:color w:val="auto"/>
              </w:rPr>
            </w:pPr>
            <w:r>
              <w:rPr>
                <w:rFonts w:ascii="Arial" w:cs="Arial" w:eastAsia="Arial" w:hAnsi="Arial"/>
                <w:sz w:val="16"/>
                <w:szCs w:val="16"/>
                <w:color w:val="auto"/>
              </w:rPr>
              <w:t>(Loss) earnings from continuing operations before income taxes</w:t>
            </w:r>
          </w:p>
        </w:tc>
        <w:tc>
          <w:tcPr>
            <w:tcW w:w="26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500" w:type="dxa"/>
            <w:vAlign w:val="bottom"/>
            <w:shd w:val="clear" w:color="auto" w:fill="CFF0FC"/>
          </w:tcPr>
          <w:p>
            <w:pPr>
              <w:spacing w:after="0"/>
              <w:rPr>
                <w:sz w:val="20"/>
                <w:szCs w:val="20"/>
                <w:color w:val="auto"/>
              </w:rPr>
            </w:pPr>
            <w:r>
              <w:rPr>
                <w:rFonts w:ascii="Arial" w:cs="Arial" w:eastAsia="Arial" w:hAnsi="Arial"/>
                <w:sz w:val="16"/>
                <w:szCs w:val="16"/>
                <w:color w:val="auto"/>
              </w:rPr>
              <w:t>(Benefit) provision for income taxes</w:t>
            </w:r>
          </w:p>
        </w:tc>
        <w:tc>
          <w:tcPr>
            <w:tcW w:w="2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6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(110)</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500" w:type="dxa"/>
            <w:vAlign w:val="bottom"/>
          </w:tcPr>
          <w:p>
            <w:pPr>
              <w:spacing w:after="0"/>
              <w:rPr>
                <w:sz w:val="20"/>
                <w:szCs w:val="20"/>
                <w:color w:val="auto"/>
              </w:rPr>
            </w:pPr>
            <w:r>
              <w:rPr>
                <w:rFonts w:ascii="Arial" w:cs="Arial" w:eastAsia="Arial" w:hAnsi="Arial"/>
                <w:sz w:val="16"/>
                <w:szCs w:val="16"/>
                <w:color w:val="auto"/>
              </w:rPr>
              <w:t>Equity in loss of equity method investment, net of income</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500" w:type="dxa"/>
            <w:vAlign w:val="bottom"/>
          </w:tcPr>
          <w:p>
            <w:pPr>
              <w:ind w:left="100"/>
              <w:spacing w:after="0"/>
              <w:rPr>
                <w:sz w:val="20"/>
                <w:szCs w:val="20"/>
                <w:color w:val="auto"/>
              </w:rPr>
            </w:pPr>
            <w:r>
              <w:rPr>
                <w:rFonts w:ascii="Arial" w:cs="Arial" w:eastAsia="Arial" w:hAnsi="Arial"/>
                <w:sz w:val="16"/>
                <w:szCs w:val="16"/>
                <w:color w:val="auto"/>
              </w:rPr>
              <w:t>taxes</w:t>
            </w: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Earnings (loss) from continuing operations</w:t>
            </w:r>
          </w:p>
        </w:tc>
        <w:tc>
          <w:tcPr>
            <w:tcW w:w="260" w:type="dxa"/>
            <w:vAlign w:val="bottom"/>
            <w:tcBorders>
              <w:top w:val="single" w:sz="8" w:color="CFF0FC"/>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96</w:t>
            </w:r>
          </w:p>
        </w:tc>
        <w:tc>
          <w:tcPr>
            <w:tcW w:w="14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w:t>
            </w:r>
          </w:p>
        </w:tc>
        <w:tc>
          <w:tcPr>
            <w:tcW w:w="1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(67)</w:t>
            </w: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500" w:type="dxa"/>
            <w:vAlign w:val="bottom"/>
          </w:tcPr>
          <w:p>
            <w:pPr>
              <w:spacing w:after="0"/>
              <w:rPr>
                <w:sz w:val="20"/>
                <w:szCs w:val="20"/>
                <w:color w:val="auto"/>
              </w:rPr>
            </w:pPr>
            <w:r>
              <w:rPr>
                <w:rFonts w:ascii="Arial" w:cs="Arial" w:eastAsia="Arial" w:hAnsi="Arial"/>
                <w:sz w:val="16"/>
                <w:szCs w:val="16"/>
                <w:color w:val="auto"/>
              </w:rPr>
              <w:t>Loss from discontinued operations, net of income taxes</w:t>
            </w: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6"/>
                <w:szCs w:val="16"/>
                <w:color w:val="auto"/>
              </w:rPr>
              <w:t>(2)</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NET EARNINGS (LOSS)</w:t>
            </w:r>
          </w:p>
        </w:tc>
        <w:tc>
          <w:tcPr>
            <w:tcW w:w="260" w:type="dxa"/>
            <w:vAlign w:val="bottom"/>
            <w:tcBorders>
              <w:top w:val="single" w:sz="8" w:color="CFF0FC"/>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94</w:t>
            </w:r>
          </w:p>
        </w:tc>
        <w:tc>
          <w:tcPr>
            <w:tcW w:w="14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w:t>
            </w:r>
          </w:p>
        </w:tc>
        <w:tc>
          <w:tcPr>
            <w:tcW w:w="1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(75)</w:t>
            </w: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500" w:type="dxa"/>
            <w:vAlign w:val="bottom"/>
          </w:tcPr>
          <w:p>
            <w:pPr>
              <w:spacing w:after="0"/>
              <w:rPr>
                <w:sz w:val="20"/>
                <w:szCs w:val="20"/>
                <w:color w:val="auto"/>
              </w:rPr>
            </w:pPr>
            <w:r>
              <w:rPr>
                <w:rFonts w:ascii="Arial" w:cs="Arial" w:eastAsia="Arial" w:hAnsi="Arial"/>
                <w:sz w:val="16"/>
                <w:szCs w:val="16"/>
                <w:color w:val="auto"/>
              </w:rPr>
              <w:t>Less: Net income attributable to non-controlling interests</w:t>
            </w: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5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NET EARNINGS (LOSS) ATTRIBUTABLE TO EASTMAN KODAK COMPANY</w:t>
            </w:r>
          </w:p>
        </w:tc>
        <w:tc>
          <w:tcPr>
            <w:tcW w:w="260" w:type="dxa"/>
            <w:vAlign w:val="bottom"/>
            <w:tcBorders>
              <w:top w:val="single" w:sz="8" w:color="CFF0FC"/>
              <w:bottom w:val="single" w:sz="8" w:color="CFF0FC"/>
            </w:tcBorders>
            <w:shd w:val="clear" w:color="auto" w:fill="CFF0FC"/>
          </w:tcPr>
          <w:p>
            <w:pPr>
              <w:spacing w:after="0"/>
              <w:rPr>
                <w:sz w:val="17"/>
                <w:szCs w:val="17"/>
                <w:color w:val="auto"/>
              </w:rPr>
            </w:pPr>
          </w:p>
        </w:tc>
        <w:tc>
          <w:tcPr>
            <w:tcW w:w="860" w:type="dxa"/>
            <w:vAlign w:val="bottom"/>
            <w:tcBorders>
              <w:top w:val="single" w:sz="8" w:color="auto"/>
              <w:bottom w:val="single" w:sz="8" w:color="auto"/>
            </w:tcBorders>
            <w:shd w:val="clear" w:color="auto" w:fill="CFF0FC"/>
          </w:tcPr>
          <w:p>
            <w:pPr>
              <w:jc w:val="right"/>
              <w:ind w:right="707"/>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94</w:t>
            </w:r>
          </w:p>
        </w:tc>
        <w:tc>
          <w:tcPr>
            <w:tcW w:w="140" w:type="dxa"/>
            <w:vAlign w:val="bottom"/>
            <w:tcBorders>
              <w:top w:val="single" w:sz="8" w:color="CFF0FC"/>
              <w:bottom w:val="single" w:sz="8" w:color="CFF0FC"/>
            </w:tcBorders>
            <w:shd w:val="clear" w:color="auto" w:fill="CFF0FC"/>
          </w:tcPr>
          <w:p>
            <w:pPr>
              <w:spacing w:after="0"/>
              <w:rPr>
                <w:sz w:val="17"/>
                <w:szCs w:val="17"/>
                <w:color w:val="auto"/>
              </w:rPr>
            </w:pPr>
          </w:p>
        </w:tc>
        <w:tc>
          <w:tcPr>
            <w:tcW w:w="140" w:type="dxa"/>
            <w:vAlign w:val="bottom"/>
            <w:tcBorders>
              <w:top w:val="single" w:sz="8" w:color="CFF0FC"/>
              <w:bottom w:val="single" w:sz="8" w:color="CFF0FC"/>
            </w:tcBorders>
            <w:shd w:val="clear" w:color="auto" w:fill="CFF0FC"/>
          </w:tcPr>
          <w:p>
            <w:pPr>
              <w:spacing w:after="0"/>
              <w:rPr>
                <w:sz w:val="17"/>
                <w:szCs w:val="17"/>
                <w:color w:val="auto"/>
              </w:rPr>
            </w:pPr>
          </w:p>
        </w:tc>
        <w:tc>
          <w:tcPr>
            <w:tcW w:w="300" w:type="dxa"/>
            <w:vAlign w:val="bottom"/>
            <w:tcBorders>
              <w:top w:val="single" w:sz="8" w:color="auto"/>
              <w:bottom w:val="single" w:sz="8" w:color="auto"/>
            </w:tcBorders>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w:t>
            </w:r>
          </w:p>
        </w:tc>
        <w:tc>
          <w:tcPr>
            <w:tcW w:w="16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300" w:type="dxa"/>
            <w:vAlign w:val="bottom"/>
            <w:tcBorders>
              <w:top w:val="single" w:sz="8" w:color="auto"/>
              <w:bottom w:val="single" w:sz="8" w:color="auto"/>
            </w:tcBorders>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(80)</w:t>
            </w: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vMerge w:val="restart"/>
          </w:tcPr>
          <w:p>
            <w:pPr>
              <w:spacing w:after="0"/>
              <w:rPr>
                <w:sz w:val="15"/>
                <w:szCs w:val="15"/>
                <w:color w:val="auto"/>
              </w:rPr>
            </w:pPr>
          </w:p>
        </w:tc>
        <w:tc>
          <w:tcPr>
            <w:tcW w:w="6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6500" w:type="dxa"/>
            <w:vAlign w:val="bottom"/>
            <w:shd w:val="clear" w:color="auto" w:fill="CFF0FC"/>
          </w:tcPr>
          <w:p>
            <w:pPr>
              <w:spacing w:after="0"/>
              <w:rPr>
                <w:sz w:val="20"/>
                <w:szCs w:val="20"/>
                <w:color w:val="auto"/>
              </w:rPr>
            </w:pPr>
            <w:r>
              <w:rPr>
                <w:rFonts w:ascii="Arial" w:cs="Arial" w:eastAsia="Arial" w:hAnsi="Arial"/>
                <w:sz w:val="16"/>
                <w:szCs w:val="16"/>
                <w:color w:val="auto"/>
              </w:rPr>
              <w:t>Basic (loss) earnings per share attributable to</w:t>
            </w:r>
          </w:p>
        </w:tc>
        <w:tc>
          <w:tcPr>
            <w:tcW w:w="26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500" w:type="dxa"/>
            <w:vAlign w:val="bottom"/>
            <w:shd w:val="clear" w:color="auto" w:fill="CFF0FC"/>
          </w:tcPr>
          <w:p>
            <w:pPr>
              <w:ind w:left="100"/>
              <w:spacing w:after="0"/>
              <w:rPr>
                <w:sz w:val="20"/>
                <w:szCs w:val="20"/>
                <w:color w:val="auto"/>
              </w:rPr>
            </w:pPr>
            <w:r>
              <w:rPr>
                <w:rFonts w:ascii="Arial" w:cs="Arial" w:eastAsia="Arial" w:hAnsi="Arial"/>
                <w:sz w:val="16"/>
                <w:szCs w:val="16"/>
                <w:color w:val="auto"/>
              </w:rPr>
              <w:t>Eastman Kodak Company common shareholders:</w:t>
            </w:r>
          </w:p>
        </w:tc>
        <w:tc>
          <w:tcPr>
            <w:tcW w:w="2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500" w:type="dxa"/>
            <w:vAlign w:val="bottom"/>
          </w:tcPr>
          <w:p>
            <w:pPr>
              <w:ind w:left="200"/>
              <w:spacing w:after="0"/>
              <w:rPr>
                <w:sz w:val="20"/>
                <w:szCs w:val="20"/>
                <w:color w:val="auto"/>
              </w:rPr>
            </w:pPr>
            <w:r>
              <w:rPr>
                <w:rFonts w:ascii="Arial" w:cs="Arial" w:eastAsia="Arial" w:hAnsi="Arial"/>
                <w:sz w:val="16"/>
                <w:szCs w:val="16"/>
                <w:color w:val="auto"/>
              </w:rPr>
              <w:t>Continuing operations</w:t>
            </w:r>
          </w:p>
        </w:tc>
        <w:tc>
          <w:tcPr>
            <w:tcW w:w="1120" w:type="dxa"/>
            <w:vAlign w:val="bottom"/>
            <w:gridSpan w:val="2"/>
          </w:tcPr>
          <w:p>
            <w:pPr>
              <w:jc w:val="right"/>
              <w:ind w:right="707"/>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1.81</w:t>
            </w:r>
          </w:p>
        </w:tc>
        <w:tc>
          <w:tcPr>
            <w:tcW w:w="140" w:type="dxa"/>
            <w:vAlign w:val="bottom"/>
          </w:tcPr>
          <w:p>
            <w:pPr>
              <w:spacing w:after="0"/>
              <w:rPr>
                <w:sz w:val="17"/>
                <w:szCs w:val="17"/>
                <w:color w:val="auto"/>
              </w:rPr>
            </w:pPr>
          </w:p>
        </w:tc>
        <w:tc>
          <w:tcPr>
            <w:tcW w:w="440" w:type="dxa"/>
            <w:vAlign w:val="bottom"/>
            <w:gridSpan w:val="2"/>
          </w:tcPr>
          <w:p>
            <w:pPr>
              <w:jc w:val="right"/>
              <w:ind w:right="144"/>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0.33</w:t>
            </w:r>
          </w:p>
        </w:tc>
        <w:tc>
          <w:tcPr>
            <w:tcW w:w="160" w:type="dxa"/>
            <w:vAlign w:val="bottom"/>
          </w:tcPr>
          <w:p>
            <w:pPr>
              <w:spacing w:after="0"/>
              <w:rPr>
                <w:sz w:val="17"/>
                <w:szCs w:val="17"/>
                <w:color w:val="auto"/>
              </w:rPr>
            </w:pPr>
          </w:p>
        </w:tc>
        <w:tc>
          <w:tcPr>
            <w:tcW w:w="400" w:type="dxa"/>
            <w:vAlign w:val="bottom"/>
            <w:gridSpan w:val="2"/>
          </w:tcPr>
          <w:p>
            <w:pPr>
              <w:jc w:val="right"/>
              <w:ind w:right="144"/>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(1.72)</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5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Discontinued operations</w:t>
            </w:r>
          </w:p>
        </w:tc>
        <w:tc>
          <w:tcPr>
            <w:tcW w:w="2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6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(0.05)</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(0.05)</w:t>
            </w: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(0.19)</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500" w:type="dxa"/>
            <w:vAlign w:val="bottom"/>
            <w:tcBorders>
              <w:bottom w:val="single" w:sz="8" w:color="CFF0FC"/>
            </w:tcBorders>
          </w:tcPr>
          <w:p>
            <w:pPr>
              <w:ind w:left="20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CFF0FC"/>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707"/>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1.76</w:t>
            </w:r>
          </w:p>
        </w:tc>
        <w:tc>
          <w:tcPr>
            <w:tcW w:w="140" w:type="dxa"/>
            <w:vAlign w:val="bottom"/>
            <w:tcBorders>
              <w:bottom w:val="single" w:sz="8" w:color="CFF0FC"/>
            </w:tcBorders>
          </w:tcPr>
          <w:p>
            <w:pPr>
              <w:spacing w:after="0"/>
              <w:rPr>
                <w:sz w:val="20"/>
                <w:szCs w:val="20"/>
                <w:color w:val="auto"/>
              </w:rPr>
            </w:pPr>
          </w:p>
        </w:tc>
        <w:tc>
          <w:tcPr>
            <w:tcW w:w="140" w:type="dxa"/>
            <w:vAlign w:val="bottom"/>
            <w:tcBorders>
              <w:bottom w:val="single" w:sz="8" w:color="CFF0FC"/>
            </w:tcBorders>
          </w:tcPr>
          <w:p>
            <w:pPr>
              <w:spacing w:after="0"/>
              <w:rPr>
                <w:sz w:val="20"/>
                <w:szCs w:val="20"/>
                <w:color w:val="auto"/>
              </w:rPr>
            </w:pPr>
          </w:p>
        </w:tc>
        <w:tc>
          <w:tcPr>
            <w:tcW w:w="300" w:type="dxa"/>
            <w:vAlign w:val="bottom"/>
            <w:tcBorders>
              <w:top w:val="single" w:sz="8" w:color="auto"/>
              <w:bottom w:val="single" w:sz="8" w:color="auto"/>
            </w:tcBorders>
          </w:tcPr>
          <w:p>
            <w:pPr>
              <w:jc w:val="right"/>
              <w:ind w:right="144"/>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0.28</w:t>
            </w:r>
          </w:p>
        </w:tc>
        <w:tc>
          <w:tcPr>
            <w:tcW w:w="16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300" w:type="dxa"/>
            <w:vAlign w:val="bottom"/>
            <w:tcBorders>
              <w:top w:val="single" w:sz="8" w:color="auto"/>
              <w:bottom w:val="single" w:sz="8" w:color="auto"/>
            </w:tcBorders>
          </w:tcPr>
          <w:p>
            <w:pPr>
              <w:jc w:val="right"/>
              <w:ind w:right="144"/>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(1.91)</w:t>
            </w:r>
          </w:p>
        </w:tc>
        <w:tc>
          <w:tcPr>
            <w:tcW w:w="12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65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6500" w:type="dxa"/>
            <w:vAlign w:val="bottom"/>
          </w:tcPr>
          <w:p>
            <w:pPr>
              <w:spacing w:after="0"/>
              <w:rPr>
                <w:sz w:val="20"/>
                <w:szCs w:val="20"/>
                <w:color w:val="auto"/>
              </w:rPr>
            </w:pPr>
            <w:r>
              <w:rPr>
                <w:rFonts w:ascii="Arial" w:cs="Arial" w:eastAsia="Arial" w:hAnsi="Arial"/>
                <w:sz w:val="16"/>
                <w:szCs w:val="16"/>
                <w:color w:val="auto"/>
                <w:w w:val="93"/>
              </w:rPr>
              <w:t>Diluted (loss) earnings per share attributable to Eastman Kodak Company common shareholders:</w:t>
            </w: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500" w:type="dxa"/>
            <w:vAlign w:val="bottom"/>
            <w:shd w:val="clear" w:color="auto" w:fill="CFF0FC"/>
          </w:tcPr>
          <w:p>
            <w:pPr>
              <w:ind w:left="80"/>
              <w:spacing w:after="0"/>
              <w:rPr>
                <w:sz w:val="20"/>
                <w:szCs w:val="20"/>
                <w:color w:val="auto"/>
              </w:rPr>
            </w:pPr>
            <w:r>
              <w:rPr>
                <w:rFonts w:ascii="Arial" w:cs="Arial" w:eastAsia="Arial" w:hAnsi="Arial"/>
                <w:sz w:val="16"/>
                <w:szCs w:val="16"/>
                <w:color w:val="auto"/>
              </w:rPr>
              <w:t>Continuing operations</w:t>
            </w:r>
          </w:p>
        </w:tc>
        <w:tc>
          <w:tcPr>
            <w:tcW w:w="1120" w:type="dxa"/>
            <w:vAlign w:val="bottom"/>
            <w:gridSpan w:val="2"/>
            <w:shd w:val="clear" w:color="auto" w:fill="CFF0FC"/>
          </w:tcPr>
          <w:p>
            <w:pPr>
              <w:jc w:val="right"/>
              <w:ind w:right="707"/>
              <w:spacing w:after="0"/>
              <w:rPr>
                <w:sz w:val="20"/>
                <w:szCs w:val="20"/>
                <w:color w:val="auto"/>
              </w:rPr>
            </w:pPr>
            <w:r>
              <w:rPr>
                <w:rFonts w:ascii="Arial" w:cs="Arial" w:eastAsia="Arial" w:hAnsi="Arial"/>
                <w:sz w:val="16"/>
                <w:szCs w:val="16"/>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1.81</w:t>
            </w:r>
          </w:p>
        </w:tc>
        <w:tc>
          <w:tcPr>
            <w:tcW w:w="140" w:type="dxa"/>
            <w:vAlign w:val="bottom"/>
            <w:shd w:val="clear" w:color="auto" w:fill="CFF0FC"/>
          </w:tcPr>
          <w:p>
            <w:pPr>
              <w:spacing w:after="0"/>
              <w:rPr>
                <w:sz w:val="17"/>
                <w:szCs w:val="17"/>
                <w:color w:val="auto"/>
              </w:rPr>
            </w:pPr>
          </w:p>
        </w:tc>
        <w:tc>
          <w:tcPr>
            <w:tcW w:w="440" w:type="dxa"/>
            <w:vAlign w:val="bottom"/>
            <w:gridSpan w:val="2"/>
            <w:shd w:val="clear" w:color="auto" w:fill="CFF0FC"/>
          </w:tcPr>
          <w:p>
            <w:pPr>
              <w:jc w:val="right"/>
              <w:ind w:right="144"/>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0.33</w:t>
            </w:r>
          </w:p>
        </w:tc>
        <w:tc>
          <w:tcPr>
            <w:tcW w:w="160" w:type="dxa"/>
            <w:vAlign w:val="bottom"/>
            <w:shd w:val="clear" w:color="auto" w:fill="CFF0FC"/>
          </w:tcPr>
          <w:p>
            <w:pPr>
              <w:spacing w:after="0"/>
              <w:rPr>
                <w:sz w:val="17"/>
                <w:szCs w:val="17"/>
                <w:color w:val="auto"/>
              </w:rPr>
            </w:pPr>
          </w:p>
        </w:tc>
        <w:tc>
          <w:tcPr>
            <w:tcW w:w="400" w:type="dxa"/>
            <w:vAlign w:val="bottom"/>
            <w:gridSpan w:val="2"/>
            <w:shd w:val="clear" w:color="auto" w:fill="CFF0FC"/>
          </w:tcPr>
          <w:p>
            <w:pPr>
              <w:jc w:val="right"/>
              <w:ind w:right="144"/>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(1.72)</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500" w:type="dxa"/>
            <w:vAlign w:val="bottom"/>
          </w:tcPr>
          <w:p>
            <w:pPr>
              <w:ind w:left="80"/>
              <w:spacing w:after="0"/>
              <w:rPr>
                <w:sz w:val="20"/>
                <w:szCs w:val="20"/>
                <w:color w:val="auto"/>
              </w:rPr>
            </w:pPr>
            <w:r>
              <w:rPr>
                <w:rFonts w:ascii="Arial" w:cs="Arial" w:eastAsia="Arial" w:hAnsi="Arial"/>
                <w:sz w:val="16"/>
                <w:szCs w:val="16"/>
                <w:color w:val="auto"/>
              </w:rPr>
              <w:t>Discontinued operations</w:t>
            </w: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6"/>
                <w:szCs w:val="16"/>
                <w:color w:val="auto"/>
              </w:rPr>
              <w:t>(0.05)</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(0.05)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(0.19)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500" w:type="dxa"/>
            <w:vAlign w:val="bottom"/>
            <w:tcBorders>
              <w:top w:val="single" w:sz="8" w:color="CFF0FC"/>
              <w:bottom w:val="single" w:sz="8" w:color="CFF0FC"/>
            </w:tcBorders>
            <w:shd w:val="clear" w:color="auto" w:fill="CFF0FC"/>
          </w:tcPr>
          <w:p>
            <w:pPr>
              <w:ind w:left="80"/>
              <w:spacing w:after="0"/>
              <w:rPr>
                <w:sz w:val="20"/>
                <w:szCs w:val="20"/>
                <w:color w:val="auto"/>
              </w:rPr>
            </w:pPr>
            <w:r>
              <w:rPr>
                <w:rFonts w:ascii="Arial" w:cs="Arial" w:eastAsia="Arial" w:hAnsi="Arial"/>
                <w:sz w:val="16"/>
                <w:szCs w:val="16"/>
                <w:color w:val="auto"/>
              </w:rPr>
              <w:t>Total</w:t>
            </w:r>
          </w:p>
        </w:tc>
        <w:tc>
          <w:tcPr>
            <w:tcW w:w="260" w:type="dxa"/>
            <w:vAlign w:val="bottom"/>
            <w:tcBorders>
              <w:top w:val="single" w:sz="8" w:color="CFF0FC"/>
              <w:bottom w:val="single" w:sz="8" w:color="CFF0FC"/>
            </w:tcBorders>
            <w:shd w:val="clear" w:color="auto" w:fill="CFF0FC"/>
          </w:tcPr>
          <w:p>
            <w:pPr>
              <w:spacing w:after="0"/>
              <w:rPr>
                <w:sz w:val="17"/>
                <w:szCs w:val="17"/>
                <w:color w:val="auto"/>
              </w:rPr>
            </w:pPr>
          </w:p>
        </w:tc>
        <w:tc>
          <w:tcPr>
            <w:tcW w:w="860" w:type="dxa"/>
            <w:vAlign w:val="bottom"/>
            <w:tcBorders>
              <w:top w:val="single" w:sz="8" w:color="auto"/>
              <w:bottom w:val="single" w:sz="8" w:color="auto"/>
            </w:tcBorders>
            <w:shd w:val="clear" w:color="auto" w:fill="CFF0FC"/>
          </w:tcPr>
          <w:p>
            <w:pPr>
              <w:jc w:val="right"/>
              <w:ind w:right="707"/>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1.76</w:t>
            </w:r>
          </w:p>
        </w:tc>
        <w:tc>
          <w:tcPr>
            <w:tcW w:w="140" w:type="dxa"/>
            <w:vAlign w:val="bottom"/>
            <w:tcBorders>
              <w:top w:val="single" w:sz="8" w:color="CFF0FC"/>
              <w:bottom w:val="single" w:sz="8" w:color="CFF0FC"/>
            </w:tcBorders>
            <w:shd w:val="clear" w:color="auto" w:fill="CFF0FC"/>
          </w:tcPr>
          <w:p>
            <w:pPr>
              <w:spacing w:after="0"/>
              <w:rPr>
                <w:sz w:val="17"/>
                <w:szCs w:val="17"/>
                <w:color w:val="auto"/>
              </w:rPr>
            </w:pPr>
          </w:p>
        </w:tc>
        <w:tc>
          <w:tcPr>
            <w:tcW w:w="140" w:type="dxa"/>
            <w:vAlign w:val="bottom"/>
            <w:tcBorders>
              <w:top w:val="single" w:sz="8" w:color="CFF0FC"/>
              <w:bottom w:val="single" w:sz="8" w:color="CFF0FC"/>
            </w:tcBorders>
            <w:shd w:val="clear" w:color="auto" w:fill="CFF0FC"/>
          </w:tcPr>
          <w:p>
            <w:pPr>
              <w:spacing w:after="0"/>
              <w:rPr>
                <w:sz w:val="17"/>
                <w:szCs w:val="17"/>
                <w:color w:val="auto"/>
              </w:rPr>
            </w:pPr>
          </w:p>
        </w:tc>
        <w:tc>
          <w:tcPr>
            <w:tcW w:w="300" w:type="dxa"/>
            <w:vAlign w:val="bottom"/>
            <w:tcBorders>
              <w:top w:val="single" w:sz="8" w:color="auto"/>
              <w:bottom w:val="single" w:sz="8" w:color="auto"/>
            </w:tcBorders>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0.28</w:t>
            </w:r>
          </w:p>
        </w:tc>
        <w:tc>
          <w:tcPr>
            <w:tcW w:w="16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300" w:type="dxa"/>
            <w:vAlign w:val="bottom"/>
            <w:tcBorders>
              <w:top w:val="single" w:sz="8" w:color="auto"/>
              <w:bottom w:val="single" w:sz="8" w:color="auto"/>
            </w:tcBorders>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(1.91)</w:t>
            </w: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40"/>
          </w:cols>
          <w:pgMar w:left="240" w:top="123" w:right="219" w:bottom="1440" w:gutter="0" w:footer="0" w:header="0"/>
        </w:sectPr>
      </w:pPr>
    </w:p>
    <w:p>
      <w:pPr>
        <w:spacing w:after="0" w:line="5" w:lineRule="exact"/>
        <w:rPr>
          <w:sz w:val="20"/>
          <w:szCs w:val="20"/>
          <w:color w:val="auto"/>
        </w:rPr>
      </w:pPr>
    </w:p>
    <w:p>
      <w:pPr>
        <w:ind w:left="100" w:right="2120" w:hanging="109"/>
        <w:spacing w:after="0" w:line="275" w:lineRule="auto"/>
        <w:rPr>
          <w:sz w:val="20"/>
          <w:szCs w:val="20"/>
          <w:color w:val="auto"/>
        </w:rPr>
      </w:pPr>
      <w:r>
        <w:rPr>
          <w:rFonts w:ascii="Arial" w:cs="Arial" w:eastAsia="Arial" w:hAnsi="Arial"/>
          <w:sz w:val="16"/>
          <w:szCs w:val="16"/>
          <w:color w:val="auto"/>
        </w:rPr>
        <w:t>Number of common shares used in basic and diluted (loss) earnings per share Basic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-266700</wp:posOffset>
            </wp:positionV>
            <wp:extent cx="7261225" cy="1301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1225" cy="130175"/>
                    </a:xfrm>
                    <a:prstGeom prst="rect">
                      <a:avLst/>
                    </a:prstGeom>
                    <a:noFill/>
                  </pic:spPr>
                </pic:pic>
              </a:graphicData>
            </a:graphic>
          </wp:anchor>
        </w:drawing>
      </w:r>
    </w:p>
    <w:p>
      <w:pPr>
        <w:ind w:left="100"/>
        <w:spacing w:after="0"/>
        <w:rPr>
          <w:sz w:val="20"/>
          <w:szCs w:val="20"/>
          <w:color w:val="auto"/>
        </w:rPr>
      </w:pPr>
      <w:r>
        <w:rPr>
          <w:rFonts w:ascii="Arial" w:cs="Arial" w:eastAsia="Arial" w:hAnsi="Arial"/>
          <w:sz w:val="16"/>
          <w:szCs w:val="16"/>
          <w:color w:val="auto"/>
        </w:rPr>
        <w:t>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-116205</wp:posOffset>
            </wp:positionV>
            <wp:extent cx="7261225" cy="1384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1225" cy="13843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940" w:type="dxa"/>
            <w:vAlign w:val="bottom"/>
          </w:tcPr>
          <w:p>
            <w:pPr>
              <w:jc w:val="right"/>
              <w:ind w:right="579"/>
              <w:spacing w:after="0"/>
              <w:rPr>
                <w:sz w:val="20"/>
                <w:szCs w:val="20"/>
                <w:color w:val="auto"/>
              </w:rPr>
            </w:pPr>
            <w:r>
              <w:rPr>
                <w:rFonts w:ascii="Arial" w:cs="Arial" w:eastAsia="Arial" w:hAnsi="Arial"/>
                <w:sz w:val="16"/>
                <w:szCs w:val="16"/>
                <w:color w:val="auto"/>
                <w:w w:val="83"/>
              </w:rPr>
              <w:t>42.5</w:t>
            </w:r>
          </w:p>
        </w:tc>
        <w:tc>
          <w:tcPr>
            <w:tcW w:w="1600" w:type="dxa"/>
            <w:vAlign w:val="bottom"/>
          </w:tcPr>
          <w:p>
            <w:pPr>
              <w:jc w:val="right"/>
              <w:ind w:right="579"/>
              <w:spacing w:after="0"/>
              <w:rPr>
                <w:sz w:val="20"/>
                <w:szCs w:val="20"/>
                <w:color w:val="auto"/>
              </w:rPr>
            </w:pPr>
            <w:r>
              <w:rPr>
                <w:rFonts w:ascii="Arial" w:cs="Arial" w:eastAsia="Arial" w:hAnsi="Arial"/>
                <w:sz w:val="16"/>
                <w:szCs w:val="16"/>
                <w:color w:val="auto"/>
              </w:rPr>
              <w:t>42.2</w:t>
            </w:r>
          </w:p>
        </w:tc>
        <w:tc>
          <w:tcPr>
            <w:tcW w:w="960" w:type="dxa"/>
            <w:vAlign w:val="bottom"/>
          </w:tcPr>
          <w:p>
            <w:pPr>
              <w:jc w:val="right"/>
              <w:spacing w:after="0"/>
              <w:rPr>
                <w:sz w:val="20"/>
                <w:szCs w:val="20"/>
                <w:color w:val="auto"/>
              </w:rPr>
            </w:pPr>
            <w:r>
              <w:rPr>
                <w:rFonts w:ascii="Arial" w:cs="Arial" w:eastAsia="Arial" w:hAnsi="Arial"/>
                <w:sz w:val="16"/>
                <w:szCs w:val="16"/>
                <w:color w:val="auto"/>
              </w:rPr>
              <w:t>41.9</w:t>
            </w:r>
          </w:p>
        </w:tc>
      </w:tr>
      <w:tr>
        <w:trPr>
          <w:trHeight w:val="218"/>
        </w:trPr>
        <w:tc>
          <w:tcPr>
            <w:tcW w:w="940" w:type="dxa"/>
            <w:vAlign w:val="bottom"/>
          </w:tcPr>
          <w:p>
            <w:pPr>
              <w:jc w:val="right"/>
              <w:ind w:right="579"/>
              <w:spacing w:after="0"/>
              <w:rPr>
                <w:sz w:val="20"/>
                <w:szCs w:val="20"/>
                <w:color w:val="auto"/>
              </w:rPr>
            </w:pPr>
            <w:r>
              <w:rPr>
                <w:rFonts w:ascii="Arial" w:cs="Arial" w:eastAsia="Arial" w:hAnsi="Arial"/>
                <w:sz w:val="16"/>
                <w:szCs w:val="16"/>
                <w:color w:val="auto"/>
                <w:w w:val="83"/>
              </w:rPr>
              <w:t>42.7</w:t>
            </w:r>
          </w:p>
        </w:tc>
        <w:tc>
          <w:tcPr>
            <w:tcW w:w="1600" w:type="dxa"/>
            <w:vAlign w:val="bottom"/>
          </w:tcPr>
          <w:p>
            <w:pPr>
              <w:jc w:val="right"/>
              <w:ind w:right="579"/>
              <w:spacing w:after="0"/>
              <w:rPr>
                <w:sz w:val="20"/>
                <w:szCs w:val="20"/>
                <w:color w:val="auto"/>
              </w:rPr>
            </w:pPr>
            <w:r>
              <w:rPr>
                <w:rFonts w:ascii="Arial" w:cs="Arial" w:eastAsia="Arial" w:hAnsi="Arial"/>
                <w:sz w:val="16"/>
                <w:szCs w:val="16"/>
                <w:color w:val="auto"/>
              </w:rPr>
              <w:t>42.5</w:t>
            </w:r>
          </w:p>
        </w:tc>
        <w:tc>
          <w:tcPr>
            <w:tcW w:w="960" w:type="dxa"/>
            <w:vAlign w:val="bottom"/>
          </w:tcPr>
          <w:p>
            <w:pPr>
              <w:jc w:val="right"/>
              <w:spacing w:after="0"/>
              <w:rPr>
                <w:sz w:val="20"/>
                <w:szCs w:val="20"/>
                <w:color w:val="auto"/>
              </w:rPr>
            </w:pPr>
            <w:r>
              <w:rPr>
                <w:rFonts w:ascii="Arial" w:cs="Arial" w:eastAsia="Arial" w:hAnsi="Arial"/>
                <w:sz w:val="16"/>
                <w:szCs w:val="16"/>
                <w:color w:val="auto"/>
              </w:rPr>
              <w:t>41.9</w:t>
            </w:r>
          </w:p>
        </w:tc>
      </w:tr>
    </w:tbl>
    <w:p>
      <w:pPr>
        <w:spacing w:after="0" w:line="566" w:lineRule="exact"/>
        <w:rPr>
          <w:sz w:val="20"/>
          <w:szCs w:val="20"/>
          <w:color w:val="auto"/>
        </w:rPr>
      </w:pPr>
    </w:p>
    <w:p>
      <w:pPr>
        <w:sectPr>
          <w:pgSz w:w="11900" w:h="16838" w:orient="portrait"/>
          <w:cols w:equalWidth="0" w:num="2">
            <w:col w:w="7100" w:space="720"/>
            <w:col w:w="3620"/>
          </w:cols>
          <w:pgMar w:left="240" w:top="123" w:right="219" w:bottom="1440" w:gutter="0" w:footer="0" w:header="0"/>
          <w:type w:val="continuous"/>
        </w:sect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77470</wp:posOffset>
            </wp:positionV>
            <wp:extent cx="7301865" cy="406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301865" cy="40640"/>
                    </a:xfrm>
                    <a:prstGeom prst="rect">
                      <a:avLst/>
                    </a:prstGeom>
                    <a:noFill/>
                  </pic:spPr>
                </pic:pic>
              </a:graphicData>
            </a:graphic>
          </wp:anchor>
        </w:drawing>
      </w:r>
    </w:p>
    <w:p>
      <w:pPr>
        <w:sectPr>
          <w:pgSz w:w="11900" w:h="16838" w:orient="portrait"/>
          <w:cols w:equalWidth="0" w:num="1">
            <w:col w:w="11440"/>
          </w:cols>
          <w:pgMar w:left="240" w:top="123" w:right="219" w:bottom="1440" w:gutter="0" w:footer="0" w:header="0"/>
          <w:type w:val="continuous"/>
        </w:sectPr>
      </w:pPr>
    </w:p>
    <w:bookmarkStart w:id="53" w:name="page54"/>
    <w:bookmarkEnd w:id="53"/>
    <w:p>
      <w:pPr>
        <w:spacing w:after="0"/>
        <w:rPr>
          <w:sz w:val="20"/>
          <w:szCs w:val="20"/>
          <w:color w:val="auto"/>
        </w:rPr>
      </w:pPr>
      <w:r>
        <w:rPr>
          <w:rFonts w:ascii="Arial" w:cs="Arial" w:eastAsia="Arial" w:hAnsi="Arial"/>
          <w:sz w:val="16"/>
          <w:szCs w:val="16"/>
          <w:b w:val="1"/>
          <w:bCs w:val="1"/>
          <w:color w:val="auto"/>
        </w:rPr>
        <w:t>EASTMAN KODAK COMPANY</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CONSOLIDATED STATEMENT OF COMPREHENSIVE INCOME (LOSS)</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(in millions)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6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gridSpan w:val="3"/>
          </w:tcPr>
          <w:p>
            <w:pPr>
              <w:ind w:left="20"/>
              <w:spacing w:after="0"/>
              <w:rPr>
                <w:sz w:val="20"/>
                <w:szCs w:val="20"/>
                <w:color w:val="auto"/>
              </w:rPr>
            </w:pPr>
            <w:r>
              <w:rPr>
                <w:rFonts w:ascii="Arial" w:cs="Arial" w:eastAsia="Arial" w:hAnsi="Arial"/>
                <w:sz w:val="13"/>
                <w:szCs w:val="13"/>
                <w:b w:val="1"/>
                <w:bCs w:val="1"/>
                <w:color w:val="auto"/>
              </w:rPr>
              <w:t>Year Ended December 31,</w:t>
            </w: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080" w:type="dxa"/>
            <w:vAlign w:val="bottom"/>
            <w:tcBorders>
              <w:bottom w:val="single" w:sz="8" w:color="CFF0FC"/>
            </w:tcBorders>
          </w:tcPr>
          <w:p>
            <w:pPr>
              <w:spacing w:after="0"/>
              <w:rPr>
                <w:sz w:val="11"/>
                <w:szCs w:val="11"/>
                <w:color w:val="auto"/>
              </w:rPr>
            </w:pPr>
          </w:p>
        </w:tc>
        <w:tc>
          <w:tcPr>
            <w:tcW w:w="240" w:type="dxa"/>
            <w:vAlign w:val="bottom"/>
            <w:tcBorders>
              <w:bottom w:val="single" w:sz="8" w:color="CFF0FC"/>
            </w:tcBorders>
          </w:tcPr>
          <w:p>
            <w:pPr>
              <w:spacing w:after="0"/>
              <w:rPr>
                <w:sz w:val="11"/>
                <w:szCs w:val="11"/>
                <w:color w:val="auto"/>
              </w:rPr>
            </w:pPr>
          </w:p>
        </w:tc>
        <w:tc>
          <w:tcPr>
            <w:tcW w:w="1040" w:type="dxa"/>
            <w:vAlign w:val="bottom"/>
            <w:tcBorders>
              <w:bottom w:val="single" w:sz="8" w:color="auto"/>
            </w:tcBorders>
          </w:tcPr>
          <w:p>
            <w:pPr>
              <w:jc w:val="right"/>
              <w:ind w:right="110"/>
              <w:spacing w:after="0" w:line="138" w:lineRule="exact"/>
              <w:rPr>
                <w:sz w:val="20"/>
                <w:szCs w:val="20"/>
                <w:color w:val="auto"/>
              </w:rPr>
            </w:pPr>
            <w:r>
              <w:rPr>
                <w:rFonts w:ascii="Arial" w:cs="Arial" w:eastAsia="Arial" w:hAnsi="Arial"/>
                <w:sz w:val="13"/>
                <w:szCs w:val="13"/>
                <w:b w:val="1"/>
                <w:bCs w:val="1"/>
                <w:color w:val="auto"/>
              </w:rPr>
              <w:t>2017</w:t>
            </w:r>
          </w:p>
        </w:tc>
        <w:tc>
          <w:tcPr>
            <w:tcW w:w="420" w:type="dxa"/>
            <w:vAlign w:val="bottom"/>
            <w:tcBorders>
              <w:bottom w:val="single" w:sz="8" w:color="auto"/>
            </w:tcBorders>
          </w:tcPr>
          <w:p>
            <w:pPr>
              <w:spacing w:after="0"/>
              <w:rPr>
                <w:sz w:val="11"/>
                <w:szCs w:val="11"/>
                <w:color w:val="auto"/>
              </w:rPr>
            </w:pPr>
          </w:p>
        </w:tc>
        <w:tc>
          <w:tcPr>
            <w:tcW w:w="280" w:type="dxa"/>
            <w:vAlign w:val="bottom"/>
            <w:tcBorders>
              <w:bottom w:val="single" w:sz="8" w:color="CFF0FC"/>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541"/>
              <w:spacing w:after="0" w:line="138" w:lineRule="exact"/>
              <w:rPr>
                <w:sz w:val="20"/>
                <w:szCs w:val="20"/>
                <w:color w:val="auto"/>
              </w:rPr>
            </w:pPr>
            <w:r>
              <w:rPr>
                <w:rFonts w:ascii="Arial" w:cs="Arial" w:eastAsia="Arial" w:hAnsi="Arial"/>
                <w:sz w:val="13"/>
                <w:szCs w:val="13"/>
                <w:b w:val="1"/>
                <w:bCs w:val="1"/>
                <w:color w:val="auto"/>
              </w:rPr>
              <w:t>2016</w:t>
            </w:r>
          </w:p>
        </w:tc>
        <w:tc>
          <w:tcPr>
            <w:tcW w:w="280" w:type="dxa"/>
            <w:vAlign w:val="bottom"/>
            <w:tcBorders>
              <w:bottom w:val="single" w:sz="8" w:color="CFF0FC"/>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541"/>
              <w:spacing w:after="0" w:line="138" w:lineRule="exact"/>
              <w:rPr>
                <w:sz w:val="20"/>
                <w:szCs w:val="20"/>
                <w:color w:val="auto"/>
              </w:rPr>
            </w:pPr>
            <w:r>
              <w:rPr>
                <w:rFonts w:ascii="Arial" w:cs="Arial" w:eastAsia="Arial" w:hAnsi="Arial"/>
                <w:sz w:val="13"/>
                <w:szCs w:val="13"/>
                <w:b w:val="1"/>
                <w:bCs w:val="1"/>
                <w:color w:val="auto"/>
              </w:rPr>
              <w:t>2015</w:t>
            </w:r>
          </w:p>
        </w:tc>
        <w:tc>
          <w:tcPr>
            <w:tcW w:w="120" w:type="dxa"/>
            <w:vAlign w:val="bottom"/>
            <w:tcBorders>
              <w:bottom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080" w:type="dxa"/>
            <w:vAlign w:val="bottom"/>
            <w:shd w:val="clear" w:color="auto" w:fill="CFF0FC"/>
          </w:tcPr>
          <w:p>
            <w:pPr>
              <w:spacing w:after="0"/>
              <w:rPr>
                <w:sz w:val="20"/>
                <w:szCs w:val="20"/>
                <w:color w:val="auto"/>
              </w:rPr>
            </w:pPr>
            <w:r>
              <w:rPr>
                <w:rFonts w:ascii="Arial" w:cs="Arial" w:eastAsia="Arial" w:hAnsi="Arial"/>
                <w:sz w:val="16"/>
                <w:szCs w:val="16"/>
                <w:color w:val="auto"/>
              </w:rPr>
              <w:t>NET EARNINGS (LOSS)</w:t>
            </w:r>
          </w:p>
        </w:tc>
        <w:tc>
          <w:tcPr>
            <w:tcW w:w="24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890"/>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94</w:t>
            </w:r>
          </w:p>
        </w:tc>
        <w:tc>
          <w:tcPr>
            <w:tcW w:w="2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w:t>
            </w:r>
          </w:p>
        </w:tc>
        <w:tc>
          <w:tcPr>
            <w:tcW w:w="280" w:type="dxa"/>
            <w:vAlign w:val="bottom"/>
            <w:shd w:val="clear" w:color="auto" w:fill="CFF0FC"/>
          </w:tcPr>
          <w:p>
            <w:pPr>
              <w:spacing w:after="0"/>
              <w:rPr>
                <w:sz w:val="17"/>
                <w:szCs w:val="17"/>
                <w:color w:val="auto"/>
              </w:rPr>
            </w:pPr>
          </w:p>
        </w:tc>
        <w:tc>
          <w:tcPr>
            <w:tcW w:w="340" w:type="dxa"/>
            <w:vAlign w:val="bottom"/>
            <w:shd w:val="clear" w:color="auto" w:fill="CFF0FC"/>
          </w:tcPr>
          <w:p>
            <w:pPr>
              <w:jc w:val="right"/>
              <w:ind w:right="184"/>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080" w:type="dxa"/>
            <w:vAlign w:val="bottom"/>
          </w:tcPr>
          <w:p>
            <w:pPr>
              <w:ind w:left="200"/>
              <w:spacing w:after="0"/>
              <w:rPr>
                <w:sz w:val="20"/>
                <w:szCs w:val="20"/>
                <w:color w:val="auto"/>
              </w:rPr>
            </w:pPr>
            <w:r>
              <w:rPr>
                <w:rFonts w:ascii="Arial" w:cs="Arial" w:eastAsia="Arial" w:hAnsi="Arial"/>
                <w:sz w:val="16"/>
                <w:szCs w:val="16"/>
                <w:color w:val="auto"/>
              </w:rPr>
              <w:t>Less: net income attributable to non-controlling interests</w:t>
            </w: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Net earnings (loss) attributable to Eastman Kodak Company</w:t>
            </w:r>
          </w:p>
        </w:tc>
        <w:tc>
          <w:tcPr>
            <w:tcW w:w="240" w:type="dxa"/>
            <w:vAlign w:val="bottom"/>
            <w:tcBorders>
              <w:top w:val="single" w:sz="8" w:color="CFF0FC"/>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94</w:t>
            </w:r>
          </w:p>
        </w:tc>
        <w:tc>
          <w:tcPr>
            <w:tcW w:w="280" w:type="dxa"/>
            <w:vAlign w:val="bottom"/>
            <w:tcBorders>
              <w:top w:val="single" w:sz="8" w:color="CFF0FC"/>
            </w:tcBorders>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w:t>
            </w:r>
          </w:p>
        </w:tc>
        <w:tc>
          <w:tcPr>
            <w:tcW w:w="280" w:type="dxa"/>
            <w:vAlign w:val="bottom"/>
            <w:tcBorders>
              <w:top w:val="single" w:sz="8" w:color="CFF0FC"/>
            </w:tcBorders>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(80)</w:t>
            </w: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6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6080" w:type="dxa"/>
            <w:vAlign w:val="bottom"/>
            <w:shd w:val="clear" w:color="auto" w:fill="CFF0FC"/>
          </w:tcPr>
          <w:p>
            <w:pPr>
              <w:spacing w:after="0"/>
              <w:rPr>
                <w:sz w:val="20"/>
                <w:szCs w:val="20"/>
                <w:color w:val="auto"/>
              </w:rPr>
            </w:pPr>
            <w:r>
              <w:rPr>
                <w:rFonts w:ascii="Arial" w:cs="Arial" w:eastAsia="Arial" w:hAnsi="Arial"/>
                <w:sz w:val="16"/>
                <w:szCs w:val="16"/>
                <w:color w:val="auto"/>
              </w:rPr>
              <w:t>Other comprehensive loss, net:</w:t>
            </w:r>
          </w:p>
        </w:tc>
        <w:tc>
          <w:tcPr>
            <w:tcW w:w="24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080" w:type="dxa"/>
            <w:vAlign w:val="bottom"/>
          </w:tcPr>
          <w:p>
            <w:pPr>
              <w:spacing w:after="0"/>
              <w:rPr>
                <w:sz w:val="20"/>
                <w:szCs w:val="20"/>
                <w:color w:val="auto"/>
              </w:rPr>
            </w:pPr>
            <w:r>
              <w:rPr>
                <w:rFonts w:ascii="Arial" w:cs="Arial" w:eastAsia="Arial" w:hAnsi="Arial"/>
                <w:sz w:val="16"/>
                <w:szCs w:val="16"/>
                <w:color w:val="auto"/>
              </w:rPr>
              <w:t>Currency translation adjustments</w:t>
            </w: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11</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(29)</w:t>
            </w:r>
          </w:p>
        </w:tc>
        <w:tc>
          <w:tcPr>
            <w:tcW w:w="340" w:type="dxa"/>
            <w:vAlign w:val="bottom"/>
          </w:tcPr>
          <w:p>
            <w:pPr>
              <w:spacing w:after="0"/>
              <w:rPr>
                <w:sz w:val="17"/>
                <w:szCs w:val="17"/>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080" w:type="dxa"/>
            <w:vAlign w:val="bottom"/>
            <w:shd w:val="clear" w:color="auto" w:fill="CFF0FC"/>
          </w:tcPr>
          <w:p>
            <w:pPr>
              <w:spacing w:after="0"/>
              <w:rPr>
                <w:sz w:val="20"/>
                <w:szCs w:val="20"/>
                <w:color w:val="auto"/>
              </w:rPr>
            </w:pPr>
            <w:r>
              <w:rPr>
                <w:rFonts w:ascii="Arial" w:cs="Arial" w:eastAsia="Arial" w:hAnsi="Arial"/>
                <w:sz w:val="16"/>
                <w:szCs w:val="16"/>
                <w:color w:val="auto"/>
                <w:w w:val="97"/>
              </w:rPr>
              <w:t>Reclassification of realized (gains) losses on available-for-sale securities included in net</w:t>
            </w:r>
          </w:p>
        </w:tc>
        <w:tc>
          <w:tcPr>
            <w:tcW w:w="24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080" w:type="dxa"/>
            <w:vAlign w:val="bottom"/>
            <w:shd w:val="clear" w:color="auto" w:fill="CFF0FC"/>
          </w:tcPr>
          <w:p>
            <w:pPr>
              <w:spacing w:after="0"/>
              <w:rPr>
                <w:sz w:val="20"/>
                <w:szCs w:val="20"/>
                <w:color w:val="auto"/>
              </w:rPr>
            </w:pPr>
            <w:r>
              <w:rPr>
                <w:rFonts w:ascii="Arial" w:cs="Arial" w:eastAsia="Arial" w:hAnsi="Arial"/>
                <w:sz w:val="16"/>
                <w:szCs w:val="16"/>
                <w:color w:val="auto"/>
              </w:rPr>
              <w:t>earnings, net of tax</w:t>
            </w:r>
          </w:p>
        </w:tc>
        <w:tc>
          <w:tcPr>
            <w:tcW w:w="24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(2)</w:t>
            </w:r>
          </w:p>
        </w:tc>
        <w:tc>
          <w:tcPr>
            <w:tcW w:w="3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080" w:type="dxa"/>
            <w:vAlign w:val="bottom"/>
          </w:tcPr>
          <w:p>
            <w:pPr>
              <w:spacing w:after="0"/>
              <w:rPr>
                <w:sz w:val="20"/>
                <w:szCs w:val="20"/>
                <w:color w:val="auto"/>
              </w:rPr>
            </w:pPr>
            <w:r>
              <w:rPr>
                <w:rFonts w:ascii="Arial" w:cs="Arial" w:eastAsia="Arial" w:hAnsi="Arial"/>
                <w:sz w:val="16"/>
                <w:szCs w:val="16"/>
                <w:color w:val="auto"/>
              </w:rPr>
              <w:t>Pension and other postretirement benefit plan obligation activity, net of tax</w:t>
            </w: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36</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(140)</w:t>
            </w:r>
          </w:p>
        </w:tc>
        <w:tc>
          <w:tcPr>
            <w:tcW w:w="340" w:type="dxa"/>
            <w:vAlign w:val="bottom"/>
          </w:tcPr>
          <w:p>
            <w:pPr>
              <w:spacing w:after="0"/>
              <w:rPr>
                <w:sz w:val="17"/>
                <w:szCs w:val="17"/>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Other comprehensive income (loss), net attributable to Eastman Kodak Company</w:t>
            </w:r>
          </w:p>
        </w:tc>
        <w:tc>
          <w:tcPr>
            <w:tcW w:w="240" w:type="dxa"/>
            <w:vAlign w:val="bottom"/>
            <w:tcBorders>
              <w:top w:val="single" w:sz="8" w:color="CFF0FC"/>
            </w:tcBorders>
            <w:shd w:val="clear" w:color="auto" w:fill="CFF0FC"/>
          </w:tcPr>
          <w:p>
            <w:pPr>
              <w:spacing w:after="0"/>
              <w:rPr>
                <w:sz w:val="17"/>
                <w:szCs w:val="17"/>
                <w:color w:val="auto"/>
              </w:rPr>
            </w:pPr>
          </w:p>
        </w:tc>
        <w:tc>
          <w:tcPr>
            <w:tcW w:w="1040" w:type="dxa"/>
            <w:vAlign w:val="bottom"/>
            <w:tcBorders>
              <w:top w:val="single" w:sz="8" w:color="auto"/>
              <w:bottom w:val="single" w:sz="8" w:color="auto"/>
            </w:tcBorders>
            <w:shd w:val="clear" w:color="auto" w:fill="CFF0FC"/>
          </w:tcPr>
          <w:p>
            <w:pPr>
              <w:spacing w:after="0"/>
              <w:rPr>
                <w:sz w:val="17"/>
                <w:szCs w:val="17"/>
                <w:color w:val="auto"/>
              </w:rPr>
            </w:pP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47</w:t>
            </w:r>
          </w:p>
        </w:tc>
        <w:tc>
          <w:tcPr>
            <w:tcW w:w="280" w:type="dxa"/>
            <w:vAlign w:val="bottom"/>
            <w:tcBorders>
              <w:top w:val="single" w:sz="8" w:color="CFF0FC"/>
            </w:tcBorders>
            <w:shd w:val="clear" w:color="auto" w:fill="CFF0FC"/>
          </w:tcPr>
          <w:p>
            <w:pPr>
              <w:spacing w:after="0"/>
              <w:rPr>
                <w:sz w:val="17"/>
                <w:szCs w:val="17"/>
                <w:color w:val="auto"/>
              </w:rPr>
            </w:pPr>
          </w:p>
        </w:tc>
        <w:tc>
          <w:tcPr>
            <w:tcW w:w="340" w:type="dxa"/>
            <w:vAlign w:val="bottom"/>
            <w:tcBorders>
              <w:top w:val="single" w:sz="8" w:color="auto"/>
              <w:bottom w:val="single" w:sz="8" w:color="auto"/>
            </w:tcBorders>
            <w:shd w:val="clear" w:color="auto" w:fill="CFF0FC"/>
          </w:tcPr>
          <w:p>
            <w:pPr>
              <w:spacing w:after="0"/>
              <w:rPr>
                <w:sz w:val="17"/>
                <w:szCs w:val="17"/>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(171)</w:t>
            </w:r>
          </w:p>
        </w:tc>
        <w:tc>
          <w:tcPr>
            <w:tcW w:w="280" w:type="dxa"/>
            <w:vAlign w:val="bottom"/>
            <w:tcBorders>
              <w:top w:val="single" w:sz="8" w:color="CFF0FC"/>
            </w:tcBorders>
            <w:shd w:val="clear" w:color="auto" w:fill="CFF0FC"/>
          </w:tcPr>
          <w:p>
            <w:pPr>
              <w:spacing w:after="0"/>
              <w:rPr>
                <w:sz w:val="17"/>
                <w:szCs w:val="17"/>
                <w:color w:val="auto"/>
              </w:rPr>
            </w:pPr>
          </w:p>
        </w:tc>
        <w:tc>
          <w:tcPr>
            <w:tcW w:w="340" w:type="dxa"/>
            <w:vAlign w:val="bottom"/>
            <w:tcBorders>
              <w:top w:val="single" w:sz="8" w:color="auto"/>
              <w:bottom w:val="single" w:sz="8" w:color="auto"/>
            </w:tcBorders>
            <w:shd w:val="clear" w:color="auto" w:fill="CFF0FC"/>
          </w:tcPr>
          <w:p>
            <w:pPr>
              <w:spacing w:after="0"/>
              <w:rPr>
                <w:sz w:val="17"/>
                <w:szCs w:val="17"/>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(131)</w:t>
            </w: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6100" w:type="dxa"/>
            <w:vAlign w:val="bottom"/>
            <w:gridSpan w:val="2"/>
          </w:tcPr>
          <w:p>
            <w:pPr>
              <w:spacing w:after="0"/>
              <w:rPr>
                <w:sz w:val="20"/>
                <w:szCs w:val="20"/>
                <w:color w:val="auto"/>
              </w:rPr>
            </w:pPr>
            <w:r>
              <w:rPr>
                <w:rFonts w:ascii="Arial" w:cs="Arial" w:eastAsia="Arial" w:hAnsi="Arial"/>
                <w:sz w:val="16"/>
                <w:szCs w:val="16"/>
                <w:color w:val="auto"/>
              </w:rPr>
              <w:t>COMPREHENSIVE INCOME (LOSS), NET ATTRIBUTABLE TO EASTMAN KODAK</w:t>
            </w: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080" w:type="dxa"/>
            <w:vAlign w:val="bottom"/>
          </w:tcPr>
          <w:p>
            <w:pPr>
              <w:ind w:left="100"/>
              <w:spacing w:after="0"/>
              <w:rPr>
                <w:sz w:val="20"/>
                <w:szCs w:val="20"/>
                <w:color w:val="auto"/>
              </w:rPr>
            </w:pPr>
            <w:r>
              <w:rPr>
                <w:rFonts w:ascii="Arial" w:cs="Arial" w:eastAsia="Arial" w:hAnsi="Arial"/>
                <w:sz w:val="16"/>
                <w:szCs w:val="16"/>
                <w:color w:val="auto"/>
              </w:rPr>
              <w:t>COMPANY</w:t>
            </w:r>
          </w:p>
        </w:tc>
        <w:tc>
          <w:tcPr>
            <w:tcW w:w="1280" w:type="dxa"/>
            <w:vAlign w:val="bottom"/>
            <w:gridSpan w:val="2"/>
          </w:tcPr>
          <w:p>
            <w:pPr>
              <w:jc w:val="right"/>
              <w:ind w:right="890"/>
              <w:spacing w:after="0"/>
              <w:rPr>
                <w:sz w:val="20"/>
                <w:szCs w:val="20"/>
                <w:color w:val="auto"/>
              </w:rPr>
            </w:pPr>
            <w:r>
              <w:rPr>
                <w:rFonts w:ascii="Arial" w:cs="Arial" w:eastAsia="Arial" w:hAnsi="Arial"/>
                <w:sz w:val="16"/>
                <w:szCs w:val="16"/>
                <w:color w:val="auto"/>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141</w:t>
            </w:r>
          </w:p>
        </w:tc>
        <w:tc>
          <w:tcPr>
            <w:tcW w:w="280" w:type="dxa"/>
            <w:vAlign w:val="bottom"/>
          </w:tcPr>
          <w:p>
            <w:pPr>
              <w:spacing w:after="0"/>
              <w:rPr>
                <w:sz w:val="17"/>
                <w:szCs w:val="17"/>
                <w:color w:val="auto"/>
              </w:rPr>
            </w:pPr>
          </w:p>
        </w:tc>
        <w:tc>
          <w:tcPr>
            <w:tcW w:w="340" w:type="dxa"/>
            <w:vAlign w:val="bottom"/>
          </w:tcPr>
          <w:p>
            <w:pPr>
              <w:spacing w:after="0"/>
              <w:rPr>
                <w:sz w:val="20"/>
                <w:szCs w:val="20"/>
                <w:color w:val="auto"/>
              </w:rPr>
            </w:pPr>
            <w:r>
              <w:rPr>
                <w:rFonts w:ascii="Arial" w:cs="Arial" w:eastAsia="Arial" w:hAnsi="Arial"/>
                <w:sz w:val="16"/>
                <w:szCs w:val="16"/>
                <w:color w:val="auto"/>
              </w:rPr>
              <w:t>$</w:t>
            </w: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(156)</w:t>
            </w:r>
          </w:p>
        </w:tc>
        <w:tc>
          <w:tcPr>
            <w:tcW w:w="340" w:type="dxa"/>
            <w:vAlign w:val="bottom"/>
          </w:tcPr>
          <w:p>
            <w:pPr>
              <w:jc w:val="right"/>
              <w:ind w:right="184"/>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80"/>
              <w:spacing w:after="0"/>
              <w:rPr>
                <w:sz w:val="20"/>
                <w:szCs w:val="20"/>
                <w:color w:val="auto"/>
              </w:rPr>
            </w:pPr>
            <w:r>
              <w:rPr>
                <w:rFonts w:ascii="Arial" w:cs="Arial" w:eastAsia="Arial" w:hAnsi="Arial"/>
                <w:sz w:val="16"/>
                <w:szCs w:val="16"/>
                <w:color w:val="auto"/>
              </w:rPr>
              <w:t>(211)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62865</wp:posOffset>
            </wp:positionV>
            <wp:extent cx="7301865" cy="406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301865" cy="40640"/>
                    </a:xfrm>
                    <a:prstGeom prst="rect">
                      <a:avLst/>
                    </a:prstGeom>
                    <a:noFill/>
                  </pic:spPr>
                </pic:pic>
              </a:graphicData>
            </a:graphic>
          </wp:anchor>
        </w:drawing>
      </w:r>
    </w:p>
    <w:p>
      <w:pPr>
        <w:sectPr>
          <w:pgSz w:w="11900" w:h="16838" w:orient="portrait"/>
          <w:cols w:equalWidth="0" w:num="1">
            <w:col w:w="11440"/>
          </w:cols>
          <w:pgMar w:left="240" w:top="123" w:right="219" w:bottom="1440" w:gutter="0" w:footer="0" w:header="0"/>
        </w:sectPr>
      </w:pPr>
    </w:p>
    <w:bookmarkStart w:id="54" w:name="page55"/>
    <w:bookmarkEnd w:id="54"/>
    <w:p>
      <w:pPr>
        <w:spacing w:after="0"/>
        <w:rPr>
          <w:sz w:val="20"/>
          <w:szCs w:val="20"/>
          <w:color w:val="auto"/>
        </w:rPr>
      </w:pPr>
      <w:r>
        <w:rPr>
          <w:rFonts w:ascii="Arial" w:cs="Arial" w:eastAsia="Arial" w:hAnsi="Arial"/>
          <w:sz w:val="16"/>
          <w:szCs w:val="16"/>
          <w:b w:val="1"/>
          <w:bCs w:val="1"/>
          <w:color w:val="auto"/>
        </w:rPr>
        <w:t>EASTMAN KODAK COMPANY</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CONSOLIDATED STATEMENT OF FINANCIAL POSITION</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(in millions)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7900" w:type="dxa"/>
            <w:vAlign w:val="bottom"/>
          </w:tcPr>
          <w:p>
            <w:pPr>
              <w:spacing w:after="0"/>
              <w:rPr>
                <w:sz w:val="14"/>
                <w:szCs w:val="14"/>
                <w:color w:val="auto"/>
              </w:rPr>
            </w:pPr>
          </w:p>
        </w:tc>
        <w:tc>
          <w:tcPr>
            <w:tcW w:w="1120" w:type="dxa"/>
            <w:vAlign w:val="bottom"/>
            <w:gridSpan w:val="2"/>
            <w:vMerge w:val="restart"/>
          </w:tcPr>
          <w:p>
            <w:pPr>
              <w:jc w:val="right"/>
              <w:ind w:right="24"/>
              <w:spacing w:after="0"/>
              <w:rPr>
                <w:sz w:val="20"/>
                <w:szCs w:val="20"/>
                <w:color w:val="auto"/>
              </w:rPr>
            </w:pPr>
            <w:r>
              <w:rPr>
                <w:rFonts w:ascii="Arial" w:cs="Arial" w:eastAsia="Arial" w:hAnsi="Arial"/>
                <w:sz w:val="13"/>
                <w:szCs w:val="13"/>
                <w:b w:val="1"/>
                <w:bCs w:val="1"/>
                <w:color w:val="auto"/>
              </w:rPr>
              <w:t>2017</w:t>
            </w:r>
          </w:p>
        </w:tc>
        <w:tc>
          <w:tcPr>
            <w:tcW w:w="1280" w:type="dxa"/>
            <w:vAlign w:val="bottom"/>
            <w:gridSpan w:val="4"/>
          </w:tcPr>
          <w:p>
            <w:pPr>
              <w:jc w:val="right"/>
              <w:ind w:right="50"/>
              <w:spacing w:after="0"/>
              <w:rPr>
                <w:sz w:val="20"/>
                <w:szCs w:val="20"/>
                <w:color w:val="auto"/>
              </w:rPr>
            </w:pPr>
            <w:r>
              <w:rPr>
                <w:rFonts w:ascii="Arial" w:cs="Arial" w:eastAsia="Arial" w:hAnsi="Arial"/>
                <w:sz w:val="13"/>
                <w:szCs w:val="13"/>
                <w:b w:val="1"/>
                <w:bCs w:val="1"/>
                <w:color w:val="auto"/>
                <w:w w:val="96"/>
              </w:rPr>
              <w:t>As of December 31,</w:t>
            </w:r>
          </w:p>
        </w:tc>
        <w:tc>
          <w:tcPr>
            <w:tcW w:w="1000" w:type="dxa"/>
            <w:vAlign w:val="bottom"/>
            <w:vMerge w:val="restart"/>
          </w:tcPr>
          <w:p>
            <w:pPr>
              <w:jc w:val="right"/>
              <w:ind w:right="560"/>
              <w:spacing w:after="0"/>
              <w:rPr>
                <w:sz w:val="20"/>
                <w:szCs w:val="20"/>
                <w:color w:val="auto"/>
              </w:rPr>
            </w:pPr>
            <w:r>
              <w:rPr>
                <w:rFonts w:ascii="Arial" w:cs="Arial" w:eastAsia="Arial" w:hAnsi="Arial"/>
                <w:sz w:val="13"/>
                <w:szCs w:val="13"/>
                <w:b w:val="1"/>
                <w:bCs w:val="1"/>
                <w:color w:val="auto"/>
              </w:rPr>
              <w:t>2016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90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ASSETS</w:t>
            </w:r>
          </w:p>
        </w:tc>
        <w:tc>
          <w:tcPr>
            <w:tcW w:w="160" w:type="dxa"/>
            <w:vAlign w:val="bottom"/>
            <w:tcBorders>
              <w:top w:val="single" w:sz="8" w:color="CFF0FC"/>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50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48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90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1120" w:type="dxa"/>
            <w:vAlign w:val="bottom"/>
            <w:gridSpan w:val="2"/>
          </w:tcPr>
          <w:p>
            <w:pPr>
              <w:jc w:val="right"/>
              <w:ind w:right="804"/>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344</w:t>
            </w:r>
          </w:p>
        </w:tc>
        <w:tc>
          <w:tcPr>
            <w:tcW w:w="280" w:type="dxa"/>
            <w:vAlign w:val="bottom"/>
          </w:tcPr>
          <w:p>
            <w:pPr>
              <w:spacing w:after="0"/>
              <w:rPr>
                <w:sz w:val="17"/>
                <w:szCs w:val="17"/>
                <w:color w:val="auto"/>
              </w:rPr>
            </w:pPr>
          </w:p>
        </w:tc>
        <w:tc>
          <w:tcPr>
            <w:tcW w:w="500" w:type="dxa"/>
            <w:vAlign w:val="bottom"/>
            <w:gridSpan w:val="2"/>
          </w:tcPr>
          <w:p>
            <w:pPr>
              <w:jc w:val="right"/>
              <w:ind w:right="370"/>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434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900" w:type="dxa"/>
            <w:vAlign w:val="bottom"/>
            <w:shd w:val="clear" w:color="auto" w:fill="CFF0FC"/>
          </w:tcPr>
          <w:p>
            <w:pPr>
              <w:spacing w:after="0"/>
              <w:rPr>
                <w:sz w:val="20"/>
                <w:szCs w:val="20"/>
                <w:color w:val="auto"/>
              </w:rPr>
            </w:pPr>
            <w:r>
              <w:rPr>
                <w:rFonts w:ascii="Arial" w:cs="Arial" w:eastAsia="Arial" w:hAnsi="Arial"/>
                <w:sz w:val="16"/>
                <w:szCs w:val="16"/>
                <w:color w:val="auto"/>
              </w:rPr>
              <w:t>Trade receivables, net of allowances of $9 and $8, respectively</w:t>
            </w:r>
          </w:p>
        </w:tc>
        <w:tc>
          <w:tcPr>
            <w:tcW w:w="1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282</w:t>
            </w:r>
          </w:p>
        </w:tc>
        <w:tc>
          <w:tcPr>
            <w:tcW w:w="2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277</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900" w:type="dxa"/>
            <w:vAlign w:val="bottom"/>
          </w:tcPr>
          <w:p>
            <w:pPr>
              <w:spacing w:after="0"/>
              <w:rPr>
                <w:sz w:val="20"/>
                <w:szCs w:val="20"/>
                <w:color w:val="auto"/>
              </w:rPr>
            </w:pPr>
            <w:r>
              <w:rPr>
                <w:rFonts w:ascii="Arial" w:cs="Arial" w:eastAsia="Arial" w:hAnsi="Arial"/>
                <w:sz w:val="16"/>
                <w:szCs w:val="16"/>
                <w:color w:val="auto"/>
              </w:rPr>
              <w:t>Inventories, net</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276</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271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900" w:type="dxa"/>
            <w:vAlign w:val="bottom"/>
            <w:shd w:val="clear" w:color="auto" w:fill="CFF0FC"/>
          </w:tcPr>
          <w:p>
            <w:pPr>
              <w:spacing w:after="0"/>
              <w:rPr>
                <w:sz w:val="20"/>
                <w:szCs w:val="20"/>
                <w:color w:val="auto"/>
              </w:rPr>
            </w:pPr>
            <w:r>
              <w:rPr>
                <w:rFonts w:ascii="Arial" w:cs="Arial" w:eastAsia="Arial" w:hAnsi="Arial"/>
                <w:sz w:val="16"/>
                <w:szCs w:val="16"/>
                <w:color w:val="auto"/>
              </w:rPr>
              <w:t>Other current assets</w:t>
            </w:r>
          </w:p>
        </w:tc>
        <w:tc>
          <w:tcPr>
            <w:tcW w:w="160" w:type="dxa"/>
            <w:vAlign w:val="bottom"/>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spacing w:after="0"/>
              <w:rPr>
                <w:sz w:val="17"/>
                <w:szCs w:val="17"/>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56</w:t>
            </w:r>
          </w:p>
        </w:tc>
        <w:tc>
          <w:tcPr>
            <w:tcW w:w="2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48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57</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900" w:type="dxa"/>
            <w:vAlign w:val="bottom"/>
          </w:tcPr>
          <w:p>
            <w:pPr>
              <w:ind w:left="200"/>
              <w:spacing w:after="0"/>
              <w:rPr>
                <w:sz w:val="20"/>
                <w:szCs w:val="20"/>
                <w:color w:val="auto"/>
              </w:rPr>
            </w:pPr>
            <w:r>
              <w:rPr>
                <w:rFonts w:ascii="Arial" w:cs="Arial" w:eastAsia="Arial" w:hAnsi="Arial"/>
                <w:sz w:val="16"/>
                <w:szCs w:val="16"/>
                <w:color w:val="auto"/>
              </w:rPr>
              <w:t>Total current assets</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958</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1,039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900" w:type="dxa"/>
            <w:vAlign w:val="bottom"/>
            <w:shd w:val="clear" w:color="auto" w:fill="CFF0FC"/>
          </w:tcPr>
          <w:p>
            <w:pPr>
              <w:spacing w:after="0"/>
              <w:rPr>
                <w:sz w:val="20"/>
                <w:szCs w:val="20"/>
                <w:color w:val="auto"/>
              </w:rPr>
            </w:pPr>
            <w:r>
              <w:rPr>
                <w:rFonts w:ascii="Arial" w:cs="Arial" w:eastAsia="Arial" w:hAnsi="Arial"/>
                <w:sz w:val="16"/>
                <w:szCs w:val="16"/>
                <w:color w:val="auto"/>
              </w:rPr>
              <w:t>Property, plant and equipment, net of accumulated depreciation of $394 and $344, respectively</w:t>
            </w:r>
          </w:p>
        </w:tc>
        <w:tc>
          <w:tcPr>
            <w:tcW w:w="1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314</w:t>
            </w:r>
          </w:p>
        </w:tc>
        <w:tc>
          <w:tcPr>
            <w:tcW w:w="2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342</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900" w:type="dxa"/>
            <w:vAlign w:val="bottom"/>
          </w:tcPr>
          <w:p>
            <w:pPr>
              <w:spacing w:after="0"/>
              <w:rPr>
                <w:sz w:val="20"/>
                <w:szCs w:val="20"/>
                <w:color w:val="auto"/>
              </w:rPr>
            </w:pPr>
            <w:r>
              <w:rPr>
                <w:rFonts w:ascii="Arial" w:cs="Arial" w:eastAsia="Arial" w:hAnsi="Arial"/>
                <w:sz w:val="16"/>
                <w:szCs w:val="16"/>
                <w:color w:val="auto"/>
              </w:rPr>
              <w:t>Goodwill</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32</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900" w:type="dxa"/>
            <w:vAlign w:val="bottom"/>
            <w:shd w:val="clear" w:color="auto" w:fill="CFF0FC"/>
          </w:tcPr>
          <w:p>
            <w:pPr>
              <w:spacing w:after="0"/>
              <w:rPr>
                <w:sz w:val="20"/>
                <w:szCs w:val="20"/>
                <w:color w:val="auto"/>
              </w:rPr>
            </w:pPr>
            <w:r>
              <w:rPr>
                <w:rFonts w:ascii="Arial" w:cs="Arial" w:eastAsia="Arial" w:hAnsi="Arial"/>
                <w:sz w:val="16"/>
                <w:szCs w:val="16"/>
                <w:color w:val="auto"/>
              </w:rPr>
              <w:t>Intangible assets, net</w:t>
            </w:r>
          </w:p>
        </w:tc>
        <w:tc>
          <w:tcPr>
            <w:tcW w:w="1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86</w:t>
            </w:r>
          </w:p>
        </w:tc>
        <w:tc>
          <w:tcPr>
            <w:tcW w:w="2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121</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900" w:type="dxa"/>
            <w:vAlign w:val="bottom"/>
          </w:tcPr>
          <w:p>
            <w:pPr>
              <w:spacing w:after="0"/>
              <w:rPr>
                <w:sz w:val="20"/>
                <w:szCs w:val="20"/>
                <w:color w:val="auto"/>
              </w:rPr>
            </w:pPr>
            <w:r>
              <w:rPr>
                <w:rFonts w:ascii="Arial" w:cs="Arial" w:eastAsia="Arial" w:hAnsi="Arial"/>
                <w:sz w:val="16"/>
                <w:szCs w:val="16"/>
                <w:color w:val="auto"/>
              </w:rPr>
              <w:t>Restricted cash</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17</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900" w:type="dxa"/>
            <w:vAlign w:val="bottom"/>
            <w:shd w:val="clear" w:color="auto" w:fill="CFF0FC"/>
          </w:tcPr>
          <w:p>
            <w:pPr>
              <w:spacing w:after="0"/>
              <w:rPr>
                <w:sz w:val="20"/>
                <w:szCs w:val="20"/>
                <w:color w:val="auto"/>
              </w:rPr>
            </w:pPr>
            <w:r>
              <w:rPr>
                <w:rFonts w:ascii="Arial" w:cs="Arial" w:eastAsia="Arial" w:hAnsi="Arial"/>
                <w:sz w:val="16"/>
                <w:szCs w:val="16"/>
                <w:color w:val="auto"/>
              </w:rPr>
              <w:t>Deferred income taxes</w:t>
            </w:r>
          </w:p>
        </w:tc>
        <w:tc>
          <w:tcPr>
            <w:tcW w:w="1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188</w:t>
            </w:r>
          </w:p>
        </w:tc>
        <w:tc>
          <w:tcPr>
            <w:tcW w:w="2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90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Other long-term assets</w:t>
            </w:r>
          </w:p>
        </w:tc>
        <w:tc>
          <w:tcPr>
            <w:tcW w:w="160" w:type="dxa"/>
            <w:vAlign w:val="bottom"/>
            <w:tcBorders>
              <w:bottom w:val="single" w:sz="8" w:color="CFF0FC"/>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w:t>
            </w:r>
          </w:p>
        </w:tc>
        <w:tc>
          <w:tcPr>
            <w:tcW w:w="280" w:type="dxa"/>
            <w:vAlign w:val="bottom"/>
            <w:tcBorders>
              <w:bottom w:val="single" w:sz="8" w:color="CFF0FC"/>
            </w:tcBorders>
          </w:tcPr>
          <w:p>
            <w:pPr>
              <w:spacing w:after="0"/>
              <w:rPr>
                <w:sz w:val="17"/>
                <w:szCs w:val="17"/>
                <w:color w:val="auto"/>
              </w:rPr>
            </w:pPr>
          </w:p>
        </w:tc>
        <w:tc>
          <w:tcPr>
            <w:tcW w:w="20" w:type="dxa"/>
            <w:vAlign w:val="bottom"/>
            <w:tcBorders>
              <w:bottom w:val="single" w:sz="8" w:color="CFF0FC"/>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9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b w:val="1"/>
                <w:bCs w:val="1"/>
                <w:color w:val="auto"/>
              </w:rPr>
              <w:t>TOTAL ASSETS</w:t>
            </w:r>
          </w:p>
        </w:tc>
        <w:tc>
          <w:tcPr>
            <w:tcW w:w="160" w:type="dxa"/>
            <w:vAlign w:val="bottom"/>
            <w:tcBorders>
              <w:bottom w:val="single" w:sz="8" w:color="CFF0FC"/>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ind w:right="804"/>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1,707</w:t>
            </w:r>
          </w:p>
        </w:tc>
        <w:tc>
          <w:tcPr>
            <w:tcW w:w="28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480" w:type="dxa"/>
            <w:vAlign w:val="bottom"/>
            <w:tcBorders>
              <w:bottom w:val="single" w:sz="8" w:color="auto"/>
            </w:tcBorders>
            <w:shd w:val="clear" w:color="auto" w:fill="CFF0FC"/>
          </w:tcPr>
          <w:p>
            <w:pPr>
              <w:jc w:val="right"/>
              <w:ind w:right="370"/>
              <w:spacing w:after="0"/>
              <w:rPr>
                <w:sz w:val="20"/>
                <w:szCs w:val="20"/>
                <w:color w:val="auto"/>
              </w:rPr>
            </w:pPr>
            <w:r>
              <w:rPr>
                <w:rFonts w:ascii="Arial" w:cs="Arial" w:eastAsia="Arial" w:hAnsi="Arial"/>
                <w:sz w:val="10"/>
                <w:szCs w:val="10"/>
                <w:b w:val="1"/>
                <w:bCs w:val="1"/>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1,776</w:t>
            </w: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vMerge w:val="restart"/>
          </w:tcPr>
          <w:p>
            <w:pPr>
              <w:spacing w:after="0"/>
              <w:rPr>
                <w:sz w:val="15"/>
                <w:szCs w:val="15"/>
                <w:color w:val="auto"/>
              </w:rPr>
            </w:pPr>
          </w:p>
        </w:tc>
        <w:tc>
          <w:tcPr>
            <w:tcW w:w="7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79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LIABILITIES, REDEEMABLE, CONVERTIBLE PREFERRED STOCK AND EQUITY (DEFICIT)</w:t>
            </w:r>
          </w:p>
        </w:tc>
        <w:tc>
          <w:tcPr>
            <w:tcW w:w="1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900" w:type="dxa"/>
            <w:vAlign w:val="bottom"/>
          </w:tcPr>
          <w:p>
            <w:pPr>
              <w:spacing w:after="0"/>
              <w:rPr>
                <w:sz w:val="20"/>
                <w:szCs w:val="20"/>
                <w:color w:val="auto"/>
              </w:rPr>
            </w:pPr>
            <w:r>
              <w:rPr>
                <w:rFonts w:ascii="Arial" w:cs="Arial" w:eastAsia="Arial" w:hAnsi="Arial"/>
                <w:sz w:val="16"/>
                <w:szCs w:val="16"/>
                <w:color w:val="auto"/>
              </w:rPr>
              <w:t>Accounts payable, trade</w:t>
            </w:r>
          </w:p>
        </w:tc>
        <w:tc>
          <w:tcPr>
            <w:tcW w:w="1120" w:type="dxa"/>
            <w:vAlign w:val="bottom"/>
            <w:gridSpan w:val="2"/>
          </w:tcPr>
          <w:p>
            <w:pPr>
              <w:jc w:val="right"/>
              <w:ind w:right="804"/>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198</w:t>
            </w:r>
          </w:p>
        </w:tc>
        <w:tc>
          <w:tcPr>
            <w:tcW w:w="280" w:type="dxa"/>
            <w:vAlign w:val="bottom"/>
          </w:tcPr>
          <w:p>
            <w:pPr>
              <w:spacing w:after="0"/>
              <w:rPr>
                <w:sz w:val="17"/>
                <w:szCs w:val="17"/>
                <w:color w:val="auto"/>
              </w:rPr>
            </w:pPr>
          </w:p>
        </w:tc>
        <w:tc>
          <w:tcPr>
            <w:tcW w:w="500" w:type="dxa"/>
            <w:vAlign w:val="bottom"/>
            <w:gridSpan w:val="2"/>
          </w:tcPr>
          <w:p>
            <w:pPr>
              <w:jc w:val="right"/>
              <w:ind w:right="370"/>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200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900" w:type="dxa"/>
            <w:vAlign w:val="bottom"/>
            <w:shd w:val="clear" w:color="auto" w:fill="CFF0FC"/>
          </w:tcPr>
          <w:p>
            <w:pPr>
              <w:spacing w:after="0"/>
              <w:rPr>
                <w:sz w:val="20"/>
                <w:szCs w:val="20"/>
                <w:color w:val="auto"/>
              </w:rPr>
            </w:pPr>
            <w:r>
              <w:rPr>
                <w:rFonts w:ascii="Arial" w:cs="Arial" w:eastAsia="Arial" w:hAnsi="Arial"/>
                <w:sz w:val="16"/>
                <w:szCs w:val="16"/>
                <w:color w:val="auto"/>
              </w:rPr>
              <w:t>Short-term borrowings and current portion of long-term debt</w:t>
            </w:r>
          </w:p>
        </w:tc>
        <w:tc>
          <w:tcPr>
            <w:tcW w:w="1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2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90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Other current liabilities</w:t>
            </w:r>
          </w:p>
        </w:tc>
        <w:tc>
          <w:tcPr>
            <w:tcW w:w="160" w:type="dxa"/>
            <w:vAlign w:val="bottom"/>
            <w:tcBorders>
              <w:bottom w:val="single" w:sz="8" w:color="CFF0FC"/>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w:t>
            </w:r>
          </w:p>
        </w:tc>
        <w:tc>
          <w:tcPr>
            <w:tcW w:w="280" w:type="dxa"/>
            <w:vAlign w:val="bottom"/>
            <w:tcBorders>
              <w:bottom w:val="single" w:sz="8" w:color="CFF0FC"/>
            </w:tcBorders>
          </w:tcPr>
          <w:p>
            <w:pPr>
              <w:spacing w:after="0"/>
              <w:rPr>
                <w:sz w:val="17"/>
                <w:szCs w:val="17"/>
                <w:color w:val="auto"/>
              </w:rPr>
            </w:pPr>
          </w:p>
        </w:tc>
        <w:tc>
          <w:tcPr>
            <w:tcW w:w="20" w:type="dxa"/>
            <w:vAlign w:val="bottom"/>
            <w:tcBorders>
              <w:bottom w:val="single" w:sz="8" w:color="CFF0FC"/>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9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Total current liabilities</w:t>
            </w:r>
          </w:p>
        </w:tc>
        <w:tc>
          <w:tcPr>
            <w:tcW w:w="1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419</w:t>
            </w:r>
          </w:p>
        </w:tc>
        <w:tc>
          <w:tcPr>
            <w:tcW w:w="2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417</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900" w:type="dxa"/>
            <w:vAlign w:val="bottom"/>
          </w:tcPr>
          <w:p>
            <w:pPr>
              <w:spacing w:after="0"/>
              <w:rPr>
                <w:sz w:val="20"/>
                <w:szCs w:val="20"/>
                <w:color w:val="auto"/>
              </w:rPr>
            </w:pPr>
            <w:r>
              <w:rPr>
                <w:rFonts w:ascii="Arial" w:cs="Arial" w:eastAsia="Arial" w:hAnsi="Arial"/>
                <w:sz w:val="16"/>
                <w:szCs w:val="16"/>
                <w:color w:val="auto"/>
              </w:rPr>
              <w:t>Long-term debt, net of current portion</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399</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405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900" w:type="dxa"/>
            <w:vAlign w:val="bottom"/>
            <w:shd w:val="clear" w:color="auto" w:fill="CFF0FC"/>
          </w:tcPr>
          <w:p>
            <w:pPr>
              <w:spacing w:after="0"/>
              <w:rPr>
                <w:sz w:val="20"/>
                <w:szCs w:val="20"/>
                <w:color w:val="auto"/>
              </w:rPr>
            </w:pPr>
            <w:r>
              <w:rPr>
                <w:rFonts w:ascii="Arial" w:cs="Arial" w:eastAsia="Arial" w:hAnsi="Arial"/>
                <w:sz w:val="16"/>
                <w:szCs w:val="16"/>
                <w:color w:val="auto"/>
              </w:rPr>
              <w:t>Pension and other postretirement liabilities</w:t>
            </w:r>
          </w:p>
        </w:tc>
        <w:tc>
          <w:tcPr>
            <w:tcW w:w="1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466</w:t>
            </w:r>
          </w:p>
        </w:tc>
        <w:tc>
          <w:tcPr>
            <w:tcW w:w="2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603</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90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Other long-term liabilities</w:t>
            </w:r>
          </w:p>
        </w:tc>
        <w:tc>
          <w:tcPr>
            <w:tcW w:w="160" w:type="dxa"/>
            <w:vAlign w:val="bottom"/>
            <w:tcBorders>
              <w:bottom w:val="single" w:sz="8" w:color="CFF0FC"/>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w:t>
            </w:r>
          </w:p>
        </w:tc>
        <w:tc>
          <w:tcPr>
            <w:tcW w:w="280" w:type="dxa"/>
            <w:vAlign w:val="bottom"/>
            <w:tcBorders>
              <w:bottom w:val="single" w:sz="8" w:color="CFF0FC"/>
            </w:tcBorders>
          </w:tcPr>
          <w:p>
            <w:pPr>
              <w:spacing w:after="0"/>
              <w:rPr>
                <w:sz w:val="17"/>
                <w:szCs w:val="17"/>
                <w:color w:val="auto"/>
              </w:rPr>
            </w:pPr>
          </w:p>
        </w:tc>
        <w:tc>
          <w:tcPr>
            <w:tcW w:w="20" w:type="dxa"/>
            <w:vAlign w:val="bottom"/>
            <w:tcBorders>
              <w:bottom w:val="single" w:sz="8" w:color="CFF0FC"/>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268</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900" w:type="dxa"/>
            <w:vAlign w:val="bottom"/>
            <w:shd w:val="clear" w:color="auto" w:fill="CFF0FC"/>
          </w:tcPr>
          <w:p>
            <w:pPr>
              <w:spacing w:after="0"/>
              <w:rPr>
                <w:sz w:val="20"/>
                <w:szCs w:val="20"/>
                <w:color w:val="auto"/>
              </w:rPr>
            </w:pPr>
            <w:r>
              <w:rPr>
                <w:rFonts w:ascii="Arial" w:cs="Arial" w:eastAsia="Arial" w:hAnsi="Arial"/>
                <w:sz w:val="16"/>
                <w:szCs w:val="16"/>
                <w:color w:val="auto"/>
              </w:rPr>
              <w:t>Total liabilities</w:t>
            </w:r>
          </w:p>
        </w:tc>
        <w:tc>
          <w:tcPr>
            <w:tcW w:w="160" w:type="dxa"/>
            <w:vAlign w:val="bottom"/>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spacing w:after="0"/>
              <w:rPr>
                <w:sz w:val="17"/>
                <w:szCs w:val="17"/>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1,486</w:t>
            </w:r>
          </w:p>
        </w:tc>
        <w:tc>
          <w:tcPr>
            <w:tcW w:w="2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48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1,693</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7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7900" w:type="dxa"/>
            <w:vAlign w:val="bottom"/>
            <w:shd w:val="clear" w:color="auto" w:fill="CFF0FC"/>
          </w:tcPr>
          <w:p>
            <w:pPr>
              <w:spacing w:after="0"/>
              <w:rPr>
                <w:sz w:val="20"/>
                <w:szCs w:val="20"/>
                <w:color w:val="auto"/>
              </w:rPr>
            </w:pPr>
            <w:r>
              <w:rPr>
                <w:rFonts w:ascii="Arial" w:cs="Arial" w:eastAsia="Arial" w:hAnsi="Arial"/>
                <w:sz w:val="16"/>
                <w:szCs w:val="16"/>
                <w:color w:val="auto"/>
              </w:rPr>
              <w:t>Commitments and contingencies (Note 10)</w:t>
            </w:r>
          </w:p>
        </w:tc>
        <w:tc>
          <w:tcPr>
            <w:tcW w:w="1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7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7900" w:type="dxa"/>
            <w:vAlign w:val="bottom"/>
            <w:shd w:val="clear" w:color="auto" w:fill="CFF0FC"/>
          </w:tcPr>
          <w:p>
            <w:pPr>
              <w:spacing w:after="0"/>
              <w:rPr>
                <w:sz w:val="20"/>
                <w:szCs w:val="20"/>
                <w:color w:val="auto"/>
              </w:rPr>
            </w:pPr>
            <w:r>
              <w:rPr>
                <w:rFonts w:ascii="Arial" w:cs="Arial" w:eastAsia="Arial" w:hAnsi="Arial"/>
                <w:sz w:val="16"/>
                <w:szCs w:val="16"/>
                <w:color w:val="auto"/>
              </w:rPr>
              <w:t>Redeemable, convertible Series A preferred stock, no par value, $100 per share liquidation preference</w:t>
            </w:r>
          </w:p>
        </w:tc>
        <w:tc>
          <w:tcPr>
            <w:tcW w:w="1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164</w:t>
            </w:r>
          </w:p>
        </w:tc>
        <w:tc>
          <w:tcPr>
            <w:tcW w:w="2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156</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7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79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Equity (Deficit)</w:t>
            </w:r>
          </w:p>
        </w:tc>
        <w:tc>
          <w:tcPr>
            <w:tcW w:w="1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900" w:type="dxa"/>
            <w:vAlign w:val="bottom"/>
          </w:tcPr>
          <w:p>
            <w:pPr>
              <w:spacing w:after="0"/>
              <w:rPr>
                <w:sz w:val="20"/>
                <w:szCs w:val="20"/>
                <w:color w:val="auto"/>
              </w:rPr>
            </w:pPr>
            <w:r>
              <w:rPr>
                <w:rFonts w:ascii="Arial" w:cs="Arial" w:eastAsia="Arial" w:hAnsi="Arial"/>
                <w:sz w:val="16"/>
                <w:szCs w:val="16"/>
                <w:color w:val="auto"/>
              </w:rPr>
              <w:t>Common stock, $0.01 par value</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900" w:type="dxa"/>
            <w:vAlign w:val="bottom"/>
            <w:shd w:val="clear" w:color="auto" w:fill="CFF0FC"/>
          </w:tcPr>
          <w:p>
            <w:pPr>
              <w:spacing w:after="0"/>
              <w:rPr>
                <w:sz w:val="20"/>
                <w:szCs w:val="20"/>
                <w:color w:val="auto"/>
              </w:rPr>
            </w:pPr>
            <w:r>
              <w:rPr>
                <w:rFonts w:ascii="Arial" w:cs="Arial" w:eastAsia="Arial" w:hAnsi="Arial"/>
                <w:sz w:val="16"/>
                <w:szCs w:val="16"/>
                <w:color w:val="auto"/>
              </w:rPr>
              <w:t>Additional paid in capital</w:t>
            </w:r>
          </w:p>
        </w:tc>
        <w:tc>
          <w:tcPr>
            <w:tcW w:w="1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631</w:t>
            </w:r>
          </w:p>
        </w:tc>
        <w:tc>
          <w:tcPr>
            <w:tcW w:w="2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641</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900" w:type="dxa"/>
            <w:vAlign w:val="bottom"/>
          </w:tcPr>
          <w:p>
            <w:pPr>
              <w:spacing w:after="0"/>
              <w:rPr>
                <w:sz w:val="20"/>
                <w:szCs w:val="20"/>
                <w:color w:val="auto"/>
              </w:rPr>
            </w:pPr>
            <w:r>
              <w:rPr>
                <w:rFonts w:ascii="Arial" w:cs="Arial" w:eastAsia="Arial" w:hAnsi="Arial"/>
                <w:sz w:val="16"/>
                <w:szCs w:val="16"/>
                <w:color w:val="auto"/>
              </w:rPr>
              <w:t>Treasury stock, at cost</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(9)</w:t>
            </w: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900" w:type="dxa"/>
            <w:vAlign w:val="bottom"/>
            <w:shd w:val="clear" w:color="auto" w:fill="CFF0FC"/>
          </w:tcPr>
          <w:p>
            <w:pPr>
              <w:spacing w:after="0"/>
              <w:rPr>
                <w:sz w:val="20"/>
                <w:szCs w:val="20"/>
                <w:color w:val="auto"/>
              </w:rPr>
            </w:pPr>
            <w:r>
              <w:rPr>
                <w:rFonts w:ascii="Arial" w:cs="Arial" w:eastAsia="Arial" w:hAnsi="Arial"/>
                <w:sz w:val="16"/>
                <w:szCs w:val="16"/>
                <w:color w:val="auto"/>
              </w:rPr>
              <w:t>Accumulated deficit</w:t>
            </w:r>
          </w:p>
        </w:tc>
        <w:tc>
          <w:tcPr>
            <w:tcW w:w="1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(174)</w:t>
            </w:r>
          </w:p>
        </w:tc>
        <w:tc>
          <w:tcPr>
            <w:tcW w:w="2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(268)</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900" w:type="dxa"/>
            <w:vAlign w:val="bottom"/>
          </w:tcPr>
          <w:p>
            <w:pPr>
              <w:spacing w:after="0"/>
              <w:rPr>
                <w:sz w:val="20"/>
                <w:szCs w:val="20"/>
                <w:color w:val="auto"/>
              </w:rPr>
            </w:pPr>
            <w:r>
              <w:rPr>
                <w:rFonts w:ascii="Arial" w:cs="Arial" w:eastAsia="Arial" w:hAnsi="Arial"/>
                <w:sz w:val="16"/>
                <w:szCs w:val="16"/>
                <w:color w:val="auto"/>
              </w:rPr>
              <w:t>Accumulated other comprehensive loss</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(391)</w:t>
            </w: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6"/>
                <w:szCs w:val="16"/>
                <w:color w:val="auto"/>
              </w:rPr>
              <w:t>(438)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900" w:type="dxa"/>
            <w:vAlign w:val="bottom"/>
            <w:tcBorders>
              <w:top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Total equity (deficit)</w:t>
            </w:r>
          </w:p>
        </w:tc>
        <w:tc>
          <w:tcPr>
            <w:tcW w:w="160" w:type="dxa"/>
            <w:vAlign w:val="bottom"/>
            <w:tcBorders>
              <w:top w:val="single" w:sz="8" w:color="CFF0FC"/>
            </w:tcBorders>
            <w:shd w:val="clear" w:color="auto" w:fill="CFF0FC"/>
          </w:tcPr>
          <w:p>
            <w:pPr>
              <w:spacing w:after="0"/>
              <w:rPr>
                <w:sz w:val="17"/>
                <w:szCs w:val="17"/>
                <w:color w:val="auto"/>
              </w:rPr>
            </w:pPr>
          </w:p>
        </w:tc>
        <w:tc>
          <w:tcPr>
            <w:tcW w:w="960" w:type="dxa"/>
            <w:vAlign w:val="bottom"/>
            <w:tcBorders>
              <w:top w:val="single" w:sz="8" w:color="auto"/>
              <w:bottom w:val="single" w:sz="8" w:color="auto"/>
            </w:tcBorders>
            <w:shd w:val="clear" w:color="auto" w:fill="CFF0FC"/>
          </w:tcPr>
          <w:p>
            <w:pPr>
              <w:spacing w:after="0"/>
              <w:rPr>
                <w:sz w:val="17"/>
                <w:szCs w:val="17"/>
                <w:color w:val="auto"/>
              </w:rPr>
            </w:pP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57</w:t>
            </w:r>
          </w:p>
        </w:tc>
        <w:tc>
          <w:tcPr>
            <w:tcW w:w="28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480" w:type="dxa"/>
            <w:vAlign w:val="bottom"/>
            <w:tcBorders>
              <w:top w:val="single" w:sz="8" w:color="auto"/>
              <w:bottom w:val="single" w:sz="8" w:color="auto"/>
            </w:tcBorders>
            <w:shd w:val="clear" w:color="auto" w:fill="CFF0FC"/>
          </w:tcPr>
          <w:p>
            <w:pPr>
              <w:spacing w:after="0"/>
              <w:rPr>
                <w:sz w:val="17"/>
                <w:szCs w:val="17"/>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(73)</w:t>
            </w: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900" w:type="dxa"/>
            <w:vAlign w:val="bottom"/>
          </w:tcPr>
          <w:p>
            <w:pPr>
              <w:ind w:left="200"/>
              <w:spacing w:after="0"/>
              <w:rPr>
                <w:sz w:val="20"/>
                <w:szCs w:val="20"/>
                <w:color w:val="auto"/>
              </w:rPr>
            </w:pPr>
            <w:r>
              <w:rPr>
                <w:rFonts w:ascii="Arial" w:cs="Arial" w:eastAsia="Arial" w:hAnsi="Arial"/>
                <w:sz w:val="16"/>
                <w:szCs w:val="16"/>
                <w:b w:val="1"/>
                <w:bCs w:val="1"/>
                <w:color w:val="auto"/>
              </w:rPr>
              <w:t>TOTAL LIABILITIES, REDEEMABLE CONVERTIBLE PREFERRED STOCK AND EQUITY (DEFICIT)</w:t>
            </w:r>
          </w:p>
        </w:tc>
        <w:tc>
          <w:tcPr>
            <w:tcW w:w="160" w:type="dxa"/>
            <w:vAlign w:val="bottom"/>
          </w:tcPr>
          <w:p>
            <w:pPr>
              <w:spacing w:after="0"/>
              <w:rPr>
                <w:sz w:val="17"/>
                <w:szCs w:val="17"/>
                <w:color w:val="auto"/>
              </w:rPr>
            </w:pPr>
          </w:p>
        </w:tc>
        <w:tc>
          <w:tcPr>
            <w:tcW w:w="960" w:type="dxa"/>
            <w:vAlign w:val="bottom"/>
            <w:tcBorders>
              <w:bottom w:val="single" w:sz="8" w:color="auto"/>
            </w:tcBorders>
          </w:tcPr>
          <w:p>
            <w:pPr>
              <w:jc w:val="right"/>
              <w:ind w:right="804"/>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1,707</w:t>
            </w:r>
          </w:p>
        </w:tc>
        <w:tc>
          <w:tcPr>
            <w:tcW w:w="2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ind w:right="370"/>
              <w:spacing w:after="0"/>
              <w:rPr>
                <w:sz w:val="20"/>
                <w:szCs w:val="20"/>
                <w:color w:val="auto"/>
              </w:rPr>
            </w:pPr>
            <w:r>
              <w:rPr>
                <w:rFonts w:ascii="Arial" w:cs="Arial" w:eastAsia="Arial" w:hAnsi="Arial"/>
                <w:sz w:val="10"/>
                <w:szCs w:val="10"/>
                <w:b w:val="1"/>
                <w:bCs w:val="1"/>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1,776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62865</wp:posOffset>
            </wp:positionV>
            <wp:extent cx="7301865" cy="406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301865" cy="40640"/>
                    </a:xfrm>
                    <a:prstGeom prst="rect">
                      <a:avLst/>
                    </a:prstGeom>
                    <a:noFill/>
                  </pic:spPr>
                </pic:pic>
              </a:graphicData>
            </a:graphic>
          </wp:anchor>
        </w:drawing>
      </w:r>
    </w:p>
    <w:p>
      <w:pPr>
        <w:sectPr>
          <w:pgSz w:w="11900" w:h="16838" w:orient="portrait"/>
          <w:cols w:equalWidth="0" w:num="1">
            <w:col w:w="11440"/>
          </w:cols>
          <w:pgMar w:left="240" w:top="123" w:right="219" w:bottom="1440" w:gutter="0" w:footer="0" w:header="0"/>
        </w:sectPr>
      </w:pPr>
    </w:p>
    <w:bookmarkStart w:id="55" w:name="page56"/>
    <w:bookmarkEnd w:id="55"/>
    <w:p>
      <w:pPr>
        <w:spacing w:after="0"/>
        <w:rPr>
          <w:sz w:val="20"/>
          <w:szCs w:val="20"/>
          <w:color w:val="auto"/>
        </w:rPr>
      </w:pPr>
      <w:r>
        <w:rPr>
          <w:rFonts w:ascii="Arial" w:cs="Arial" w:eastAsia="Arial" w:hAnsi="Arial"/>
          <w:sz w:val="16"/>
          <w:szCs w:val="16"/>
          <w:b w:val="1"/>
          <w:bCs w:val="1"/>
          <w:color w:val="auto"/>
        </w:rPr>
        <w:t>EASTMAN KODAK COMPANY</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CONSOLIDATED STATEMENT OF EQUITY (DEFICIT)</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(in millions, except share data)</w:t>
      </w:r>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Eastman Kodak Company Shareholders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14"/>
        </w:trPr>
        <w:tc>
          <w:tcPr>
            <w:tcW w:w="304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Borders>
              <w:right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gridSpan w:val="2"/>
          </w:tcPr>
          <w:p>
            <w:pPr>
              <w:jc w:val="center"/>
              <w:ind w:right="220"/>
              <w:spacing w:after="0" w:line="115" w:lineRule="exact"/>
              <w:rPr>
                <w:sz w:val="20"/>
                <w:szCs w:val="20"/>
                <w:color w:val="auto"/>
              </w:rPr>
            </w:pPr>
            <w:r>
              <w:rPr>
                <w:rFonts w:ascii="Arial" w:cs="Arial" w:eastAsia="Arial" w:hAnsi="Arial"/>
                <w:sz w:val="12"/>
                <w:szCs w:val="12"/>
                <w:b w:val="1"/>
                <w:bCs w:val="1"/>
                <w:color w:val="auto"/>
                <w:w w:val="91"/>
              </w:rPr>
              <w:t>Series A</w:t>
            </w:r>
          </w:p>
        </w:tc>
        <w:tc>
          <w:tcPr>
            <w:tcW w:w="0" w:type="dxa"/>
            <w:vAlign w:val="bottom"/>
          </w:tcPr>
          <w:p>
            <w:pPr>
              <w:spacing w:after="0"/>
              <w:rPr>
                <w:sz w:val="1"/>
                <w:szCs w:val="1"/>
                <w:color w:val="auto"/>
              </w:rPr>
            </w:pPr>
          </w:p>
        </w:tc>
      </w:tr>
      <w:tr>
        <w:trPr>
          <w:trHeight w:val="133"/>
        </w:trPr>
        <w:tc>
          <w:tcPr>
            <w:tcW w:w="3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gridSpan w:val="3"/>
          </w:tcPr>
          <w:p>
            <w:pPr>
              <w:jc w:val="center"/>
              <w:ind w:right="200"/>
              <w:spacing w:after="0" w:line="133" w:lineRule="exact"/>
              <w:rPr>
                <w:sz w:val="20"/>
                <w:szCs w:val="20"/>
                <w:color w:val="auto"/>
              </w:rPr>
            </w:pPr>
            <w:r>
              <w:rPr>
                <w:rFonts w:ascii="Arial" w:cs="Arial" w:eastAsia="Arial" w:hAnsi="Arial"/>
                <w:sz w:val="12"/>
                <w:szCs w:val="12"/>
                <w:b w:val="1"/>
                <w:bCs w:val="1"/>
                <w:color w:val="auto"/>
                <w:w w:val="90"/>
              </w:rPr>
              <w:t>Accumulated</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center"/>
              <w:ind w:right="220"/>
              <w:spacing w:after="0" w:line="133" w:lineRule="exact"/>
              <w:rPr>
                <w:sz w:val="20"/>
                <w:szCs w:val="20"/>
                <w:color w:val="auto"/>
              </w:rPr>
            </w:pPr>
            <w:r>
              <w:rPr>
                <w:rFonts w:ascii="Arial" w:cs="Arial" w:eastAsia="Arial" w:hAnsi="Arial"/>
                <w:sz w:val="12"/>
                <w:szCs w:val="12"/>
                <w:b w:val="1"/>
                <w:bCs w:val="1"/>
                <w:color w:val="auto"/>
                <w:w w:val="90"/>
              </w:rPr>
              <w:t>Redeemable</w:t>
            </w:r>
          </w:p>
        </w:tc>
        <w:tc>
          <w:tcPr>
            <w:tcW w:w="0" w:type="dxa"/>
            <w:vAlign w:val="bottom"/>
          </w:tcPr>
          <w:p>
            <w:pPr>
              <w:spacing w:after="0"/>
              <w:rPr>
                <w:sz w:val="1"/>
                <w:szCs w:val="1"/>
                <w:color w:val="auto"/>
              </w:rPr>
            </w:pPr>
          </w:p>
        </w:tc>
      </w:tr>
      <w:tr>
        <w:trPr>
          <w:trHeight w:val="133"/>
        </w:trPr>
        <w:tc>
          <w:tcPr>
            <w:tcW w:w="3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3"/>
          </w:tcPr>
          <w:p>
            <w:pPr>
              <w:jc w:val="center"/>
              <w:ind w:right="280"/>
              <w:spacing w:after="0" w:line="133" w:lineRule="exact"/>
              <w:rPr>
                <w:sz w:val="20"/>
                <w:szCs w:val="20"/>
                <w:color w:val="auto"/>
              </w:rPr>
            </w:pPr>
            <w:r>
              <w:rPr>
                <w:rFonts w:ascii="Arial" w:cs="Arial" w:eastAsia="Arial" w:hAnsi="Arial"/>
                <w:sz w:val="12"/>
                <w:szCs w:val="12"/>
                <w:b w:val="1"/>
                <w:bCs w:val="1"/>
                <w:color w:val="auto"/>
                <w:w w:val="91"/>
              </w:rPr>
              <w:t>Additional</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2"/>
          </w:tcPr>
          <w:p>
            <w:pPr>
              <w:jc w:val="center"/>
              <w:ind w:right="360"/>
              <w:spacing w:after="0" w:line="133" w:lineRule="exact"/>
              <w:rPr>
                <w:sz w:val="20"/>
                <w:szCs w:val="20"/>
                <w:color w:val="auto"/>
              </w:rPr>
            </w:pPr>
            <w:r>
              <w:rPr>
                <w:rFonts w:ascii="Arial" w:cs="Arial" w:eastAsia="Arial" w:hAnsi="Arial"/>
                <w:sz w:val="12"/>
                <w:szCs w:val="12"/>
                <w:b w:val="1"/>
                <w:bCs w:val="1"/>
                <w:color w:val="auto"/>
                <w:w w:val="99"/>
              </w:rPr>
              <w:t>Other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center"/>
              <w:ind w:right="280"/>
              <w:spacing w:after="0" w:line="133" w:lineRule="exact"/>
              <w:rPr>
                <w:sz w:val="20"/>
                <w:szCs w:val="20"/>
                <w:color w:val="auto"/>
              </w:rPr>
            </w:pPr>
            <w:r>
              <w:rPr>
                <w:rFonts w:ascii="Arial" w:cs="Arial" w:eastAsia="Arial" w:hAnsi="Arial"/>
                <w:sz w:val="12"/>
                <w:szCs w:val="12"/>
                <w:b w:val="1"/>
                <w:bCs w:val="1"/>
                <w:color w:val="auto"/>
                <w:w w:val="87"/>
              </w:rPr>
              <w:t>Non-</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center"/>
              <w:ind w:right="220"/>
              <w:spacing w:after="0" w:line="133" w:lineRule="exact"/>
              <w:rPr>
                <w:sz w:val="20"/>
                <w:szCs w:val="20"/>
                <w:color w:val="auto"/>
              </w:rPr>
            </w:pPr>
            <w:r>
              <w:rPr>
                <w:rFonts w:ascii="Arial" w:cs="Arial" w:eastAsia="Arial" w:hAnsi="Arial"/>
                <w:sz w:val="12"/>
                <w:szCs w:val="12"/>
                <w:b w:val="1"/>
                <w:bCs w:val="1"/>
                <w:color w:val="auto"/>
                <w:w w:val="90"/>
              </w:rPr>
              <w:t>Convertible</w:t>
            </w:r>
          </w:p>
        </w:tc>
        <w:tc>
          <w:tcPr>
            <w:tcW w:w="0" w:type="dxa"/>
            <w:vAlign w:val="bottom"/>
          </w:tcPr>
          <w:p>
            <w:pPr>
              <w:spacing w:after="0"/>
              <w:rPr>
                <w:sz w:val="1"/>
                <w:szCs w:val="1"/>
                <w:color w:val="auto"/>
              </w:rPr>
            </w:pPr>
          </w:p>
        </w:tc>
      </w:tr>
      <w:tr>
        <w:trPr>
          <w:trHeight w:val="133"/>
        </w:trPr>
        <w:tc>
          <w:tcPr>
            <w:tcW w:w="3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Common</w:t>
            </w:r>
          </w:p>
        </w:tc>
        <w:tc>
          <w:tcPr>
            <w:tcW w:w="80" w:type="dxa"/>
            <w:vAlign w:val="bottom"/>
          </w:tcPr>
          <w:p>
            <w:pPr>
              <w:spacing w:after="0"/>
              <w:rPr>
                <w:sz w:val="11"/>
                <w:szCs w:val="11"/>
                <w:color w:val="auto"/>
              </w:rPr>
            </w:pPr>
          </w:p>
        </w:tc>
        <w:tc>
          <w:tcPr>
            <w:tcW w:w="820" w:type="dxa"/>
            <w:vAlign w:val="bottom"/>
            <w:gridSpan w:val="3"/>
          </w:tcPr>
          <w:p>
            <w:pPr>
              <w:jc w:val="center"/>
              <w:ind w:right="280"/>
              <w:spacing w:after="0" w:line="133" w:lineRule="exact"/>
              <w:rPr>
                <w:sz w:val="20"/>
                <w:szCs w:val="20"/>
                <w:color w:val="auto"/>
              </w:rPr>
            </w:pPr>
            <w:r>
              <w:rPr>
                <w:rFonts w:ascii="Arial" w:cs="Arial" w:eastAsia="Arial" w:hAnsi="Arial"/>
                <w:sz w:val="12"/>
                <w:szCs w:val="12"/>
                <w:b w:val="1"/>
                <w:bCs w:val="1"/>
                <w:color w:val="auto"/>
                <w:w w:val="96"/>
              </w:rPr>
              <w:t>Paid in</w:t>
            </w:r>
          </w:p>
        </w:tc>
        <w:tc>
          <w:tcPr>
            <w:tcW w:w="980" w:type="dxa"/>
            <w:vAlign w:val="bottom"/>
            <w:gridSpan w:val="3"/>
          </w:tcPr>
          <w:p>
            <w:pPr>
              <w:jc w:val="right"/>
              <w:ind w:right="260"/>
              <w:spacing w:after="0" w:line="133" w:lineRule="exact"/>
              <w:rPr>
                <w:sz w:val="20"/>
                <w:szCs w:val="20"/>
                <w:color w:val="auto"/>
              </w:rPr>
            </w:pPr>
            <w:r>
              <w:rPr>
                <w:rFonts w:ascii="Arial" w:cs="Arial" w:eastAsia="Arial" w:hAnsi="Arial"/>
                <w:sz w:val="12"/>
                <w:szCs w:val="12"/>
                <w:b w:val="1"/>
                <w:bCs w:val="1"/>
                <w:color w:val="auto"/>
                <w:w w:val="92"/>
              </w:rPr>
              <w:t>Accumulated</w:t>
            </w: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Comprehensive</w:t>
            </w:r>
          </w:p>
        </w:tc>
        <w:tc>
          <w:tcPr>
            <w:tcW w:w="100" w:type="dxa"/>
            <w:vAlign w:val="bottom"/>
          </w:tcPr>
          <w:p>
            <w:pPr>
              <w:spacing w:after="0"/>
              <w:rPr>
                <w:sz w:val="11"/>
                <w:szCs w:val="11"/>
                <w:color w:val="auto"/>
              </w:rPr>
            </w:pPr>
          </w:p>
        </w:tc>
        <w:tc>
          <w:tcPr>
            <w:tcW w:w="760" w:type="dxa"/>
            <w:vAlign w:val="bottom"/>
            <w:gridSpan w:val="2"/>
          </w:tcPr>
          <w:p>
            <w:pPr>
              <w:jc w:val="right"/>
              <w:ind w:right="260"/>
              <w:spacing w:after="0" w:line="133" w:lineRule="exact"/>
              <w:rPr>
                <w:sz w:val="20"/>
                <w:szCs w:val="20"/>
                <w:color w:val="auto"/>
              </w:rPr>
            </w:pPr>
            <w:r>
              <w:rPr>
                <w:rFonts w:ascii="Arial" w:cs="Arial" w:eastAsia="Arial" w:hAnsi="Arial"/>
                <w:sz w:val="12"/>
                <w:szCs w:val="12"/>
                <w:b w:val="1"/>
                <w:bCs w:val="1"/>
                <w:color w:val="auto"/>
                <w:w w:val="94"/>
              </w:rPr>
              <w:t>Treasury</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center"/>
              <w:ind w:right="280"/>
              <w:spacing w:after="0" w:line="133" w:lineRule="exact"/>
              <w:rPr>
                <w:sz w:val="20"/>
                <w:szCs w:val="20"/>
                <w:color w:val="auto"/>
              </w:rPr>
            </w:pPr>
            <w:r>
              <w:rPr>
                <w:rFonts w:ascii="Arial" w:cs="Arial" w:eastAsia="Arial" w:hAnsi="Arial"/>
                <w:sz w:val="12"/>
                <w:szCs w:val="12"/>
                <w:b w:val="1"/>
                <w:bCs w:val="1"/>
                <w:color w:val="auto"/>
                <w:w w:val="90"/>
              </w:rPr>
              <w:t>controlling</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center"/>
              <w:ind w:right="220"/>
              <w:spacing w:after="0" w:line="133" w:lineRule="exact"/>
              <w:rPr>
                <w:sz w:val="20"/>
                <w:szCs w:val="20"/>
                <w:color w:val="auto"/>
              </w:rPr>
            </w:pPr>
            <w:r>
              <w:rPr>
                <w:rFonts w:ascii="Arial" w:cs="Arial" w:eastAsia="Arial" w:hAnsi="Arial"/>
                <w:sz w:val="12"/>
                <w:szCs w:val="12"/>
                <w:b w:val="1"/>
                <w:bCs w:val="1"/>
                <w:color w:val="auto"/>
                <w:w w:val="89"/>
              </w:rPr>
              <w:t>Preferred</w:t>
            </w:r>
          </w:p>
        </w:tc>
        <w:tc>
          <w:tcPr>
            <w:tcW w:w="0" w:type="dxa"/>
            <w:vAlign w:val="bottom"/>
          </w:tcPr>
          <w:p>
            <w:pPr>
              <w:spacing w:after="0"/>
              <w:rPr>
                <w:sz w:val="1"/>
                <w:szCs w:val="1"/>
                <w:color w:val="auto"/>
              </w:rPr>
            </w:pPr>
          </w:p>
        </w:tc>
      </w:tr>
      <w:tr>
        <w:trPr>
          <w:trHeight w:val="146"/>
        </w:trPr>
        <w:tc>
          <w:tcPr>
            <w:tcW w:w="3040" w:type="dxa"/>
            <w:vAlign w:val="bottom"/>
            <w:tcBorders>
              <w:bottom w:val="single" w:sz="8" w:color="CFF0FC"/>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ind w:left="40"/>
              <w:spacing w:after="0"/>
              <w:rPr>
                <w:sz w:val="20"/>
                <w:szCs w:val="20"/>
                <w:color w:val="auto"/>
              </w:rPr>
            </w:pPr>
            <w:r>
              <w:rPr>
                <w:rFonts w:ascii="Arial" w:cs="Arial" w:eastAsia="Arial" w:hAnsi="Arial"/>
                <w:sz w:val="12"/>
                <w:szCs w:val="12"/>
                <w:b w:val="1"/>
                <w:bCs w:val="1"/>
                <w:color w:val="auto"/>
              </w:rPr>
              <w:t xml:space="preserve">Stock </w:t>
            </w:r>
            <w:r>
              <w:rPr>
                <w:rFonts w:ascii="Arial" w:cs="Arial" w:eastAsia="Arial" w:hAnsi="Arial"/>
                <w:sz w:val="10"/>
                <w:szCs w:val="10"/>
                <w:b w:val="1"/>
                <w:bCs w:val="1"/>
                <w:color w:val="auto"/>
              </w:rPr>
              <w:t>(1)</w:t>
            </w:r>
          </w:p>
        </w:tc>
        <w:tc>
          <w:tcPr>
            <w:tcW w:w="200" w:type="dxa"/>
            <w:vAlign w:val="bottom"/>
            <w:tcBorders>
              <w:bottom w:val="single" w:sz="8" w:color="CFF0FC"/>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center"/>
              <w:ind w:right="25"/>
              <w:spacing w:after="0"/>
              <w:rPr>
                <w:sz w:val="20"/>
                <w:szCs w:val="20"/>
                <w:color w:val="auto"/>
              </w:rPr>
            </w:pPr>
            <w:r>
              <w:rPr>
                <w:rFonts w:ascii="Arial" w:cs="Arial" w:eastAsia="Arial" w:hAnsi="Arial"/>
                <w:sz w:val="12"/>
                <w:szCs w:val="12"/>
                <w:b w:val="1"/>
                <w:bCs w:val="1"/>
                <w:color w:val="auto"/>
                <w:w w:val="94"/>
              </w:rPr>
              <w:t>Capital</w:t>
            </w:r>
          </w:p>
        </w:tc>
        <w:tc>
          <w:tcPr>
            <w:tcW w:w="180" w:type="dxa"/>
            <w:vAlign w:val="bottom"/>
            <w:tcBorders>
              <w:bottom w:val="single" w:sz="8" w:color="CFF0FC"/>
            </w:tcBorders>
            <w:gridSpan w:val="2"/>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44"/>
              <w:spacing w:after="0"/>
              <w:rPr>
                <w:sz w:val="20"/>
                <w:szCs w:val="20"/>
                <w:color w:val="auto"/>
              </w:rPr>
            </w:pPr>
            <w:r>
              <w:rPr>
                <w:rFonts w:ascii="Arial" w:cs="Arial" w:eastAsia="Arial" w:hAnsi="Arial"/>
                <w:sz w:val="12"/>
                <w:szCs w:val="12"/>
                <w:b w:val="1"/>
                <w:bCs w:val="1"/>
                <w:color w:val="auto"/>
              </w:rPr>
              <w:t>Deficit</w:t>
            </w:r>
          </w:p>
        </w:tc>
        <w:tc>
          <w:tcPr>
            <w:tcW w:w="200" w:type="dxa"/>
            <w:vAlign w:val="bottom"/>
            <w:tcBorders>
              <w:bottom w:val="single" w:sz="8" w:color="CFF0FC"/>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center"/>
              <w:ind w:right="105"/>
              <w:spacing w:after="0"/>
              <w:rPr>
                <w:sz w:val="20"/>
                <w:szCs w:val="20"/>
                <w:color w:val="auto"/>
              </w:rPr>
            </w:pPr>
            <w:r>
              <w:rPr>
                <w:rFonts w:ascii="Arial" w:cs="Arial" w:eastAsia="Arial" w:hAnsi="Arial"/>
                <w:sz w:val="12"/>
                <w:szCs w:val="12"/>
                <w:b w:val="1"/>
                <w:bCs w:val="1"/>
                <w:color w:val="auto"/>
                <w:w w:val="85"/>
              </w:rPr>
              <w:t>Loss</w:t>
            </w:r>
          </w:p>
        </w:tc>
        <w:tc>
          <w:tcPr>
            <w:tcW w:w="18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65"/>
              <w:spacing w:after="0"/>
              <w:rPr>
                <w:sz w:val="20"/>
                <w:szCs w:val="20"/>
                <w:color w:val="auto"/>
              </w:rPr>
            </w:pPr>
            <w:r>
              <w:rPr>
                <w:rFonts w:ascii="Arial" w:cs="Arial" w:eastAsia="Arial" w:hAnsi="Arial"/>
                <w:sz w:val="12"/>
                <w:szCs w:val="12"/>
                <w:b w:val="1"/>
                <w:bCs w:val="1"/>
                <w:color w:val="auto"/>
              </w:rPr>
              <w:t>Stock</w:t>
            </w:r>
          </w:p>
        </w:tc>
        <w:tc>
          <w:tcPr>
            <w:tcW w:w="120" w:type="dxa"/>
            <w:vAlign w:val="bottom"/>
            <w:tcBorders>
              <w:bottom w:val="single" w:sz="8" w:color="CFF0FC"/>
            </w:tcBorders>
          </w:tcPr>
          <w:p>
            <w:pPr>
              <w:spacing w:after="0"/>
              <w:rPr>
                <w:sz w:val="12"/>
                <w:szCs w:val="12"/>
                <w:color w:val="auto"/>
              </w:rPr>
            </w:pPr>
          </w:p>
        </w:tc>
        <w:tc>
          <w:tcPr>
            <w:tcW w:w="60" w:type="dxa"/>
            <w:vAlign w:val="bottom"/>
            <w:tcBorders>
              <w:bottom w:val="single" w:sz="8" w:color="CFF0FC"/>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44"/>
              <w:spacing w:after="0"/>
              <w:rPr>
                <w:sz w:val="20"/>
                <w:szCs w:val="20"/>
                <w:color w:val="auto"/>
              </w:rPr>
            </w:pPr>
            <w:r>
              <w:rPr>
                <w:rFonts w:ascii="Arial" w:cs="Arial" w:eastAsia="Arial" w:hAnsi="Arial"/>
                <w:sz w:val="12"/>
                <w:szCs w:val="12"/>
                <w:b w:val="1"/>
                <w:bCs w:val="1"/>
                <w:color w:val="auto"/>
              </w:rPr>
              <w:t>Total</w:t>
            </w:r>
          </w:p>
        </w:tc>
        <w:tc>
          <w:tcPr>
            <w:tcW w:w="200" w:type="dxa"/>
            <w:vAlign w:val="bottom"/>
            <w:tcBorders>
              <w:bottom w:val="single" w:sz="8" w:color="CFF0FC"/>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center"/>
              <w:ind w:right="5"/>
              <w:spacing w:after="0"/>
              <w:rPr>
                <w:sz w:val="20"/>
                <w:szCs w:val="20"/>
                <w:color w:val="auto"/>
              </w:rPr>
            </w:pPr>
            <w:r>
              <w:rPr>
                <w:rFonts w:ascii="Arial" w:cs="Arial" w:eastAsia="Arial" w:hAnsi="Arial"/>
                <w:sz w:val="12"/>
                <w:szCs w:val="12"/>
                <w:b w:val="1"/>
                <w:bCs w:val="1"/>
                <w:color w:val="auto"/>
                <w:w w:val="87"/>
              </w:rPr>
              <w:t>Interests</w:t>
            </w:r>
          </w:p>
        </w:tc>
        <w:tc>
          <w:tcPr>
            <w:tcW w:w="200" w:type="dxa"/>
            <w:vAlign w:val="bottom"/>
            <w:tcBorders>
              <w:bottom w:val="single" w:sz="8" w:color="CFF0FC"/>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44"/>
              <w:spacing w:after="0"/>
              <w:rPr>
                <w:sz w:val="20"/>
                <w:szCs w:val="20"/>
                <w:color w:val="auto"/>
              </w:rPr>
            </w:pPr>
            <w:r>
              <w:rPr>
                <w:rFonts w:ascii="Arial" w:cs="Arial" w:eastAsia="Arial" w:hAnsi="Arial"/>
                <w:sz w:val="12"/>
                <w:szCs w:val="12"/>
                <w:b w:val="1"/>
                <w:bCs w:val="1"/>
                <w:color w:val="auto"/>
              </w:rPr>
              <w:t>Total</w:t>
            </w:r>
          </w:p>
        </w:tc>
        <w:tc>
          <w:tcPr>
            <w:tcW w:w="120" w:type="dxa"/>
            <w:vAlign w:val="bottom"/>
            <w:tcBorders>
              <w:bottom w:val="single" w:sz="8" w:color="CFF0FC"/>
            </w:tcBorders>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center"/>
              <w:ind w:right="26"/>
              <w:spacing w:after="0"/>
              <w:rPr>
                <w:sz w:val="20"/>
                <w:szCs w:val="20"/>
                <w:color w:val="auto"/>
              </w:rPr>
            </w:pPr>
            <w:r>
              <w:rPr>
                <w:rFonts w:ascii="Arial" w:cs="Arial" w:eastAsia="Arial" w:hAnsi="Arial"/>
                <w:sz w:val="12"/>
                <w:szCs w:val="12"/>
                <w:b w:val="1"/>
                <w:bCs w:val="1"/>
                <w:color w:val="auto"/>
                <w:w w:val="85"/>
              </w:rPr>
              <w:t>Stock</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040" w:type="dxa"/>
            <w:vAlign w:val="bottom"/>
            <w:shd w:val="clear" w:color="auto" w:fill="CFF0FC"/>
          </w:tcPr>
          <w:p>
            <w:pPr>
              <w:spacing w:after="0"/>
              <w:rPr>
                <w:sz w:val="20"/>
                <w:szCs w:val="20"/>
                <w:color w:val="auto"/>
              </w:rPr>
            </w:pPr>
            <w:r>
              <w:rPr>
                <w:rFonts w:ascii="Arial" w:cs="Arial" w:eastAsia="Arial" w:hAnsi="Arial"/>
                <w:sz w:val="15"/>
                <w:szCs w:val="15"/>
                <w:color w:val="auto"/>
              </w:rPr>
              <w:t>Equity (deficit) as of December 31, 2014</w:t>
            </w: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FF0FC"/>
          </w:tcPr>
          <w:p>
            <w:pPr>
              <w:ind w:left="460"/>
              <w:spacing w:after="0"/>
              <w:rPr>
                <w:sz w:val="20"/>
                <w:szCs w:val="20"/>
                <w:color w:val="auto"/>
              </w:rPr>
            </w:pPr>
            <w:r>
              <w:rPr>
                <w:rFonts w:ascii="Arial" w:cs="Arial" w:eastAsia="Arial" w:hAnsi="Arial"/>
                <w:sz w:val="15"/>
                <w:szCs w:val="15"/>
                <w:color w:val="auto"/>
                <w:w w:val="93"/>
              </w:rPr>
              <w:t>—</w:t>
            </w:r>
          </w:p>
        </w:tc>
        <w:tc>
          <w:tcPr>
            <w:tcW w:w="200" w:type="dxa"/>
            <w:vAlign w:val="bottom"/>
            <w:shd w:val="clear" w:color="auto" w:fill="CFF0FC"/>
          </w:tcPr>
          <w:p>
            <w:pPr>
              <w:spacing w:after="0"/>
              <w:rPr>
                <w:sz w:val="16"/>
                <w:szCs w:val="16"/>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621</w:t>
            </w: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(204)</w:t>
            </w: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5"/>
                <w:szCs w:val="15"/>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(136)</w:t>
            </w: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(4)</w:t>
            </w:r>
          </w:p>
        </w:tc>
        <w:tc>
          <w:tcPr>
            <w:tcW w:w="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277</w:t>
            </w:r>
          </w:p>
        </w:tc>
        <w:tc>
          <w:tcPr>
            <w:tcW w:w="200" w:type="dxa"/>
            <w:vAlign w:val="bottom"/>
            <w:shd w:val="clear" w:color="auto" w:fill="CFF0FC"/>
          </w:tcPr>
          <w:p>
            <w:pPr>
              <w:spacing w:after="0"/>
              <w:rPr>
                <w:sz w:val="16"/>
                <w:szCs w:val="16"/>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22</w:t>
            </w: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jc w:val="right"/>
              <w:ind w:right="3"/>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299</w:t>
            </w:r>
          </w:p>
        </w:tc>
        <w:tc>
          <w:tcPr>
            <w:tcW w:w="120" w:type="dxa"/>
            <w:vAlign w:val="bottom"/>
            <w:shd w:val="clear" w:color="auto" w:fill="CFF0FC"/>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3040" w:type="dxa"/>
            <w:vAlign w:val="bottom"/>
          </w:tcPr>
          <w:p>
            <w:pPr>
              <w:spacing w:after="0"/>
              <w:rPr>
                <w:sz w:val="20"/>
                <w:szCs w:val="20"/>
                <w:color w:val="auto"/>
              </w:rPr>
            </w:pPr>
            <w:r>
              <w:rPr>
                <w:rFonts w:ascii="Arial" w:cs="Arial" w:eastAsia="Arial" w:hAnsi="Arial"/>
                <w:sz w:val="15"/>
                <w:szCs w:val="15"/>
                <w:color w:val="auto"/>
              </w:rPr>
              <w:t>Equity transactions with non-controlling</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3040" w:type="dxa"/>
            <w:vAlign w:val="bottom"/>
          </w:tcPr>
          <w:p>
            <w:pPr>
              <w:ind w:left="120"/>
              <w:spacing w:after="0"/>
              <w:rPr>
                <w:sz w:val="20"/>
                <w:szCs w:val="20"/>
                <w:color w:val="auto"/>
              </w:rPr>
            </w:pPr>
            <w:r>
              <w:rPr>
                <w:rFonts w:ascii="Arial" w:cs="Arial" w:eastAsia="Arial" w:hAnsi="Arial"/>
                <w:sz w:val="15"/>
                <w:szCs w:val="15"/>
                <w:color w:val="auto"/>
              </w:rPr>
              <w:t>interest</w:t>
            </w:r>
          </w:p>
        </w:tc>
        <w:tc>
          <w:tcPr>
            <w:tcW w:w="80" w:type="dxa"/>
            <w:vAlign w:val="bottom"/>
          </w:tcPr>
          <w:p>
            <w:pPr>
              <w:spacing w:after="0"/>
              <w:rPr>
                <w:sz w:val="16"/>
                <w:szCs w:val="16"/>
                <w:color w:val="auto"/>
              </w:rPr>
            </w:pPr>
          </w:p>
        </w:tc>
        <w:tc>
          <w:tcPr>
            <w:tcW w:w="820" w:type="dxa"/>
            <w:vAlign w:val="bottom"/>
            <w:gridSpan w:val="2"/>
          </w:tcPr>
          <w:p>
            <w:pPr>
              <w:ind w:left="46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820" w:type="dxa"/>
            <w:vAlign w:val="bottom"/>
            <w:gridSpan w:val="3"/>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1</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5"/>
                <w:szCs w:val="15"/>
                <w:color w:val="auto"/>
              </w:rPr>
              <w:t>(2)</w:t>
            </w:r>
          </w:p>
        </w:tc>
        <w:tc>
          <w:tcPr>
            <w:tcW w:w="160" w:type="dxa"/>
            <w:vAlign w:val="bottom"/>
          </w:tcPr>
          <w:p>
            <w:pPr>
              <w:spacing w:after="0"/>
              <w:rPr>
                <w:sz w:val="16"/>
                <w:szCs w:val="16"/>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5"/>
                <w:szCs w:val="15"/>
                <w:color w:val="auto"/>
              </w:rPr>
              <w:t>(1)</w:t>
            </w:r>
          </w:p>
        </w:tc>
        <w:tc>
          <w:tcPr>
            <w:tcW w:w="8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6"/>
        </w:trPr>
        <w:tc>
          <w:tcPr>
            <w:tcW w:w="3040" w:type="dxa"/>
            <w:vAlign w:val="bottom"/>
            <w:shd w:val="clear" w:color="auto" w:fill="CFF0FC"/>
          </w:tcPr>
          <w:p>
            <w:pPr>
              <w:spacing w:after="0"/>
              <w:rPr>
                <w:sz w:val="20"/>
                <w:szCs w:val="20"/>
                <w:color w:val="auto"/>
              </w:rPr>
            </w:pPr>
            <w:r>
              <w:rPr>
                <w:rFonts w:ascii="Arial" w:cs="Arial" w:eastAsia="Arial" w:hAnsi="Arial"/>
                <w:sz w:val="15"/>
                <w:szCs w:val="15"/>
                <w:color w:val="auto"/>
              </w:rPr>
              <w:t>Net (loss) earnings</w:t>
            </w:r>
          </w:p>
        </w:tc>
        <w:tc>
          <w:tcPr>
            <w:tcW w:w="80" w:type="dxa"/>
            <w:vAlign w:val="bottom"/>
            <w:shd w:val="clear" w:color="auto" w:fill="CFF0FC"/>
          </w:tcPr>
          <w:p>
            <w:pPr>
              <w:spacing w:after="0"/>
              <w:rPr>
                <w:sz w:val="17"/>
                <w:szCs w:val="17"/>
                <w:color w:val="auto"/>
              </w:rPr>
            </w:pPr>
          </w:p>
        </w:tc>
        <w:tc>
          <w:tcPr>
            <w:tcW w:w="820" w:type="dxa"/>
            <w:vAlign w:val="bottom"/>
            <w:gridSpan w:val="2"/>
            <w:shd w:val="clear" w:color="auto" w:fill="CFF0FC"/>
          </w:tcPr>
          <w:p>
            <w:pPr>
              <w:ind w:left="46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7"/>
                <w:szCs w:val="17"/>
                <w:color w:val="auto"/>
              </w:rPr>
            </w:pPr>
          </w:p>
        </w:tc>
        <w:tc>
          <w:tcPr>
            <w:tcW w:w="820" w:type="dxa"/>
            <w:vAlign w:val="bottom"/>
            <w:gridSpan w:val="3"/>
            <w:shd w:val="clear" w:color="auto" w:fill="CFF0FC"/>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(80)</w:t>
            </w:r>
          </w:p>
        </w:tc>
        <w:tc>
          <w:tcPr>
            <w:tcW w:w="16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(80)</w:t>
            </w:r>
          </w:p>
        </w:tc>
        <w:tc>
          <w:tcPr>
            <w:tcW w:w="8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(75)</w:t>
            </w:r>
          </w:p>
        </w:tc>
        <w:tc>
          <w:tcPr>
            <w:tcW w:w="80" w:type="dxa"/>
            <w:vAlign w:val="bottom"/>
            <w:tcBorders>
              <w:right w:val="single" w:sz="8" w:color="auto"/>
            </w:tcBorders>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8"/>
        </w:trPr>
        <w:tc>
          <w:tcPr>
            <w:tcW w:w="3040" w:type="dxa"/>
            <w:vAlign w:val="bottom"/>
          </w:tcPr>
          <w:p>
            <w:pPr>
              <w:spacing w:after="0"/>
              <w:rPr>
                <w:sz w:val="20"/>
                <w:szCs w:val="20"/>
                <w:color w:val="auto"/>
              </w:rPr>
            </w:pPr>
            <w:r>
              <w:rPr>
                <w:rFonts w:ascii="Arial" w:cs="Arial" w:eastAsia="Arial" w:hAnsi="Arial"/>
                <w:sz w:val="15"/>
                <w:szCs w:val="15"/>
                <w:color w:val="auto"/>
              </w:rPr>
              <w:t>Other comprehensive income (loss) (net of</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040" w:type="dxa"/>
            <w:vAlign w:val="bottom"/>
          </w:tcPr>
          <w:p>
            <w:pPr>
              <w:spacing w:after="0"/>
              <w:rPr>
                <w:sz w:val="20"/>
                <w:szCs w:val="20"/>
                <w:color w:val="auto"/>
              </w:rPr>
            </w:pPr>
            <w:r>
              <w:rPr>
                <w:rFonts w:ascii="Arial" w:cs="Arial" w:eastAsia="Arial" w:hAnsi="Arial"/>
                <w:sz w:val="15"/>
                <w:szCs w:val="15"/>
                <w:color w:val="auto"/>
              </w:rPr>
              <w:t>tax):</w:t>
            </w: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040" w:type="dxa"/>
            <w:vAlign w:val="bottom"/>
            <w:shd w:val="clear" w:color="auto" w:fill="CFF0FC"/>
          </w:tcPr>
          <w:p>
            <w:pPr>
              <w:ind w:left="220"/>
              <w:spacing w:after="0"/>
              <w:rPr>
                <w:sz w:val="20"/>
                <w:szCs w:val="20"/>
                <w:color w:val="auto"/>
              </w:rPr>
            </w:pPr>
            <w:r>
              <w:rPr>
                <w:rFonts w:ascii="Arial" w:cs="Arial" w:eastAsia="Arial" w:hAnsi="Arial"/>
                <w:sz w:val="15"/>
                <w:szCs w:val="15"/>
                <w:color w:val="auto"/>
              </w:rPr>
              <w:t>Currency translation adjustments</w:t>
            </w:r>
          </w:p>
        </w:tc>
        <w:tc>
          <w:tcPr>
            <w:tcW w:w="80" w:type="dxa"/>
            <w:vAlign w:val="bottom"/>
            <w:shd w:val="clear" w:color="auto" w:fill="CFF0FC"/>
          </w:tcPr>
          <w:p>
            <w:pPr>
              <w:spacing w:after="0"/>
              <w:rPr>
                <w:sz w:val="16"/>
                <w:szCs w:val="16"/>
                <w:color w:val="auto"/>
              </w:rPr>
            </w:pPr>
          </w:p>
        </w:tc>
        <w:tc>
          <w:tcPr>
            <w:tcW w:w="820" w:type="dxa"/>
            <w:vAlign w:val="bottom"/>
            <w:gridSpan w:val="2"/>
            <w:shd w:val="clear" w:color="auto" w:fill="CFF0FC"/>
          </w:tcPr>
          <w:p>
            <w:pPr>
              <w:ind w:left="46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6"/>
                <w:szCs w:val="16"/>
                <w:color w:val="auto"/>
              </w:rPr>
            </w:pPr>
          </w:p>
        </w:tc>
        <w:tc>
          <w:tcPr>
            <w:tcW w:w="820" w:type="dxa"/>
            <w:vAlign w:val="bottom"/>
            <w:gridSpan w:val="3"/>
            <w:shd w:val="clear" w:color="auto" w:fill="CFF0FC"/>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shd w:val="clear" w:color="auto" w:fill="CFF0FC"/>
          </w:tcPr>
          <w:p>
            <w:pPr>
              <w:spacing w:after="0"/>
              <w:rPr>
                <w:sz w:val="16"/>
                <w:szCs w:val="16"/>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shd w:val="clear" w:color="auto" w:fill="CFF0FC"/>
          </w:tcPr>
          <w:p>
            <w:pPr>
              <w:spacing w:after="0"/>
              <w:rPr>
                <w:sz w:val="16"/>
                <w:szCs w:val="16"/>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(35)</w:t>
            </w:r>
          </w:p>
        </w:tc>
        <w:tc>
          <w:tcPr>
            <w:tcW w:w="100" w:type="dxa"/>
            <w:vAlign w:val="bottom"/>
            <w:shd w:val="clear" w:color="auto" w:fill="CFF0FC"/>
          </w:tcPr>
          <w:p>
            <w:pPr>
              <w:spacing w:after="0"/>
              <w:rPr>
                <w:sz w:val="16"/>
                <w:szCs w:val="16"/>
                <w:color w:val="auto"/>
              </w:rPr>
            </w:pPr>
          </w:p>
        </w:tc>
        <w:tc>
          <w:tcPr>
            <w:tcW w:w="76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6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(35)</w:t>
            </w:r>
          </w:p>
        </w:tc>
        <w:tc>
          <w:tcPr>
            <w:tcW w:w="80" w:type="dxa"/>
            <w:vAlign w:val="bottom"/>
            <w:shd w:val="clear" w:color="auto" w:fill="CFF0FC"/>
          </w:tcPr>
          <w:p>
            <w:pPr>
              <w:spacing w:after="0"/>
              <w:rPr>
                <w:sz w:val="16"/>
                <w:szCs w:val="16"/>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shd w:val="clear" w:color="auto" w:fill="CFF0FC"/>
          </w:tcPr>
          <w:p>
            <w:pPr>
              <w:spacing w:after="0"/>
              <w:rPr>
                <w:sz w:val="16"/>
                <w:szCs w:val="16"/>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(35)</w:t>
            </w:r>
          </w:p>
        </w:tc>
        <w:tc>
          <w:tcPr>
            <w:tcW w:w="80" w:type="dxa"/>
            <w:vAlign w:val="bottom"/>
            <w:tcBorders>
              <w:right w:val="single" w:sz="8" w:color="auto"/>
            </w:tcBorders>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8"/>
        </w:trPr>
        <w:tc>
          <w:tcPr>
            <w:tcW w:w="3040" w:type="dxa"/>
            <w:vAlign w:val="bottom"/>
          </w:tcPr>
          <w:p>
            <w:pPr>
              <w:ind w:left="220"/>
              <w:spacing w:after="0"/>
              <w:rPr>
                <w:sz w:val="20"/>
                <w:szCs w:val="20"/>
                <w:color w:val="auto"/>
              </w:rPr>
            </w:pPr>
            <w:r>
              <w:rPr>
                <w:rFonts w:ascii="Arial" w:cs="Arial" w:eastAsia="Arial" w:hAnsi="Arial"/>
                <w:sz w:val="15"/>
                <w:szCs w:val="15"/>
                <w:color w:val="auto"/>
              </w:rPr>
              <w:t>Reclassification of realized losses</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040" w:type="dxa"/>
            <w:vAlign w:val="bottom"/>
          </w:tcPr>
          <w:p>
            <w:pPr>
              <w:ind w:left="340"/>
              <w:spacing w:after="0"/>
              <w:rPr>
                <w:sz w:val="20"/>
                <w:szCs w:val="20"/>
                <w:color w:val="auto"/>
              </w:rPr>
            </w:pPr>
            <w:r>
              <w:rPr>
                <w:rFonts w:ascii="Arial" w:cs="Arial" w:eastAsia="Arial" w:hAnsi="Arial"/>
                <w:sz w:val="15"/>
                <w:szCs w:val="15"/>
                <w:color w:val="auto"/>
              </w:rPr>
              <w:t>on available-for-sale securities</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040" w:type="dxa"/>
            <w:vAlign w:val="bottom"/>
          </w:tcPr>
          <w:p>
            <w:pPr>
              <w:ind w:left="340"/>
              <w:spacing w:after="0"/>
              <w:rPr>
                <w:sz w:val="20"/>
                <w:szCs w:val="20"/>
                <w:color w:val="auto"/>
              </w:rPr>
            </w:pPr>
            <w:r>
              <w:rPr>
                <w:rFonts w:ascii="Arial" w:cs="Arial" w:eastAsia="Arial" w:hAnsi="Arial"/>
                <w:sz w:val="15"/>
                <w:szCs w:val="15"/>
                <w:color w:val="auto"/>
              </w:rPr>
              <w:t>included in net earnings, net of</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040" w:type="dxa"/>
            <w:vAlign w:val="bottom"/>
          </w:tcPr>
          <w:p>
            <w:pPr>
              <w:ind w:left="340"/>
              <w:spacing w:after="0"/>
              <w:rPr>
                <w:sz w:val="20"/>
                <w:szCs w:val="20"/>
                <w:color w:val="auto"/>
              </w:rPr>
            </w:pPr>
            <w:r>
              <w:rPr>
                <w:rFonts w:ascii="Arial" w:cs="Arial" w:eastAsia="Arial" w:hAnsi="Arial"/>
                <w:sz w:val="15"/>
                <w:szCs w:val="15"/>
                <w:color w:val="auto"/>
              </w:rPr>
              <w:t>tax</w:t>
            </w:r>
          </w:p>
        </w:tc>
        <w:tc>
          <w:tcPr>
            <w:tcW w:w="80" w:type="dxa"/>
            <w:vAlign w:val="bottom"/>
          </w:tcPr>
          <w:p>
            <w:pPr>
              <w:spacing w:after="0"/>
              <w:rPr>
                <w:sz w:val="17"/>
                <w:szCs w:val="17"/>
                <w:color w:val="auto"/>
              </w:rPr>
            </w:pPr>
          </w:p>
        </w:tc>
        <w:tc>
          <w:tcPr>
            <w:tcW w:w="820" w:type="dxa"/>
            <w:vAlign w:val="bottom"/>
            <w:gridSpan w:val="2"/>
          </w:tcPr>
          <w:p>
            <w:pPr>
              <w:ind w:left="46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820" w:type="dxa"/>
            <w:vAlign w:val="bottom"/>
            <w:gridSpan w:val="3"/>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2</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2</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2</w:t>
            </w:r>
          </w:p>
        </w:tc>
        <w:tc>
          <w:tcPr>
            <w:tcW w:w="120" w:type="dxa"/>
            <w:vAlign w:val="bottom"/>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9"/>
        </w:trPr>
        <w:tc>
          <w:tcPr>
            <w:tcW w:w="3040" w:type="dxa"/>
            <w:vAlign w:val="bottom"/>
            <w:shd w:val="clear" w:color="auto" w:fill="CFF0FC"/>
          </w:tcPr>
          <w:p>
            <w:pPr>
              <w:ind w:left="220"/>
              <w:spacing w:after="0"/>
              <w:rPr>
                <w:sz w:val="20"/>
                <w:szCs w:val="20"/>
                <w:color w:val="auto"/>
              </w:rPr>
            </w:pPr>
            <w:r>
              <w:rPr>
                <w:rFonts w:ascii="Arial" w:cs="Arial" w:eastAsia="Arial" w:hAnsi="Arial"/>
                <w:sz w:val="15"/>
                <w:szCs w:val="15"/>
                <w:color w:val="auto"/>
              </w:rPr>
              <w:t>Pension and other postretirement</w:t>
            </w:r>
          </w:p>
        </w:tc>
        <w:tc>
          <w:tcPr>
            <w:tcW w:w="8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3040" w:type="dxa"/>
            <w:vAlign w:val="bottom"/>
            <w:shd w:val="clear" w:color="auto" w:fill="CFF0FC"/>
          </w:tcPr>
          <w:p>
            <w:pPr>
              <w:ind w:left="340"/>
              <w:spacing w:after="0"/>
              <w:rPr>
                <w:sz w:val="20"/>
                <w:szCs w:val="20"/>
                <w:color w:val="auto"/>
              </w:rPr>
            </w:pPr>
            <w:r>
              <w:rPr>
                <w:rFonts w:ascii="Arial" w:cs="Arial" w:eastAsia="Arial" w:hAnsi="Arial"/>
                <w:sz w:val="15"/>
                <w:szCs w:val="15"/>
                <w:color w:val="auto"/>
              </w:rPr>
              <w:t>liability adjustments</w:t>
            </w:r>
          </w:p>
        </w:tc>
        <w:tc>
          <w:tcPr>
            <w:tcW w:w="80" w:type="dxa"/>
            <w:vAlign w:val="bottom"/>
            <w:shd w:val="clear" w:color="auto" w:fill="CFF0FC"/>
          </w:tcPr>
          <w:p>
            <w:pPr>
              <w:spacing w:after="0"/>
              <w:rPr>
                <w:sz w:val="17"/>
                <w:szCs w:val="17"/>
                <w:color w:val="auto"/>
              </w:rPr>
            </w:pPr>
          </w:p>
        </w:tc>
        <w:tc>
          <w:tcPr>
            <w:tcW w:w="820" w:type="dxa"/>
            <w:vAlign w:val="bottom"/>
            <w:gridSpan w:val="2"/>
            <w:shd w:val="clear" w:color="auto" w:fill="CFF0FC"/>
          </w:tcPr>
          <w:p>
            <w:pPr>
              <w:ind w:left="46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7"/>
                <w:szCs w:val="17"/>
                <w:color w:val="auto"/>
              </w:rPr>
            </w:pPr>
          </w:p>
        </w:tc>
        <w:tc>
          <w:tcPr>
            <w:tcW w:w="820" w:type="dxa"/>
            <w:vAlign w:val="bottom"/>
            <w:gridSpan w:val="3"/>
            <w:shd w:val="clear" w:color="auto" w:fill="CFF0FC"/>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(98)</w:t>
            </w:r>
          </w:p>
        </w:tc>
        <w:tc>
          <w:tcPr>
            <w:tcW w:w="10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(98)</w:t>
            </w:r>
          </w:p>
        </w:tc>
        <w:tc>
          <w:tcPr>
            <w:tcW w:w="8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shd w:val="clear" w:color="auto" w:fill="CFF0FC"/>
          </w:tcPr>
          <w:p>
            <w:pPr>
              <w:spacing w:after="0"/>
              <w:rPr>
                <w:sz w:val="17"/>
                <w:szCs w:val="17"/>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(98)</w:t>
            </w:r>
          </w:p>
        </w:tc>
        <w:tc>
          <w:tcPr>
            <w:tcW w:w="80" w:type="dxa"/>
            <w:vAlign w:val="bottom"/>
            <w:tcBorders>
              <w:right w:val="single" w:sz="8" w:color="auto"/>
            </w:tcBorders>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3"/>
        </w:trPr>
        <w:tc>
          <w:tcPr>
            <w:tcW w:w="3040" w:type="dxa"/>
            <w:vAlign w:val="bottom"/>
          </w:tcPr>
          <w:p>
            <w:pPr>
              <w:spacing w:after="0"/>
              <w:rPr>
                <w:sz w:val="20"/>
                <w:szCs w:val="20"/>
                <w:color w:val="auto"/>
              </w:rPr>
            </w:pPr>
            <w:r>
              <w:rPr>
                <w:rFonts w:ascii="Arial" w:cs="Arial" w:eastAsia="Arial" w:hAnsi="Arial"/>
                <w:sz w:val="15"/>
                <w:szCs w:val="15"/>
                <w:color w:val="auto"/>
              </w:rPr>
              <w:t>Stock-based compensation</w:t>
            </w:r>
          </w:p>
        </w:tc>
        <w:tc>
          <w:tcPr>
            <w:tcW w:w="80" w:type="dxa"/>
            <w:vAlign w:val="bottom"/>
          </w:tcPr>
          <w:p>
            <w:pPr>
              <w:spacing w:after="0"/>
              <w:rPr>
                <w:sz w:val="16"/>
                <w:szCs w:val="16"/>
                <w:color w:val="auto"/>
              </w:rPr>
            </w:pPr>
          </w:p>
        </w:tc>
        <w:tc>
          <w:tcPr>
            <w:tcW w:w="820" w:type="dxa"/>
            <w:vAlign w:val="bottom"/>
            <w:gridSpan w:val="2"/>
          </w:tcPr>
          <w:p>
            <w:pPr>
              <w:ind w:left="46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12</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12</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12</w:t>
            </w:r>
          </w:p>
        </w:tc>
        <w:tc>
          <w:tcPr>
            <w:tcW w:w="120" w:type="dxa"/>
            <w:vAlign w:val="bottom"/>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8"/>
        </w:trPr>
        <w:tc>
          <w:tcPr>
            <w:tcW w:w="3040" w:type="dxa"/>
            <w:vAlign w:val="bottom"/>
            <w:shd w:val="clear" w:color="auto" w:fill="CFF0FC"/>
          </w:tcPr>
          <w:p>
            <w:pPr>
              <w:spacing w:after="0"/>
              <w:rPr>
                <w:sz w:val="20"/>
                <w:szCs w:val="20"/>
                <w:color w:val="auto"/>
              </w:rPr>
            </w:pPr>
            <w:r>
              <w:rPr>
                <w:rFonts w:ascii="Arial" w:cs="Arial" w:eastAsia="Arial" w:hAnsi="Arial"/>
                <w:sz w:val="15"/>
                <w:szCs w:val="15"/>
                <w:color w:val="auto"/>
              </w:rPr>
              <w:t>Purchases of treasury stock, (84,678</w:t>
            </w:r>
          </w:p>
        </w:tc>
        <w:tc>
          <w:tcPr>
            <w:tcW w:w="8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3040" w:type="dxa"/>
            <w:vAlign w:val="bottom"/>
            <w:shd w:val="clear" w:color="auto" w:fill="CFF0FC"/>
          </w:tcPr>
          <w:p>
            <w:pPr>
              <w:ind w:left="120"/>
              <w:spacing w:after="0"/>
              <w:rPr>
                <w:sz w:val="20"/>
                <w:szCs w:val="20"/>
                <w:color w:val="auto"/>
              </w:rPr>
            </w:pPr>
            <w:r>
              <w:rPr>
                <w:rFonts w:ascii="Arial" w:cs="Arial" w:eastAsia="Arial" w:hAnsi="Arial"/>
                <w:sz w:val="15"/>
                <w:szCs w:val="15"/>
                <w:color w:val="auto"/>
              </w:rPr>
              <w:t xml:space="preserve">shares) </w:t>
            </w:r>
            <w:r>
              <w:rPr>
                <w:rFonts w:ascii="Arial" w:cs="Arial" w:eastAsia="Arial" w:hAnsi="Arial"/>
                <w:sz w:val="13"/>
                <w:szCs w:val="13"/>
                <w:color w:val="auto"/>
              </w:rPr>
              <w:t>(2)</w:t>
            </w:r>
          </w:p>
        </w:tc>
        <w:tc>
          <w:tcPr>
            <w:tcW w:w="80" w:type="dxa"/>
            <w:vAlign w:val="bottom"/>
            <w:shd w:val="clear" w:color="auto" w:fill="CFF0FC"/>
          </w:tcPr>
          <w:p>
            <w:pPr>
              <w:spacing w:after="0"/>
              <w:rPr>
                <w:sz w:val="17"/>
                <w:szCs w:val="17"/>
                <w:color w:val="auto"/>
              </w:rPr>
            </w:pPr>
          </w:p>
        </w:tc>
        <w:tc>
          <w:tcPr>
            <w:tcW w:w="620" w:type="dxa"/>
            <w:vAlign w:val="bottom"/>
            <w:shd w:val="clear" w:color="auto" w:fill="CFF0FC"/>
          </w:tcPr>
          <w:p>
            <w:pPr>
              <w:ind w:left="460"/>
              <w:spacing w:after="0"/>
              <w:rPr>
                <w:sz w:val="20"/>
                <w:szCs w:val="20"/>
                <w:color w:val="auto"/>
              </w:rPr>
            </w:pPr>
            <w:r>
              <w:rPr>
                <w:rFonts w:ascii="Arial" w:cs="Arial" w:eastAsia="Arial" w:hAnsi="Arial"/>
                <w:sz w:val="15"/>
                <w:szCs w:val="15"/>
                <w:color w:val="auto"/>
                <w:w w:val="93"/>
              </w:rPr>
              <w:t>—</w:t>
            </w:r>
          </w:p>
        </w:tc>
        <w:tc>
          <w:tcPr>
            <w:tcW w:w="2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80" w:type="dxa"/>
            <w:vAlign w:val="bottom"/>
            <w:gridSpan w:val="2"/>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(1)</w:t>
            </w: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(1)</w:t>
            </w:r>
          </w:p>
        </w:tc>
        <w:tc>
          <w:tcPr>
            <w:tcW w:w="8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shd w:val="clear" w:color="auto" w:fill="CFF0FC"/>
          </w:tcPr>
          <w:p>
            <w:pPr>
              <w:spacing w:after="0"/>
              <w:rPr>
                <w:sz w:val="17"/>
                <w:szCs w:val="17"/>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(1)</w:t>
            </w:r>
          </w:p>
        </w:tc>
        <w:tc>
          <w:tcPr>
            <w:tcW w:w="80" w:type="dxa"/>
            <w:vAlign w:val="bottom"/>
            <w:tcBorders>
              <w:right w:val="single" w:sz="8" w:color="auto"/>
            </w:tcBorders>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3040" w:type="dxa"/>
            <w:vAlign w:val="bottom"/>
            <w:vMerge w:val="restart"/>
          </w:tcPr>
          <w:p>
            <w:pPr>
              <w:spacing w:after="0"/>
              <w:rPr>
                <w:sz w:val="20"/>
                <w:szCs w:val="20"/>
                <w:color w:val="auto"/>
              </w:rPr>
            </w:pPr>
            <w:r>
              <w:rPr>
                <w:rFonts w:ascii="Arial" w:cs="Arial" w:eastAsia="Arial" w:hAnsi="Arial"/>
                <w:sz w:val="15"/>
                <w:szCs w:val="15"/>
                <w:color w:val="auto"/>
              </w:rPr>
              <w:t>Equity (deficit) as of December 31, 2015</w:t>
            </w: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right w:val="single" w:sz="8" w:color="auto"/>
            </w:tcBorders>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3040" w:type="dxa"/>
            <w:vAlign w:val="bottom"/>
            <w:vMerge w:val="continue"/>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Pr>
          <w:p>
            <w:pPr>
              <w:ind w:left="460"/>
              <w:spacing w:after="0"/>
              <w:rPr>
                <w:sz w:val="20"/>
                <w:szCs w:val="20"/>
                <w:color w:val="auto"/>
              </w:rPr>
            </w:pPr>
            <w:r>
              <w:rPr>
                <w:rFonts w:ascii="Arial" w:cs="Arial" w:eastAsia="Arial" w:hAnsi="Arial"/>
                <w:sz w:val="15"/>
                <w:szCs w:val="15"/>
                <w:color w:val="auto"/>
                <w:w w:val="93"/>
              </w:rPr>
              <w:t>—</w:t>
            </w:r>
          </w:p>
        </w:tc>
        <w:tc>
          <w:tcPr>
            <w:tcW w:w="200" w:type="dxa"/>
            <w:vAlign w:val="bottom"/>
            <w:vMerge w:val="continue"/>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633</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(283)</w:t>
            </w:r>
          </w:p>
        </w:tc>
        <w:tc>
          <w:tcPr>
            <w:tcW w:w="200" w:type="dxa"/>
            <w:vAlign w:val="bottom"/>
            <w:vMerge w:val="continue"/>
          </w:tcPr>
          <w:p>
            <w:pPr>
              <w:spacing w:after="0"/>
              <w:rPr>
                <w:sz w:val="16"/>
                <w:szCs w:val="16"/>
                <w:color w:val="auto"/>
              </w:rPr>
            </w:pPr>
          </w:p>
        </w:tc>
        <w:tc>
          <w:tcPr>
            <w:tcW w:w="160" w:type="dxa"/>
            <w:vAlign w:val="bottom"/>
          </w:tcPr>
          <w:p>
            <w:pPr>
              <w:spacing w:after="0"/>
              <w:rPr>
                <w:sz w:val="20"/>
                <w:szCs w:val="20"/>
                <w:color w:val="auto"/>
              </w:rPr>
            </w:pPr>
            <w:r>
              <w:rPr>
                <w:rFonts w:ascii="Arial" w:cs="Arial" w:eastAsia="Arial" w:hAnsi="Arial"/>
                <w:sz w:val="15"/>
                <w:szCs w:val="15"/>
                <w:color w:val="auto"/>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(267)</w:t>
            </w:r>
          </w:p>
        </w:tc>
        <w:tc>
          <w:tcPr>
            <w:tcW w:w="180" w:type="dxa"/>
            <w:vAlign w:val="bottom"/>
            <w:vMerge w:val="continue"/>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80"/>
              <w:spacing w:after="0"/>
              <w:rPr>
                <w:sz w:val="20"/>
                <w:szCs w:val="20"/>
                <w:color w:val="auto"/>
              </w:rPr>
            </w:pPr>
            <w:r>
              <w:rPr>
                <w:rFonts w:ascii="Arial" w:cs="Arial" w:eastAsia="Arial" w:hAnsi="Arial"/>
                <w:sz w:val="15"/>
                <w:szCs w:val="15"/>
                <w:color w:val="auto"/>
              </w:rPr>
              <w:t>(5)</w:t>
            </w:r>
          </w:p>
        </w:tc>
        <w:tc>
          <w:tcPr>
            <w:tcW w:w="60" w:type="dxa"/>
            <w:vAlign w:val="bottom"/>
            <w:vMerge w:val="continue"/>
          </w:tcPr>
          <w:p>
            <w:pPr>
              <w:spacing w:after="0"/>
              <w:rPr>
                <w:sz w:val="16"/>
                <w:szCs w:val="16"/>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5"/>
                <w:szCs w:val="15"/>
                <w:color w:val="auto"/>
              </w:rPr>
              <w:t>78</w:t>
            </w:r>
          </w:p>
        </w:tc>
        <w:tc>
          <w:tcPr>
            <w:tcW w:w="20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25</w:t>
            </w:r>
          </w:p>
        </w:tc>
        <w:tc>
          <w:tcPr>
            <w:tcW w:w="200" w:type="dxa"/>
            <w:vAlign w:val="bottom"/>
          </w:tcPr>
          <w:p>
            <w:pPr>
              <w:spacing w:after="0"/>
              <w:rPr>
                <w:sz w:val="16"/>
                <w:szCs w:val="16"/>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5"/>
                <w:szCs w:val="15"/>
                <w:color w:val="auto"/>
              </w:rPr>
              <w:t>103</w:t>
            </w:r>
          </w:p>
        </w:tc>
        <w:tc>
          <w:tcPr>
            <w:tcW w:w="120" w:type="dxa"/>
            <w:vAlign w:val="bottom"/>
          </w:tcPr>
          <w:p>
            <w:pPr>
              <w:spacing w:after="0"/>
              <w:rPr>
                <w:sz w:val="16"/>
                <w:szCs w:val="16"/>
                <w:color w:val="auto"/>
              </w:rPr>
            </w:pPr>
          </w:p>
        </w:tc>
        <w:tc>
          <w:tcPr>
            <w:tcW w:w="80" w:type="dxa"/>
            <w:vAlign w:val="bottom"/>
            <w:tcBorders>
              <w:right w:val="single" w:sz="8" w:color="auto"/>
            </w:tcBorders>
            <w:vMerge w:val="continue"/>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3040" w:type="dxa"/>
            <w:vAlign w:val="bottom"/>
            <w:shd w:val="clear" w:color="auto" w:fill="CFF0FC"/>
          </w:tcPr>
          <w:p>
            <w:pPr>
              <w:spacing w:after="0"/>
              <w:rPr>
                <w:sz w:val="20"/>
                <w:szCs w:val="20"/>
                <w:color w:val="auto"/>
              </w:rPr>
            </w:pPr>
            <w:r>
              <w:rPr>
                <w:rFonts w:ascii="Arial" w:cs="Arial" w:eastAsia="Arial" w:hAnsi="Arial"/>
                <w:sz w:val="15"/>
                <w:szCs w:val="15"/>
                <w:color w:val="auto"/>
              </w:rPr>
              <w:t>Equity transactions with</w:t>
            </w:r>
          </w:p>
        </w:tc>
        <w:tc>
          <w:tcPr>
            <w:tcW w:w="8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3040" w:type="dxa"/>
            <w:vAlign w:val="bottom"/>
            <w:shd w:val="clear" w:color="auto" w:fill="CFF0FC"/>
          </w:tcPr>
          <w:p>
            <w:pPr>
              <w:ind w:left="120"/>
              <w:spacing w:after="0"/>
              <w:rPr>
                <w:sz w:val="20"/>
                <w:szCs w:val="20"/>
                <w:color w:val="auto"/>
              </w:rPr>
            </w:pPr>
            <w:r>
              <w:rPr>
                <w:rFonts w:ascii="Arial" w:cs="Arial" w:eastAsia="Arial" w:hAnsi="Arial"/>
                <w:sz w:val="15"/>
                <w:szCs w:val="15"/>
                <w:color w:val="auto"/>
              </w:rPr>
              <w:t>non-controlling interest</w:t>
            </w:r>
          </w:p>
        </w:tc>
        <w:tc>
          <w:tcPr>
            <w:tcW w:w="80" w:type="dxa"/>
            <w:vAlign w:val="bottom"/>
            <w:shd w:val="clear" w:color="auto" w:fill="CFF0FC"/>
          </w:tcPr>
          <w:p>
            <w:pPr>
              <w:spacing w:after="0"/>
              <w:rPr>
                <w:sz w:val="17"/>
                <w:szCs w:val="17"/>
                <w:color w:val="auto"/>
              </w:rPr>
            </w:pPr>
          </w:p>
        </w:tc>
        <w:tc>
          <w:tcPr>
            <w:tcW w:w="820" w:type="dxa"/>
            <w:vAlign w:val="bottom"/>
            <w:gridSpan w:val="2"/>
            <w:shd w:val="clear" w:color="auto" w:fill="CFF0FC"/>
          </w:tcPr>
          <w:p>
            <w:pPr>
              <w:ind w:left="46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7"/>
                <w:szCs w:val="17"/>
                <w:color w:val="auto"/>
              </w:rPr>
            </w:pPr>
          </w:p>
        </w:tc>
        <w:tc>
          <w:tcPr>
            <w:tcW w:w="820" w:type="dxa"/>
            <w:vAlign w:val="bottom"/>
            <w:gridSpan w:val="3"/>
            <w:shd w:val="clear" w:color="auto" w:fill="CFF0FC"/>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15</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15</w:t>
            </w:r>
          </w:p>
        </w:tc>
        <w:tc>
          <w:tcPr>
            <w:tcW w:w="120" w:type="dxa"/>
            <w:vAlign w:val="bottom"/>
            <w:shd w:val="clear" w:color="auto" w:fill="CFF0FC"/>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3"/>
        </w:trPr>
        <w:tc>
          <w:tcPr>
            <w:tcW w:w="3040" w:type="dxa"/>
            <w:vAlign w:val="bottom"/>
          </w:tcPr>
          <w:p>
            <w:pPr>
              <w:spacing w:after="0"/>
              <w:rPr>
                <w:sz w:val="20"/>
                <w:szCs w:val="20"/>
                <w:color w:val="auto"/>
              </w:rPr>
            </w:pPr>
            <w:r>
              <w:rPr>
                <w:rFonts w:ascii="Arial" w:cs="Arial" w:eastAsia="Arial" w:hAnsi="Arial"/>
                <w:sz w:val="15"/>
                <w:szCs w:val="15"/>
                <w:color w:val="auto"/>
              </w:rPr>
              <w:t>Net earnings</w:t>
            </w:r>
          </w:p>
        </w:tc>
        <w:tc>
          <w:tcPr>
            <w:tcW w:w="80" w:type="dxa"/>
            <w:vAlign w:val="bottom"/>
          </w:tcPr>
          <w:p>
            <w:pPr>
              <w:spacing w:after="0"/>
              <w:rPr>
                <w:sz w:val="16"/>
                <w:szCs w:val="16"/>
                <w:color w:val="auto"/>
              </w:rPr>
            </w:pPr>
          </w:p>
        </w:tc>
        <w:tc>
          <w:tcPr>
            <w:tcW w:w="820" w:type="dxa"/>
            <w:vAlign w:val="bottom"/>
            <w:gridSpan w:val="2"/>
          </w:tcPr>
          <w:p>
            <w:pPr>
              <w:ind w:left="46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820" w:type="dxa"/>
            <w:vAlign w:val="bottom"/>
            <w:gridSpan w:val="3"/>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15</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15</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16</w:t>
            </w:r>
          </w:p>
        </w:tc>
        <w:tc>
          <w:tcPr>
            <w:tcW w:w="120" w:type="dxa"/>
            <w:vAlign w:val="bottom"/>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3"/>
        </w:trPr>
        <w:tc>
          <w:tcPr>
            <w:tcW w:w="3040" w:type="dxa"/>
            <w:vAlign w:val="bottom"/>
            <w:shd w:val="clear" w:color="auto" w:fill="CFF0FC"/>
          </w:tcPr>
          <w:p>
            <w:pPr>
              <w:spacing w:after="0"/>
              <w:rPr>
                <w:sz w:val="20"/>
                <w:szCs w:val="20"/>
                <w:color w:val="auto"/>
              </w:rPr>
            </w:pPr>
            <w:r>
              <w:rPr>
                <w:rFonts w:ascii="Arial" w:cs="Arial" w:eastAsia="Arial" w:hAnsi="Arial"/>
                <w:sz w:val="15"/>
                <w:szCs w:val="15"/>
                <w:color w:val="auto"/>
              </w:rPr>
              <w:t>Other comprehensive loss (net of tax):</w:t>
            </w:r>
          </w:p>
        </w:tc>
        <w:tc>
          <w:tcPr>
            <w:tcW w:w="8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040" w:type="dxa"/>
            <w:vAlign w:val="bottom"/>
          </w:tcPr>
          <w:p>
            <w:pPr>
              <w:ind w:left="220"/>
              <w:spacing w:after="0"/>
              <w:rPr>
                <w:sz w:val="20"/>
                <w:szCs w:val="20"/>
                <w:color w:val="auto"/>
              </w:rPr>
            </w:pPr>
            <w:r>
              <w:rPr>
                <w:rFonts w:ascii="Arial" w:cs="Arial" w:eastAsia="Arial" w:hAnsi="Arial"/>
                <w:sz w:val="15"/>
                <w:szCs w:val="15"/>
                <w:color w:val="auto"/>
              </w:rPr>
              <w:t>Currency translation adjustments</w:t>
            </w:r>
          </w:p>
        </w:tc>
        <w:tc>
          <w:tcPr>
            <w:tcW w:w="80" w:type="dxa"/>
            <w:vAlign w:val="bottom"/>
          </w:tcPr>
          <w:p>
            <w:pPr>
              <w:spacing w:after="0"/>
              <w:rPr>
                <w:sz w:val="16"/>
                <w:szCs w:val="16"/>
                <w:color w:val="auto"/>
              </w:rPr>
            </w:pPr>
          </w:p>
        </w:tc>
        <w:tc>
          <w:tcPr>
            <w:tcW w:w="820" w:type="dxa"/>
            <w:vAlign w:val="bottom"/>
            <w:gridSpan w:val="2"/>
          </w:tcPr>
          <w:p>
            <w:pPr>
              <w:ind w:left="46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820" w:type="dxa"/>
            <w:vAlign w:val="bottom"/>
            <w:gridSpan w:val="3"/>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5"/>
                <w:szCs w:val="15"/>
                <w:color w:val="auto"/>
              </w:rPr>
              <w:t>(29)</w:t>
            </w:r>
          </w:p>
        </w:tc>
        <w:tc>
          <w:tcPr>
            <w:tcW w:w="10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5"/>
                <w:szCs w:val="15"/>
                <w:color w:val="auto"/>
              </w:rPr>
              <w:t>(29)</w:t>
            </w:r>
          </w:p>
        </w:tc>
        <w:tc>
          <w:tcPr>
            <w:tcW w:w="80" w:type="dxa"/>
            <w:vAlign w:val="bottom"/>
          </w:tcPr>
          <w:p>
            <w:pPr>
              <w:spacing w:after="0"/>
              <w:rPr>
                <w:sz w:val="16"/>
                <w:szCs w:val="16"/>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5"/>
                <w:szCs w:val="15"/>
                <w:color w:val="auto"/>
              </w:rPr>
              <w:t>(29)</w:t>
            </w:r>
          </w:p>
        </w:tc>
        <w:tc>
          <w:tcPr>
            <w:tcW w:w="8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8"/>
        </w:trPr>
        <w:tc>
          <w:tcPr>
            <w:tcW w:w="3040" w:type="dxa"/>
            <w:vAlign w:val="bottom"/>
            <w:shd w:val="clear" w:color="auto" w:fill="CFF0FC"/>
          </w:tcPr>
          <w:p>
            <w:pPr>
              <w:ind w:left="220"/>
              <w:spacing w:after="0"/>
              <w:rPr>
                <w:sz w:val="20"/>
                <w:szCs w:val="20"/>
                <w:color w:val="auto"/>
              </w:rPr>
            </w:pPr>
            <w:r>
              <w:rPr>
                <w:rFonts w:ascii="Arial" w:cs="Arial" w:eastAsia="Arial" w:hAnsi="Arial"/>
                <w:sz w:val="15"/>
                <w:szCs w:val="15"/>
                <w:color w:val="auto"/>
              </w:rPr>
              <w:t>Reclassification of realized gains</w:t>
            </w:r>
          </w:p>
        </w:tc>
        <w:tc>
          <w:tcPr>
            <w:tcW w:w="8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040" w:type="dxa"/>
            <w:vAlign w:val="bottom"/>
            <w:shd w:val="clear" w:color="auto" w:fill="CFF0FC"/>
          </w:tcPr>
          <w:p>
            <w:pPr>
              <w:ind w:left="340"/>
              <w:spacing w:after="0"/>
              <w:rPr>
                <w:sz w:val="20"/>
                <w:szCs w:val="20"/>
                <w:color w:val="auto"/>
              </w:rPr>
            </w:pPr>
            <w:r>
              <w:rPr>
                <w:rFonts w:ascii="Arial" w:cs="Arial" w:eastAsia="Arial" w:hAnsi="Arial"/>
                <w:sz w:val="15"/>
                <w:szCs w:val="15"/>
                <w:color w:val="auto"/>
              </w:rPr>
              <w:t>on available-for-sale securities</w:t>
            </w:r>
          </w:p>
        </w:tc>
        <w:tc>
          <w:tcPr>
            <w:tcW w:w="8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040" w:type="dxa"/>
            <w:vAlign w:val="bottom"/>
            <w:shd w:val="clear" w:color="auto" w:fill="CFF0FC"/>
          </w:tcPr>
          <w:p>
            <w:pPr>
              <w:ind w:left="340"/>
              <w:spacing w:after="0"/>
              <w:rPr>
                <w:sz w:val="20"/>
                <w:szCs w:val="20"/>
                <w:color w:val="auto"/>
              </w:rPr>
            </w:pPr>
            <w:r>
              <w:rPr>
                <w:rFonts w:ascii="Arial" w:cs="Arial" w:eastAsia="Arial" w:hAnsi="Arial"/>
                <w:sz w:val="15"/>
                <w:szCs w:val="15"/>
                <w:color w:val="auto"/>
              </w:rPr>
              <w:t>included in net earnings,</w:t>
            </w:r>
          </w:p>
        </w:tc>
        <w:tc>
          <w:tcPr>
            <w:tcW w:w="8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3040" w:type="dxa"/>
            <w:vAlign w:val="bottom"/>
            <w:shd w:val="clear" w:color="auto" w:fill="CFF0FC"/>
          </w:tcPr>
          <w:p>
            <w:pPr>
              <w:ind w:left="340"/>
              <w:spacing w:after="0"/>
              <w:rPr>
                <w:sz w:val="20"/>
                <w:szCs w:val="20"/>
                <w:color w:val="auto"/>
              </w:rPr>
            </w:pPr>
            <w:r>
              <w:rPr>
                <w:rFonts w:ascii="Arial" w:cs="Arial" w:eastAsia="Arial" w:hAnsi="Arial"/>
                <w:sz w:val="15"/>
                <w:szCs w:val="15"/>
                <w:color w:val="auto"/>
              </w:rPr>
              <w:t>net of tax</w:t>
            </w:r>
          </w:p>
        </w:tc>
        <w:tc>
          <w:tcPr>
            <w:tcW w:w="80" w:type="dxa"/>
            <w:vAlign w:val="bottom"/>
            <w:shd w:val="clear" w:color="auto" w:fill="CFF0FC"/>
          </w:tcPr>
          <w:p>
            <w:pPr>
              <w:spacing w:after="0"/>
              <w:rPr>
                <w:sz w:val="17"/>
                <w:szCs w:val="17"/>
                <w:color w:val="auto"/>
              </w:rPr>
            </w:pPr>
          </w:p>
        </w:tc>
        <w:tc>
          <w:tcPr>
            <w:tcW w:w="820" w:type="dxa"/>
            <w:vAlign w:val="bottom"/>
            <w:gridSpan w:val="2"/>
            <w:shd w:val="clear" w:color="auto" w:fill="CFF0FC"/>
          </w:tcPr>
          <w:p>
            <w:pPr>
              <w:ind w:left="46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7"/>
                <w:szCs w:val="17"/>
                <w:color w:val="auto"/>
              </w:rPr>
            </w:pPr>
          </w:p>
        </w:tc>
        <w:tc>
          <w:tcPr>
            <w:tcW w:w="820" w:type="dxa"/>
            <w:vAlign w:val="bottom"/>
            <w:gridSpan w:val="3"/>
            <w:shd w:val="clear" w:color="auto" w:fill="CFF0FC"/>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(2)</w:t>
            </w:r>
          </w:p>
        </w:tc>
        <w:tc>
          <w:tcPr>
            <w:tcW w:w="10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(2)</w:t>
            </w:r>
          </w:p>
        </w:tc>
        <w:tc>
          <w:tcPr>
            <w:tcW w:w="8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shd w:val="clear" w:color="auto" w:fill="CFF0FC"/>
          </w:tcPr>
          <w:p>
            <w:pPr>
              <w:spacing w:after="0"/>
              <w:rPr>
                <w:sz w:val="17"/>
                <w:szCs w:val="17"/>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(2)</w:t>
            </w:r>
          </w:p>
        </w:tc>
        <w:tc>
          <w:tcPr>
            <w:tcW w:w="80" w:type="dxa"/>
            <w:vAlign w:val="bottom"/>
            <w:tcBorders>
              <w:right w:val="single" w:sz="8" w:color="auto"/>
            </w:tcBorders>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8"/>
        </w:trPr>
        <w:tc>
          <w:tcPr>
            <w:tcW w:w="3040" w:type="dxa"/>
            <w:vAlign w:val="bottom"/>
          </w:tcPr>
          <w:p>
            <w:pPr>
              <w:ind w:left="220"/>
              <w:spacing w:after="0"/>
              <w:rPr>
                <w:sz w:val="20"/>
                <w:szCs w:val="20"/>
                <w:color w:val="auto"/>
              </w:rPr>
            </w:pPr>
            <w:r>
              <w:rPr>
                <w:rFonts w:ascii="Arial" w:cs="Arial" w:eastAsia="Arial" w:hAnsi="Arial"/>
                <w:sz w:val="15"/>
                <w:szCs w:val="15"/>
                <w:color w:val="auto"/>
              </w:rPr>
              <w:t>Pension and other postretirement</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3040" w:type="dxa"/>
            <w:vAlign w:val="bottom"/>
          </w:tcPr>
          <w:p>
            <w:pPr>
              <w:ind w:left="340"/>
              <w:spacing w:after="0"/>
              <w:rPr>
                <w:sz w:val="20"/>
                <w:szCs w:val="20"/>
                <w:color w:val="auto"/>
              </w:rPr>
            </w:pPr>
            <w:r>
              <w:rPr>
                <w:rFonts w:ascii="Arial" w:cs="Arial" w:eastAsia="Arial" w:hAnsi="Arial"/>
                <w:sz w:val="15"/>
                <w:szCs w:val="15"/>
                <w:color w:val="auto"/>
              </w:rPr>
              <w:t>liability adjustments</w:t>
            </w:r>
          </w:p>
        </w:tc>
        <w:tc>
          <w:tcPr>
            <w:tcW w:w="80" w:type="dxa"/>
            <w:vAlign w:val="bottom"/>
          </w:tcPr>
          <w:p>
            <w:pPr>
              <w:spacing w:after="0"/>
              <w:rPr>
                <w:sz w:val="16"/>
                <w:szCs w:val="16"/>
                <w:color w:val="auto"/>
              </w:rPr>
            </w:pPr>
          </w:p>
        </w:tc>
        <w:tc>
          <w:tcPr>
            <w:tcW w:w="820" w:type="dxa"/>
            <w:vAlign w:val="bottom"/>
            <w:gridSpan w:val="2"/>
          </w:tcPr>
          <w:p>
            <w:pPr>
              <w:ind w:left="46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820" w:type="dxa"/>
            <w:vAlign w:val="bottom"/>
            <w:gridSpan w:val="3"/>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5"/>
                <w:szCs w:val="15"/>
                <w:color w:val="auto"/>
              </w:rPr>
              <w:t>(140)</w:t>
            </w:r>
          </w:p>
        </w:tc>
        <w:tc>
          <w:tcPr>
            <w:tcW w:w="10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5"/>
                <w:szCs w:val="15"/>
                <w:color w:val="auto"/>
              </w:rPr>
              <w:t>(140)</w:t>
            </w:r>
          </w:p>
        </w:tc>
        <w:tc>
          <w:tcPr>
            <w:tcW w:w="80" w:type="dxa"/>
            <w:vAlign w:val="bottom"/>
          </w:tcPr>
          <w:p>
            <w:pPr>
              <w:spacing w:after="0"/>
              <w:rPr>
                <w:sz w:val="16"/>
                <w:szCs w:val="16"/>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5"/>
                <w:szCs w:val="15"/>
                <w:color w:val="auto"/>
              </w:rPr>
              <w:t>(140)</w:t>
            </w:r>
          </w:p>
        </w:tc>
        <w:tc>
          <w:tcPr>
            <w:tcW w:w="8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0"/>
        </w:trPr>
        <w:tc>
          <w:tcPr>
            <w:tcW w:w="3040" w:type="dxa"/>
            <w:vAlign w:val="bottom"/>
            <w:shd w:val="clear" w:color="auto" w:fill="CFF0FC"/>
          </w:tcPr>
          <w:p>
            <w:pPr>
              <w:spacing w:after="0"/>
              <w:rPr>
                <w:sz w:val="20"/>
                <w:szCs w:val="20"/>
                <w:color w:val="auto"/>
              </w:rPr>
            </w:pPr>
            <w:r>
              <w:rPr>
                <w:rFonts w:ascii="Arial" w:cs="Arial" w:eastAsia="Arial" w:hAnsi="Arial"/>
                <w:sz w:val="15"/>
                <w:szCs w:val="15"/>
                <w:color w:val="auto"/>
              </w:rPr>
              <w:t>Issuance of redeemable, convertible</w:t>
            </w:r>
          </w:p>
        </w:tc>
        <w:tc>
          <w:tcPr>
            <w:tcW w:w="8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040" w:type="dxa"/>
            <w:vAlign w:val="bottom"/>
            <w:shd w:val="clear" w:color="auto" w:fill="CFF0FC"/>
          </w:tcPr>
          <w:p>
            <w:pPr>
              <w:ind w:left="80"/>
              <w:spacing w:after="0"/>
              <w:rPr>
                <w:sz w:val="20"/>
                <w:szCs w:val="20"/>
                <w:color w:val="auto"/>
              </w:rPr>
            </w:pPr>
            <w:r>
              <w:rPr>
                <w:rFonts w:ascii="Arial" w:cs="Arial" w:eastAsia="Arial" w:hAnsi="Arial"/>
                <w:sz w:val="15"/>
                <w:szCs w:val="15"/>
                <w:color w:val="auto"/>
              </w:rPr>
              <w:t>Series A preferred stock, net of</w:t>
            </w:r>
          </w:p>
        </w:tc>
        <w:tc>
          <w:tcPr>
            <w:tcW w:w="8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3040" w:type="dxa"/>
            <w:vAlign w:val="bottom"/>
            <w:shd w:val="clear" w:color="auto" w:fill="CFF0FC"/>
          </w:tcPr>
          <w:p>
            <w:pPr>
              <w:ind w:left="80"/>
              <w:spacing w:after="0"/>
              <w:rPr>
                <w:sz w:val="20"/>
                <w:szCs w:val="20"/>
                <w:color w:val="auto"/>
              </w:rPr>
            </w:pPr>
            <w:r>
              <w:rPr>
                <w:rFonts w:ascii="Arial" w:cs="Arial" w:eastAsia="Arial" w:hAnsi="Arial"/>
                <w:sz w:val="15"/>
                <w:szCs w:val="15"/>
                <w:color w:val="auto"/>
              </w:rPr>
              <w:t>offering costs</w:t>
            </w:r>
          </w:p>
        </w:tc>
        <w:tc>
          <w:tcPr>
            <w:tcW w:w="80" w:type="dxa"/>
            <w:vAlign w:val="bottom"/>
            <w:shd w:val="clear" w:color="auto" w:fill="CFF0FC"/>
          </w:tcPr>
          <w:p>
            <w:pPr>
              <w:spacing w:after="0"/>
              <w:rPr>
                <w:sz w:val="17"/>
                <w:szCs w:val="17"/>
                <w:color w:val="auto"/>
              </w:rPr>
            </w:pPr>
          </w:p>
        </w:tc>
        <w:tc>
          <w:tcPr>
            <w:tcW w:w="820" w:type="dxa"/>
            <w:vAlign w:val="bottom"/>
            <w:gridSpan w:val="2"/>
            <w:shd w:val="clear" w:color="auto" w:fill="CFF0FC"/>
          </w:tcPr>
          <w:p>
            <w:pPr>
              <w:ind w:left="46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7"/>
                <w:szCs w:val="17"/>
                <w:color w:val="auto"/>
              </w:rPr>
            </w:pPr>
          </w:p>
        </w:tc>
        <w:tc>
          <w:tcPr>
            <w:tcW w:w="820" w:type="dxa"/>
            <w:vAlign w:val="bottom"/>
            <w:gridSpan w:val="3"/>
            <w:shd w:val="clear" w:color="auto" w:fill="CFF0FC"/>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shd w:val="clear" w:color="auto" w:fill="CFF0FC"/>
          </w:tcPr>
          <w:p>
            <w:pPr>
              <w:spacing w:after="0"/>
              <w:rPr>
                <w:sz w:val="17"/>
                <w:szCs w:val="17"/>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80" w:type="dxa"/>
            <w:vAlign w:val="bottom"/>
            <w:tcBorders>
              <w:right w:val="single" w:sz="8" w:color="auto"/>
            </w:tcBorders>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155</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3040" w:type="dxa"/>
            <w:vAlign w:val="bottom"/>
          </w:tcPr>
          <w:p>
            <w:pPr>
              <w:spacing w:after="0"/>
              <w:rPr>
                <w:sz w:val="20"/>
                <w:szCs w:val="20"/>
                <w:color w:val="auto"/>
              </w:rPr>
            </w:pPr>
            <w:r>
              <w:rPr>
                <w:rFonts w:ascii="Arial" w:cs="Arial" w:eastAsia="Arial" w:hAnsi="Arial"/>
                <w:sz w:val="15"/>
                <w:szCs w:val="15"/>
                <w:color w:val="auto"/>
              </w:rPr>
              <w:t>Series A preferred stock cash</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3040" w:type="dxa"/>
            <w:vAlign w:val="bottom"/>
          </w:tcPr>
          <w:p>
            <w:pPr>
              <w:ind w:left="120"/>
              <w:spacing w:after="0"/>
              <w:rPr>
                <w:sz w:val="20"/>
                <w:szCs w:val="20"/>
                <w:color w:val="auto"/>
              </w:rPr>
            </w:pPr>
            <w:r>
              <w:rPr>
                <w:rFonts w:ascii="Arial" w:cs="Arial" w:eastAsia="Arial" w:hAnsi="Arial"/>
                <w:sz w:val="15"/>
                <w:szCs w:val="15"/>
                <w:color w:val="auto"/>
              </w:rPr>
              <w:t>dividends</w:t>
            </w:r>
          </w:p>
        </w:tc>
        <w:tc>
          <w:tcPr>
            <w:tcW w:w="80" w:type="dxa"/>
            <w:vAlign w:val="bottom"/>
          </w:tcPr>
          <w:p>
            <w:pPr>
              <w:spacing w:after="0"/>
              <w:rPr>
                <w:sz w:val="16"/>
                <w:szCs w:val="16"/>
                <w:color w:val="auto"/>
              </w:rPr>
            </w:pPr>
          </w:p>
        </w:tc>
        <w:tc>
          <w:tcPr>
            <w:tcW w:w="820" w:type="dxa"/>
            <w:vAlign w:val="bottom"/>
            <w:gridSpan w:val="2"/>
          </w:tcPr>
          <w:p>
            <w:pPr>
              <w:ind w:left="46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5"/>
                <w:szCs w:val="15"/>
                <w:color w:val="auto"/>
              </w:rPr>
              <w:t>(2)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5"/>
                <w:szCs w:val="15"/>
                <w:color w:val="auto"/>
              </w:rPr>
              <w:t>(2)</w:t>
            </w:r>
          </w:p>
        </w:tc>
        <w:tc>
          <w:tcPr>
            <w:tcW w:w="80" w:type="dxa"/>
            <w:vAlign w:val="bottom"/>
          </w:tcPr>
          <w:p>
            <w:pPr>
              <w:spacing w:after="0"/>
              <w:rPr>
                <w:sz w:val="16"/>
                <w:szCs w:val="16"/>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5"/>
                <w:szCs w:val="15"/>
                <w:color w:val="auto"/>
              </w:rPr>
              <w:t>(2)</w:t>
            </w:r>
          </w:p>
        </w:tc>
        <w:tc>
          <w:tcPr>
            <w:tcW w:w="8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0"/>
        </w:trPr>
        <w:tc>
          <w:tcPr>
            <w:tcW w:w="3040" w:type="dxa"/>
            <w:vAlign w:val="bottom"/>
            <w:shd w:val="clear" w:color="auto" w:fill="CFF0FC"/>
          </w:tcPr>
          <w:p>
            <w:pPr>
              <w:spacing w:after="0"/>
              <w:rPr>
                <w:sz w:val="20"/>
                <w:szCs w:val="20"/>
                <w:color w:val="auto"/>
              </w:rPr>
            </w:pPr>
            <w:r>
              <w:rPr>
                <w:rFonts w:ascii="Arial" w:cs="Arial" w:eastAsia="Arial" w:hAnsi="Arial"/>
                <w:sz w:val="15"/>
                <w:szCs w:val="15"/>
                <w:color w:val="auto"/>
              </w:rPr>
              <w:t>Series A preferred stock deemed</w:t>
            </w:r>
          </w:p>
        </w:tc>
        <w:tc>
          <w:tcPr>
            <w:tcW w:w="8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3040" w:type="dxa"/>
            <w:vAlign w:val="bottom"/>
            <w:shd w:val="clear" w:color="auto" w:fill="CFF0FC"/>
          </w:tcPr>
          <w:p>
            <w:pPr>
              <w:ind w:left="120"/>
              <w:spacing w:after="0"/>
              <w:rPr>
                <w:sz w:val="20"/>
                <w:szCs w:val="20"/>
                <w:color w:val="auto"/>
              </w:rPr>
            </w:pPr>
            <w:r>
              <w:rPr>
                <w:rFonts w:ascii="Arial" w:cs="Arial" w:eastAsia="Arial" w:hAnsi="Arial"/>
                <w:sz w:val="15"/>
                <w:szCs w:val="15"/>
                <w:color w:val="auto"/>
              </w:rPr>
              <w:t>dividends</w:t>
            </w:r>
          </w:p>
        </w:tc>
        <w:tc>
          <w:tcPr>
            <w:tcW w:w="80" w:type="dxa"/>
            <w:vAlign w:val="bottom"/>
            <w:shd w:val="clear" w:color="auto" w:fill="CFF0FC"/>
          </w:tcPr>
          <w:p>
            <w:pPr>
              <w:spacing w:after="0"/>
              <w:rPr>
                <w:sz w:val="17"/>
                <w:szCs w:val="17"/>
                <w:color w:val="auto"/>
              </w:rPr>
            </w:pPr>
          </w:p>
        </w:tc>
        <w:tc>
          <w:tcPr>
            <w:tcW w:w="820" w:type="dxa"/>
            <w:vAlign w:val="bottom"/>
            <w:gridSpan w:val="2"/>
            <w:shd w:val="clear" w:color="auto" w:fill="CFF0FC"/>
          </w:tcPr>
          <w:p>
            <w:pPr>
              <w:ind w:left="46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(1)</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(1)</w:t>
            </w:r>
          </w:p>
        </w:tc>
        <w:tc>
          <w:tcPr>
            <w:tcW w:w="8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shd w:val="clear" w:color="auto" w:fill="CFF0FC"/>
          </w:tcPr>
          <w:p>
            <w:pPr>
              <w:spacing w:after="0"/>
              <w:rPr>
                <w:sz w:val="17"/>
                <w:szCs w:val="17"/>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(1)</w:t>
            </w:r>
          </w:p>
        </w:tc>
        <w:tc>
          <w:tcPr>
            <w:tcW w:w="80" w:type="dxa"/>
            <w:vAlign w:val="bottom"/>
            <w:tcBorders>
              <w:right w:val="single" w:sz="8" w:color="auto"/>
            </w:tcBorders>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040" w:type="dxa"/>
            <w:vAlign w:val="bottom"/>
          </w:tcPr>
          <w:p>
            <w:pPr>
              <w:spacing w:after="0"/>
              <w:rPr>
                <w:sz w:val="20"/>
                <w:szCs w:val="20"/>
                <w:color w:val="auto"/>
              </w:rPr>
            </w:pPr>
            <w:r>
              <w:rPr>
                <w:rFonts w:ascii="Arial" w:cs="Arial" w:eastAsia="Arial" w:hAnsi="Arial"/>
                <w:sz w:val="15"/>
                <w:szCs w:val="15"/>
                <w:color w:val="auto"/>
              </w:rPr>
              <w:t>Stock-based compensation</w:t>
            </w:r>
          </w:p>
        </w:tc>
        <w:tc>
          <w:tcPr>
            <w:tcW w:w="80" w:type="dxa"/>
            <w:vAlign w:val="bottom"/>
          </w:tcPr>
          <w:p>
            <w:pPr>
              <w:spacing w:after="0"/>
              <w:rPr>
                <w:sz w:val="16"/>
                <w:szCs w:val="16"/>
                <w:color w:val="auto"/>
              </w:rPr>
            </w:pPr>
          </w:p>
        </w:tc>
        <w:tc>
          <w:tcPr>
            <w:tcW w:w="820" w:type="dxa"/>
            <w:vAlign w:val="bottom"/>
            <w:gridSpan w:val="2"/>
          </w:tcPr>
          <w:p>
            <w:pPr>
              <w:ind w:left="46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9</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9</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9</w:t>
            </w:r>
          </w:p>
        </w:tc>
        <w:tc>
          <w:tcPr>
            <w:tcW w:w="120" w:type="dxa"/>
            <w:vAlign w:val="bottom"/>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8"/>
        </w:trPr>
        <w:tc>
          <w:tcPr>
            <w:tcW w:w="3040" w:type="dxa"/>
            <w:vAlign w:val="bottom"/>
            <w:shd w:val="clear" w:color="auto" w:fill="CFF0FC"/>
          </w:tcPr>
          <w:p>
            <w:pPr>
              <w:spacing w:after="0"/>
              <w:rPr>
                <w:sz w:val="20"/>
                <w:szCs w:val="20"/>
                <w:color w:val="auto"/>
              </w:rPr>
            </w:pPr>
            <w:r>
              <w:rPr>
                <w:rFonts w:ascii="Arial" w:cs="Arial" w:eastAsia="Arial" w:hAnsi="Arial"/>
                <w:sz w:val="15"/>
                <w:szCs w:val="15"/>
                <w:color w:val="auto"/>
              </w:rPr>
              <w:t>Stock issued to settle 2015 incentive</w:t>
            </w:r>
          </w:p>
        </w:tc>
        <w:tc>
          <w:tcPr>
            <w:tcW w:w="8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3040" w:type="dxa"/>
            <w:vAlign w:val="bottom"/>
            <w:shd w:val="clear" w:color="auto" w:fill="CFF0FC"/>
          </w:tcPr>
          <w:p>
            <w:pPr>
              <w:spacing w:after="0"/>
              <w:rPr>
                <w:sz w:val="20"/>
                <w:szCs w:val="20"/>
                <w:color w:val="auto"/>
              </w:rPr>
            </w:pPr>
            <w:r>
              <w:rPr>
                <w:rFonts w:ascii="Arial" w:cs="Arial" w:eastAsia="Arial" w:hAnsi="Arial"/>
                <w:sz w:val="15"/>
                <w:szCs w:val="15"/>
                <w:color w:val="auto"/>
              </w:rPr>
              <w:t>compensation</w:t>
            </w:r>
          </w:p>
        </w:tc>
        <w:tc>
          <w:tcPr>
            <w:tcW w:w="80" w:type="dxa"/>
            <w:vAlign w:val="bottom"/>
            <w:shd w:val="clear" w:color="auto" w:fill="CFF0FC"/>
          </w:tcPr>
          <w:p>
            <w:pPr>
              <w:spacing w:after="0"/>
              <w:rPr>
                <w:sz w:val="17"/>
                <w:szCs w:val="17"/>
                <w:color w:val="auto"/>
              </w:rPr>
            </w:pPr>
          </w:p>
        </w:tc>
        <w:tc>
          <w:tcPr>
            <w:tcW w:w="820" w:type="dxa"/>
            <w:vAlign w:val="bottom"/>
            <w:gridSpan w:val="2"/>
            <w:shd w:val="clear" w:color="auto" w:fill="CFF0FC"/>
          </w:tcPr>
          <w:p>
            <w:pPr>
              <w:ind w:left="46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w:t>
            </w: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w:t>
            </w:r>
          </w:p>
        </w:tc>
        <w:tc>
          <w:tcPr>
            <w:tcW w:w="2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w:t>
            </w:r>
          </w:p>
        </w:tc>
        <w:tc>
          <w:tcPr>
            <w:tcW w:w="120" w:type="dxa"/>
            <w:vAlign w:val="bottom"/>
            <w:shd w:val="clear" w:color="auto" w:fill="CFF0FC"/>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8"/>
        </w:trPr>
        <w:tc>
          <w:tcPr>
            <w:tcW w:w="3040" w:type="dxa"/>
            <w:vAlign w:val="bottom"/>
          </w:tcPr>
          <w:p>
            <w:pPr>
              <w:spacing w:after="0"/>
              <w:rPr>
                <w:sz w:val="20"/>
                <w:szCs w:val="20"/>
                <w:color w:val="auto"/>
              </w:rPr>
            </w:pPr>
            <w:r>
              <w:rPr>
                <w:rFonts w:ascii="Arial" w:cs="Arial" w:eastAsia="Arial" w:hAnsi="Arial"/>
                <w:sz w:val="15"/>
                <w:szCs w:val="15"/>
                <w:color w:val="auto"/>
              </w:rPr>
              <w:t>Purchases of treasury stock,</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3040" w:type="dxa"/>
            <w:vAlign w:val="bottom"/>
          </w:tcPr>
          <w:p>
            <w:pPr>
              <w:ind w:left="120"/>
              <w:spacing w:after="0"/>
              <w:rPr>
                <w:sz w:val="20"/>
                <w:szCs w:val="20"/>
                <w:color w:val="auto"/>
              </w:rPr>
            </w:pPr>
            <w:r>
              <w:rPr>
                <w:rFonts w:ascii="Arial" w:cs="Arial" w:eastAsia="Arial" w:hAnsi="Arial"/>
                <w:sz w:val="15"/>
                <w:szCs w:val="15"/>
                <w:color w:val="auto"/>
              </w:rPr>
              <w:t xml:space="preserve">(175,715 shares) </w:t>
            </w:r>
            <w:r>
              <w:rPr>
                <w:rFonts w:ascii="Arial" w:cs="Arial" w:eastAsia="Arial" w:hAnsi="Arial"/>
                <w:sz w:val="13"/>
                <w:szCs w:val="13"/>
                <w:color w:val="auto"/>
              </w:rPr>
              <w:t>(2)</w:t>
            </w:r>
          </w:p>
        </w:tc>
        <w:tc>
          <w:tcPr>
            <w:tcW w:w="80" w:type="dxa"/>
            <w:vAlign w:val="bottom"/>
          </w:tcPr>
          <w:p>
            <w:pPr>
              <w:spacing w:after="0"/>
              <w:rPr>
                <w:sz w:val="16"/>
                <w:szCs w:val="16"/>
                <w:color w:val="auto"/>
              </w:rPr>
            </w:pPr>
          </w:p>
        </w:tc>
        <w:tc>
          <w:tcPr>
            <w:tcW w:w="820" w:type="dxa"/>
            <w:vAlign w:val="bottom"/>
            <w:gridSpan w:val="2"/>
          </w:tcPr>
          <w:p>
            <w:pPr>
              <w:ind w:left="46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820" w:type="dxa"/>
            <w:vAlign w:val="bottom"/>
            <w:gridSpan w:val="3"/>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5"/>
                <w:szCs w:val="15"/>
                <w:color w:val="auto"/>
              </w:rPr>
              <w:t>(3)</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5"/>
                <w:szCs w:val="15"/>
                <w:color w:val="auto"/>
              </w:rPr>
              <w:t>(3)</w:t>
            </w:r>
          </w:p>
        </w:tc>
        <w:tc>
          <w:tcPr>
            <w:tcW w:w="80" w:type="dxa"/>
            <w:vAlign w:val="bottom"/>
          </w:tcPr>
          <w:p>
            <w:pPr>
              <w:spacing w:after="0"/>
              <w:rPr>
                <w:sz w:val="16"/>
                <w:szCs w:val="16"/>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5"/>
                <w:szCs w:val="15"/>
                <w:color w:val="auto"/>
              </w:rPr>
              <w:t>(3)</w:t>
            </w:r>
          </w:p>
        </w:tc>
        <w:tc>
          <w:tcPr>
            <w:tcW w:w="8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6"/>
        </w:trPr>
        <w:tc>
          <w:tcPr>
            <w:tcW w:w="3040" w:type="dxa"/>
            <w:vAlign w:val="bottom"/>
            <w:shd w:val="clear" w:color="auto" w:fill="CFF0FC"/>
          </w:tcPr>
          <w:p>
            <w:pPr>
              <w:spacing w:after="0"/>
              <w:rPr>
                <w:sz w:val="20"/>
                <w:szCs w:val="20"/>
                <w:color w:val="auto"/>
              </w:rPr>
            </w:pPr>
            <w:r>
              <w:rPr>
                <w:rFonts w:ascii="Arial" w:cs="Arial" w:eastAsia="Arial" w:hAnsi="Arial"/>
                <w:sz w:val="15"/>
                <w:szCs w:val="15"/>
                <w:color w:val="auto"/>
              </w:rPr>
              <w:t>Deconsolidation of RED</w:t>
            </w:r>
          </w:p>
        </w:tc>
        <w:tc>
          <w:tcPr>
            <w:tcW w:w="80" w:type="dxa"/>
            <w:vAlign w:val="bottom"/>
            <w:shd w:val="clear" w:color="auto" w:fill="CFF0FC"/>
          </w:tcPr>
          <w:p>
            <w:pPr>
              <w:spacing w:after="0"/>
              <w:rPr>
                <w:sz w:val="17"/>
                <w:szCs w:val="17"/>
                <w:color w:val="auto"/>
              </w:rPr>
            </w:pPr>
          </w:p>
        </w:tc>
        <w:tc>
          <w:tcPr>
            <w:tcW w:w="620" w:type="dxa"/>
            <w:vAlign w:val="bottom"/>
            <w:shd w:val="clear" w:color="auto" w:fill="CFF0FC"/>
          </w:tcPr>
          <w:p>
            <w:pPr>
              <w:ind w:left="460"/>
              <w:spacing w:after="0"/>
              <w:rPr>
                <w:sz w:val="20"/>
                <w:szCs w:val="20"/>
                <w:color w:val="auto"/>
              </w:rPr>
            </w:pPr>
            <w:r>
              <w:rPr>
                <w:rFonts w:ascii="Arial" w:cs="Arial" w:eastAsia="Arial" w:hAnsi="Arial"/>
                <w:sz w:val="15"/>
                <w:szCs w:val="15"/>
                <w:color w:val="auto"/>
                <w:w w:val="93"/>
              </w:rPr>
              <w:t>—</w:t>
            </w:r>
          </w:p>
        </w:tc>
        <w:tc>
          <w:tcPr>
            <w:tcW w:w="2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(41)</w:t>
            </w:r>
          </w:p>
        </w:tc>
        <w:tc>
          <w:tcPr>
            <w:tcW w:w="160" w:type="dxa"/>
            <w:vAlign w:val="bottom"/>
            <w:shd w:val="clear" w:color="auto" w:fill="CFF0FC"/>
          </w:tcPr>
          <w:p>
            <w:pPr>
              <w:spacing w:after="0"/>
              <w:rPr>
                <w:sz w:val="17"/>
                <w:szCs w:val="17"/>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(41)</w:t>
            </w:r>
          </w:p>
        </w:tc>
        <w:tc>
          <w:tcPr>
            <w:tcW w:w="80" w:type="dxa"/>
            <w:vAlign w:val="bottom"/>
            <w:tcBorders>
              <w:right w:val="single" w:sz="8" w:color="auto"/>
            </w:tcBorders>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3040" w:type="dxa"/>
            <w:vAlign w:val="bottom"/>
            <w:vMerge w:val="restart"/>
          </w:tcPr>
          <w:p>
            <w:pPr>
              <w:spacing w:after="0"/>
              <w:rPr>
                <w:sz w:val="20"/>
                <w:szCs w:val="20"/>
                <w:color w:val="auto"/>
              </w:rPr>
            </w:pPr>
            <w:r>
              <w:rPr>
                <w:rFonts w:ascii="Arial" w:cs="Arial" w:eastAsia="Arial" w:hAnsi="Arial"/>
                <w:sz w:val="15"/>
                <w:szCs w:val="15"/>
                <w:color w:val="auto"/>
              </w:rPr>
              <w:t>Equity (deficit) as of December 31, 2016</w:t>
            </w: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80" w:type="dxa"/>
            <w:vAlign w:val="bottom"/>
            <w:tcBorders>
              <w:right w:val="single" w:sz="8" w:color="auto"/>
            </w:tcBorders>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3040" w:type="dxa"/>
            <w:vAlign w:val="bottom"/>
            <w:vMerge w:val="continue"/>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Pr>
          <w:p>
            <w:pPr>
              <w:ind w:left="460"/>
              <w:spacing w:after="0"/>
              <w:rPr>
                <w:sz w:val="20"/>
                <w:szCs w:val="20"/>
                <w:color w:val="auto"/>
              </w:rPr>
            </w:pPr>
            <w:r>
              <w:rPr>
                <w:rFonts w:ascii="Arial" w:cs="Arial" w:eastAsia="Arial" w:hAnsi="Arial"/>
                <w:sz w:val="15"/>
                <w:szCs w:val="15"/>
                <w:color w:val="auto"/>
                <w:w w:val="93"/>
              </w:rPr>
              <w:t>—</w:t>
            </w:r>
          </w:p>
        </w:tc>
        <w:tc>
          <w:tcPr>
            <w:tcW w:w="200" w:type="dxa"/>
            <w:vAlign w:val="bottom"/>
            <w:vMerge w:val="continue"/>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641</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(268)</w:t>
            </w:r>
          </w:p>
        </w:tc>
        <w:tc>
          <w:tcPr>
            <w:tcW w:w="200" w:type="dxa"/>
            <w:vAlign w:val="bottom"/>
            <w:vMerge w:val="continue"/>
          </w:tcPr>
          <w:p>
            <w:pPr>
              <w:spacing w:after="0"/>
              <w:rPr>
                <w:sz w:val="16"/>
                <w:szCs w:val="16"/>
                <w:color w:val="auto"/>
              </w:rPr>
            </w:pPr>
          </w:p>
        </w:tc>
        <w:tc>
          <w:tcPr>
            <w:tcW w:w="160" w:type="dxa"/>
            <w:vAlign w:val="bottom"/>
          </w:tcPr>
          <w:p>
            <w:pPr>
              <w:spacing w:after="0"/>
              <w:rPr>
                <w:sz w:val="20"/>
                <w:szCs w:val="20"/>
                <w:color w:val="auto"/>
              </w:rPr>
            </w:pPr>
            <w:r>
              <w:rPr>
                <w:rFonts w:ascii="Arial" w:cs="Arial" w:eastAsia="Arial" w:hAnsi="Arial"/>
                <w:sz w:val="15"/>
                <w:szCs w:val="15"/>
                <w:color w:val="auto"/>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(438)</w:t>
            </w:r>
          </w:p>
        </w:tc>
        <w:tc>
          <w:tcPr>
            <w:tcW w:w="180" w:type="dxa"/>
            <w:vAlign w:val="bottom"/>
            <w:vMerge w:val="continue"/>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80"/>
              <w:spacing w:after="0"/>
              <w:rPr>
                <w:sz w:val="20"/>
                <w:szCs w:val="20"/>
                <w:color w:val="auto"/>
              </w:rPr>
            </w:pPr>
            <w:r>
              <w:rPr>
                <w:rFonts w:ascii="Arial" w:cs="Arial" w:eastAsia="Arial" w:hAnsi="Arial"/>
                <w:sz w:val="15"/>
                <w:szCs w:val="15"/>
                <w:color w:val="auto"/>
              </w:rPr>
              <w:t>(8)</w:t>
            </w:r>
          </w:p>
        </w:tc>
        <w:tc>
          <w:tcPr>
            <w:tcW w:w="60" w:type="dxa"/>
            <w:vAlign w:val="bottom"/>
            <w:vMerge w:val="continue"/>
          </w:tcPr>
          <w:p>
            <w:pPr>
              <w:spacing w:after="0"/>
              <w:rPr>
                <w:sz w:val="16"/>
                <w:szCs w:val="16"/>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5"/>
                <w:szCs w:val="15"/>
                <w:color w:val="auto"/>
              </w:rPr>
              <w:t>(73)</w:t>
            </w:r>
          </w:p>
        </w:tc>
        <w:tc>
          <w:tcPr>
            <w:tcW w:w="200" w:type="dxa"/>
            <w:vAlign w:val="bottom"/>
            <w:vMerge w:val="continue"/>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vMerge w:val="continue"/>
          </w:tcPr>
          <w:p>
            <w:pPr>
              <w:spacing w:after="0"/>
              <w:rPr>
                <w:sz w:val="16"/>
                <w:szCs w:val="16"/>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5"/>
                <w:szCs w:val="15"/>
                <w:color w:val="auto"/>
              </w:rPr>
              <w:t>(73)</w:t>
            </w:r>
          </w:p>
        </w:tc>
        <w:tc>
          <w:tcPr>
            <w:tcW w:w="120" w:type="dxa"/>
            <w:vAlign w:val="bottom"/>
            <w:vMerge w:val="continue"/>
          </w:tcPr>
          <w:p>
            <w:pPr>
              <w:spacing w:after="0"/>
              <w:rPr>
                <w:sz w:val="16"/>
                <w:szCs w:val="16"/>
                <w:color w:val="auto"/>
              </w:rPr>
            </w:pPr>
          </w:p>
        </w:tc>
        <w:tc>
          <w:tcPr>
            <w:tcW w:w="80" w:type="dxa"/>
            <w:vAlign w:val="bottom"/>
            <w:tcBorders>
              <w:right w:val="single" w:sz="8" w:color="auto"/>
            </w:tcBorders>
            <w:vMerge w:val="continue"/>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156</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62865</wp:posOffset>
            </wp:positionV>
            <wp:extent cx="7301865" cy="406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301865" cy="40640"/>
                    </a:xfrm>
                    <a:prstGeom prst="rect">
                      <a:avLst/>
                    </a:prstGeom>
                    <a:noFill/>
                  </pic:spPr>
                </pic:pic>
              </a:graphicData>
            </a:graphic>
          </wp:anchor>
        </w:drawing>
      </w:r>
    </w:p>
    <w:p>
      <w:pPr>
        <w:sectPr>
          <w:pgSz w:w="11900" w:h="16838" w:orient="portrait"/>
          <w:cols w:equalWidth="0" w:num="1">
            <w:col w:w="11440"/>
          </w:cols>
          <w:pgMar w:left="240" w:top="123" w:right="219" w:bottom="1440" w:gutter="0" w:footer="0" w:header="0"/>
        </w:sectPr>
      </w:pPr>
    </w:p>
    <w:bookmarkStart w:id="56" w:name="page57"/>
    <w:bookmarkEnd w:id="56"/>
    <w:p>
      <w:pPr>
        <w:ind w:left="3"/>
        <w:spacing w:after="0"/>
        <w:rPr>
          <w:sz w:val="20"/>
          <w:szCs w:val="20"/>
          <w:color w:val="auto"/>
        </w:rPr>
      </w:pPr>
      <w:r>
        <w:rPr>
          <w:rFonts w:ascii="Arial" w:cs="Arial" w:eastAsia="Arial" w:hAnsi="Arial"/>
          <w:sz w:val="16"/>
          <w:szCs w:val="16"/>
          <w:b w:val="1"/>
          <w:bCs w:val="1"/>
          <w:color w:val="auto"/>
        </w:rPr>
        <w:t>EASTMAN KODAK COMPANY</w:t>
      </w:r>
    </w:p>
    <w:p>
      <w:pPr>
        <w:spacing w:after="0" w:line="26"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CONSOLIDATED STATEMENT OF EQUITY (DEFICIT) (Continued)</w:t>
      </w:r>
    </w:p>
    <w:p>
      <w:pPr>
        <w:spacing w:after="0" w:line="94" w:lineRule="exact"/>
        <w:rPr>
          <w:sz w:val="20"/>
          <w:szCs w:val="20"/>
          <w:color w:val="auto"/>
        </w:rPr>
      </w:pPr>
    </w:p>
    <w:p>
      <w:pPr>
        <w:ind w:left="3"/>
        <w:spacing w:after="0"/>
        <w:rPr>
          <w:sz w:val="20"/>
          <w:szCs w:val="20"/>
          <w:color w:val="auto"/>
        </w:rPr>
      </w:pPr>
      <w:r>
        <w:rPr>
          <w:rFonts w:ascii="Arial" w:cs="Arial" w:eastAsia="Arial" w:hAnsi="Arial"/>
          <w:sz w:val="16"/>
          <w:szCs w:val="16"/>
          <w:color w:val="auto"/>
        </w:rPr>
        <w:t>(in millions, except share data)</w:t>
      </w:r>
    </w:p>
    <w:p>
      <w:pPr>
        <w:spacing w:after="0" w:line="27" w:lineRule="exact"/>
        <w:rPr>
          <w:sz w:val="20"/>
          <w:szCs w:val="20"/>
          <w:color w:val="auto"/>
        </w:rPr>
      </w:pPr>
    </w:p>
    <w:p>
      <w:pPr>
        <w:jc w:val="center"/>
        <w:ind w:right="-202"/>
        <w:spacing w:after="0"/>
        <w:rPr>
          <w:sz w:val="20"/>
          <w:szCs w:val="20"/>
          <w:color w:val="auto"/>
        </w:rPr>
      </w:pPr>
      <w:r>
        <w:rPr>
          <w:rFonts w:ascii="Arial" w:cs="Arial" w:eastAsia="Arial" w:hAnsi="Arial"/>
          <w:sz w:val="15"/>
          <w:szCs w:val="15"/>
          <w:b w:val="1"/>
          <w:bCs w:val="1"/>
          <w:color w:val="auto"/>
        </w:rPr>
        <w:t>Eastman Kodak Company Shareholders</w:t>
      </w:r>
    </w:p>
    <w:p>
      <w:pPr>
        <w:spacing w:after="0" w:line="26" w:lineRule="exact"/>
        <w:rPr>
          <w:sz w:val="20"/>
          <w:szCs w:val="20"/>
          <w:color w:val="auto"/>
        </w:rPr>
      </w:pPr>
    </w:p>
    <w:tbl>
      <w:tblPr>
        <w:tblLayout w:type="fixed"/>
        <w:tblInd w:w="3" w:type="dxa"/>
        <w:tblCellMar>
          <w:top w:w="0" w:type="dxa"/>
          <w:left w:w="0" w:type="dxa"/>
          <w:bottom w:w="0" w:type="dxa"/>
          <w:right w:w="0" w:type="dxa"/>
        </w:tblCellMar>
      </w:tblPr>
      <w:tr>
        <w:trPr>
          <w:trHeight w:val="114"/>
        </w:trPr>
        <w:tc>
          <w:tcPr>
            <w:tcW w:w="306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2"/>
          </w:tcPr>
          <w:p>
            <w:pPr>
              <w:jc w:val="center"/>
              <w:ind w:right="160"/>
              <w:spacing w:after="0" w:line="115" w:lineRule="exact"/>
              <w:rPr>
                <w:sz w:val="20"/>
                <w:szCs w:val="20"/>
                <w:color w:val="auto"/>
              </w:rPr>
            </w:pPr>
            <w:r>
              <w:rPr>
                <w:rFonts w:ascii="Arial" w:cs="Arial" w:eastAsia="Arial" w:hAnsi="Arial"/>
                <w:sz w:val="12"/>
                <w:szCs w:val="12"/>
                <w:b w:val="1"/>
                <w:bCs w:val="1"/>
                <w:color w:val="auto"/>
                <w:w w:val="91"/>
              </w:rPr>
              <w:t>Series A</w:t>
            </w:r>
          </w:p>
        </w:tc>
        <w:tc>
          <w:tcPr>
            <w:tcW w:w="0" w:type="dxa"/>
            <w:vAlign w:val="bottom"/>
          </w:tcPr>
          <w:p>
            <w:pPr>
              <w:spacing w:after="0"/>
              <w:rPr>
                <w:sz w:val="1"/>
                <w:szCs w:val="1"/>
                <w:color w:val="auto"/>
              </w:rPr>
            </w:pPr>
          </w:p>
        </w:tc>
      </w:tr>
      <w:tr>
        <w:trPr>
          <w:trHeight w:val="133"/>
        </w:trPr>
        <w:tc>
          <w:tcPr>
            <w:tcW w:w="3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gridSpan w:val="3"/>
          </w:tcPr>
          <w:p>
            <w:pPr>
              <w:jc w:val="center"/>
              <w:ind w:right="240"/>
              <w:spacing w:after="0" w:line="133" w:lineRule="exact"/>
              <w:rPr>
                <w:sz w:val="20"/>
                <w:szCs w:val="20"/>
                <w:color w:val="auto"/>
              </w:rPr>
            </w:pPr>
            <w:r>
              <w:rPr>
                <w:rFonts w:ascii="Arial" w:cs="Arial" w:eastAsia="Arial" w:hAnsi="Arial"/>
                <w:sz w:val="12"/>
                <w:szCs w:val="12"/>
                <w:b w:val="1"/>
                <w:bCs w:val="1"/>
                <w:color w:val="auto"/>
                <w:w w:val="90"/>
              </w:rPr>
              <w:t>Accumulated</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720" w:type="dxa"/>
            <w:vAlign w:val="bottom"/>
            <w:gridSpan w:val="3"/>
          </w:tcPr>
          <w:p>
            <w:pPr>
              <w:jc w:val="center"/>
              <w:ind w:right="80"/>
              <w:spacing w:after="0" w:line="133" w:lineRule="exact"/>
              <w:rPr>
                <w:sz w:val="20"/>
                <w:szCs w:val="20"/>
                <w:color w:val="auto"/>
              </w:rPr>
            </w:pPr>
            <w:r>
              <w:rPr>
                <w:rFonts w:ascii="Arial" w:cs="Arial" w:eastAsia="Arial" w:hAnsi="Arial"/>
                <w:sz w:val="12"/>
                <w:szCs w:val="12"/>
                <w:b w:val="1"/>
                <w:bCs w:val="1"/>
                <w:color w:val="auto"/>
                <w:w w:val="90"/>
              </w:rPr>
              <w:t>Redeemable</w:t>
            </w:r>
          </w:p>
        </w:tc>
        <w:tc>
          <w:tcPr>
            <w:tcW w:w="0" w:type="dxa"/>
            <w:vAlign w:val="bottom"/>
          </w:tcPr>
          <w:p>
            <w:pPr>
              <w:spacing w:after="0"/>
              <w:rPr>
                <w:sz w:val="1"/>
                <w:szCs w:val="1"/>
                <w:color w:val="auto"/>
              </w:rPr>
            </w:pPr>
          </w:p>
        </w:tc>
      </w:tr>
      <w:tr>
        <w:trPr>
          <w:trHeight w:val="133"/>
        </w:trPr>
        <w:tc>
          <w:tcPr>
            <w:tcW w:w="3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center"/>
              <w:ind w:right="300"/>
              <w:spacing w:after="0" w:line="133" w:lineRule="exact"/>
              <w:rPr>
                <w:sz w:val="20"/>
                <w:szCs w:val="20"/>
                <w:color w:val="auto"/>
              </w:rPr>
            </w:pPr>
            <w:r>
              <w:rPr>
                <w:rFonts w:ascii="Arial" w:cs="Arial" w:eastAsia="Arial" w:hAnsi="Arial"/>
                <w:sz w:val="12"/>
                <w:szCs w:val="12"/>
                <w:b w:val="1"/>
                <w:bCs w:val="1"/>
                <w:color w:val="auto"/>
                <w:w w:val="95"/>
              </w:rPr>
              <w:t>Additional</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tcPr>
          <w:p>
            <w:pPr>
              <w:jc w:val="center"/>
              <w:ind w:right="380"/>
              <w:spacing w:after="0" w:line="133" w:lineRule="exact"/>
              <w:rPr>
                <w:sz w:val="20"/>
                <w:szCs w:val="20"/>
                <w:color w:val="auto"/>
              </w:rPr>
            </w:pPr>
            <w:r>
              <w:rPr>
                <w:rFonts w:ascii="Arial" w:cs="Arial" w:eastAsia="Arial" w:hAnsi="Arial"/>
                <w:sz w:val="12"/>
                <w:szCs w:val="12"/>
                <w:b w:val="1"/>
                <w:bCs w:val="1"/>
                <w:color w:val="auto"/>
                <w:w w:val="93"/>
              </w:rPr>
              <w:t>Other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center"/>
              <w:ind w:right="220"/>
              <w:spacing w:after="0" w:line="133" w:lineRule="exact"/>
              <w:rPr>
                <w:sz w:val="20"/>
                <w:szCs w:val="20"/>
                <w:color w:val="auto"/>
              </w:rPr>
            </w:pPr>
            <w:r>
              <w:rPr>
                <w:rFonts w:ascii="Arial" w:cs="Arial" w:eastAsia="Arial" w:hAnsi="Arial"/>
                <w:sz w:val="12"/>
                <w:szCs w:val="12"/>
                <w:b w:val="1"/>
                <w:bCs w:val="1"/>
                <w:color w:val="auto"/>
                <w:w w:val="94"/>
              </w:rPr>
              <w:t>Non-</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720" w:type="dxa"/>
            <w:vAlign w:val="bottom"/>
            <w:gridSpan w:val="3"/>
          </w:tcPr>
          <w:p>
            <w:pPr>
              <w:jc w:val="center"/>
              <w:ind w:right="80"/>
              <w:spacing w:after="0" w:line="133" w:lineRule="exact"/>
              <w:rPr>
                <w:sz w:val="20"/>
                <w:szCs w:val="20"/>
                <w:color w:val="auto"/>
              </w:rPr>
            </w:pPr>
            <w:r>
              <w:rPr>
                <w:rFonts w:ascii="Arial" w:cs="Arial" w:eastAsia="Arial" w:hAnsi="Arial"/>
                <w:sz w:val="12"/>
                <w:szCs w:val="12"/>
                <w:b w:val="1"/>
                <w:bCs w:val="1"/>
                <w:color w:val="auto"/>
                <w:w w:val="90"/>
              </w:rPr>
              <w:t>Convertible</w:t>
            </w:r>
          </w:p>
        </w:tc>
        <w:tc>
          <w:tcPr>
            <w:tcW w:w="0" w:type="dxa"/>
            <w:vAlign w:val="bottom"/>
          </w:tcPr>
          <w:p>
            <w:pPr>
              <w:spacing w:after="0"/>
              <w:rPr>
                <w:sz w:val="1"/>
                <w:szCs w:val="1"/>
                <w:color w:val="auto"/>
              </w:rPr>
            </w:pPr>
          </w:p>
        </w:tc>
      </w:tr>
      <w:tr>
        <w:trPr>
          <w:trHeight w:val="133"/>
        </w:trPr>
        <w:tc>
          <w:tcPr>
            <w:tcW w:w="3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Common</w:t>
            </w:r>
          </w:p>
        </w:tc>
        <w:tc>
          <w:tcPr>
            <w:tcW w:w="80" w:type="dxa"/>
            <w:vAlign w:val="bottom"/>
          </w:tcPr>
          <w:p>
            <w:pPr>
              <w:spacing w:after="0"/>
              <w:rPr>
                <w:sz w:val="11"/>
                <w:szCs w:val="11"/>
                <w:color w:val="auto"/>
              </w:rPr>
            </w:pPr>
          </w:p>
        </w:tc>
        <w:tc>
          <w:tcPr>
            <w:tcW w:w="860" w:type="dxa"/>
            <w:vAlign w:val="bottom"/>
            <w:gridSpan w:val="2"/>
          </w:tcPr>
          <w:p>
            <w:pPr>
              <w:jc w:val="center"/>
              <w:ind w:right="300"/>
              <w:spacing w:after="0" w:line="133" w:lineRule="exact"/>
              <w:rPr>
                <w:sz w:val="20"/>
                <w:szCs w:val="20"/>
                <w:color w:val="auto"/>
              </w:rPr>
            </w:pPr>
            <w:r>
              <w:rPr>
                <w:rFonts w:ascii="Arial" w:cs="Arial" w:eastAsia="Arial" w:hAnsi="Arial"/>
                <w:sz w:val="12"/>
                <w:szCs w:val="12"/>
                <w:b w:val="1"/>
                <w:bCs w:val="1"/>
                <w:color w:val="auto"/>
                <w:w w:val="91"/>
              </w:rPr>
              <w:t>Paid in</w:t>
            </w:r>
          </w:p>
        </w:tc>
        <w:tc>
          <w:tcPr>
            <w:tcW w:w="9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Accumulated</w:t>
            </w:r>
          </w:p>
        </w:tc>
        <w:tc>
          <w:tcPr>
            <w:tcW w:w="1040" w:type="dxa"/>
            <w:vAlign w:val="bottom"/>
            <w:gridSpan w:val="3"/>
          </w:tcPr>
          <w:p>
            <w:pPr>
              <w:jc w:val="center"/>
              <w:ind w:right="220"/>
              <w:spacing w:after="0" w:line="133" w:lineRule="exact"/>
              <w:rPr>
                <w:sz w:val="20"/>
                <w:szCs w:val="20"/>
                <w:color w:val="auto"/>
              </w:rPr>
            </w:pPr>
            <w:r>
              <w:rPr>
                <w:rFonts w:ascii="Arial" w:cs="Arial" w:eastAsia="Arial" w:hAnsi="Arial"/>
                <w:sz w:val="12"/>
                <w:szCs w:val="12"/>
                <w:b w:val="1"/>
                <w:bCs w:val="1"/>
                <w:color w:val="auto"/>
                <w:w w:val="91"/>
              </w:rPr>
              <w:t>Comprehensive</w:t>
            </w:r>
          </w:p>
        </w:tc>
        <w:tc>
          <w:tcPr>
            <w:tcW w:w="100" w:type="dxa"/>
            <w:vAlign w:val="bottom"/>
          </w:tcPr>
          <w:p>
            <w:pPr>
              <w:spacing w:after="0"/>
              <w:rPr>
                <w:sz w:val="11"/>
                <w:szCs w:val="11"/>
                <w:color w:val="auto"/>
              </w:rPr>
            </w:pPr>
          </w:p>
        </w:tc>
        <w:tc>
          <w:tcPr>
            <w:tcW w:w="760" w:type="dxa"/>
            <w:vAlign w:val="bottom"/>
            <w:gridSpan w:val="2"/>
          </w:tcPr>
          <w:p>
            <w:pPr>
              <w:jc w:val="right"/>
              <w:ind w:right="280"/>
              <w:spacing w:after="0" w:line="133" w:lineRule="exact"/>
              <w:rPr>
                <w:sz w:val="20"/>
                <w:szCs w:val="20"/>
                <w:color w:val="auto"/>
              </w:rPr>
            </w:pPr>
            <w:r>
              <w:rPr>
                <w:rFonts w:ascii="Arial" w:cs="Arial" w:eastAsia="Arial" w:hAnsi="Arial"/>
                <w:sz w:val="12"/>
                <w:szCs w:val="12"/>
                <w:b w:val="1"/>
                <w:bCs w:val="1"/>
                <w:color w:val="auto"/>
                <w:w w:val="90"/>
              </w:rPr>
              <w:t>Treasury</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center"/>
              <w:ind w:right="200"/>
              <w:spacing w:after="0" w:line="133" w:lineRule="exact"/>
              <w:rPr>
                <w:sz w:val="20"/>
                <w:szCs w:val="20"/>
                <w:color w:val="auto"/>
              </w:rPr>
            </w:pPr>
            <w:r>
              <w:rPr>
                <w:rFonts w:ascii="Arial" w:cs="Arial" w:eastAsia="Arial" w:hAnsi="Arial"/>
                <w:sz w:val="12"/>
                <w:szCs w:val="12"/>
                <w:b w:val="1"/>
                <w:bCs w:val="1"/>
                <w:color w:val="auto"/>
                <w:w w:val="90"/>
              </w:rPr>
              <w:t>controlling</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720" w:type="dxa"/>
            <w:vAlign w:val="bottom"/>
            <w:gridSpan w:val="3"/>
          </w:tcPr>
          <w:p>
            <w:pPr>
              <w:jc w:val="center"/>
              <w:ind w:right="100"/>
              <w:spacing w:after="0" w:line="133" w:lineRule="exact"/>
              <w:rPr>
                <w:sz w:val="20"/>
                <w:szCs w:val="20"/>
                <w:color w:val="auto"/>
              </w:rPr>
            </w:pPr>
            <w:r>
              <w:rPr>
                <w:rFonts w:ascii="Arial" w:cs="Arial" w:eastAsia="Arial" w:hAnsi="Arial"/>
                <w:sz w:val="12"/>
                <w:szCs w:val="12"/>
                <w:b w:val="1"/>
                <w:bCs w:val="1"/>
                <w:color w:val="auto"/>
                <w:w w:val="93"/>
              </w:rPr>
              <w:t>Preferred</w:t>
            </w:r>
          </w:p>
        </w:tc>
        <w:tc>
          <w:tcPr>
            <w:tcW w:w="0" w:type="dxa"/>
            <w:vAlign w:val="bottom"/>
          </w:tcPr>
          <w:p>
            <w:pPr>
              <w:spacing w:after="0"/>
              <w:rPr>
                <w:sz w:val="1"/>
                <w:szCs w:val="1"/>
                <w:color w:val="auto"/>
              </w:rPr>
            </w:pPr>
          </w:p>
        </w:tc>
      </w:tr>
      <w:tr>
        <w:trPr>
          <w:trHeight w:val="146"/>
        </w:trPr>
        <w:tc>
          <w:tcPr>
            <w:tcW w:w="306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ind w:left="40"/>
              <w:spacing w:after="0"/>
              <w:rPr>
                <w:sz w:val="20"/>
                <w:szCs w:val="20"/>
                <w:color w:val="auto"/>
              </w:rPr>
            </w:pPr>
            <w:r>
              <w:rPr>
                <w:rFonts w:ascii="Arial" w:cs="Arial" w:eastAsia="Arial" w:hAnsi="Arial"/>
                <w:sz w:val="12"/>
                <w:szCs w:val="12"/>
                <w:b w:val="1"/>
                <w:bCs w:val="1"/>
                <w:color w:val="auto"/>
              </w:rPr>
              <w:t xml:space="preserve">Stock </w:t>
            </w:r>
            <w:r>
              <w:rPr>
                <w:rFonts w:ascii="Arial" w:cs="Arial" w:eastAsia="Arial" w:hAnsi="Arial"/>
                <w:sz w:val="10"/>
                <w:szCs w:val="10"/>
                <w:b w:val="1"/>
                <w:bCs w:val="1"/>
                <w:color w:val="auto"/>
              </w:rPr>
              <w:t>(1)</w:t>
            </w:r>
          </w:p>
        </w:tc>
        <w:tc>
          <w:tcPr>
            <w:tcW w:w="220" w:type="dxa"/>
            <w:vAlign w:val="bottom"/>
            <w:tcBorders>
              <w:bottom w:val="single" w:sz="8" w:color="CFF0FC"/>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center"/>
              <w:ind w:right="28"/>
              <w:spacing w:after="0"/>
              <w:rPr>
                <w:sz w:val="20"/>
                <w:szCs w:val="20"/>
                <w:color w:val="auto"/>
              </w:rPr>
            </w:pPr>
            <w:r>
              <w:rPr>
                <w:rFonts w:ascii="Arial" w:cs="Arial" w:eastAsia="Arial" w:hAnsi="Arial"/>
                <w:sz w:val="12"/>
                <w:szCs w:val="12"/>
                <w:b w:val="1"/>
                <w:bCs w:val="1"/>
                <w:color w:val="auto"/>
                <w:w w:val="94"/>
              </w:rPr>
              <w:t>Capital</w:t>
            </w:r>
          </w:p>
        </w:tc>
        <w:tc>
          <w:tcPr>
            <w:tcW w:w="220" w:type="dxa"/>
            <w:vAlign w:val="bottom"/>
            <w:tcBorders>
              <w:bottom w:val="single" w:sz="8" w:color="CFF0FC"/>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05"/>
              <w:spacing w:after="0"/>
              <w:rPr>
                <w:sz w:val="20"/>
                <w:szCs w:val="20"/>
                <w:color w:val="auto"/>
              </w:rPr>
            </w:pPr>
            <w:r>
              <w:rPr>
                <w:rFonts w:ascii="Arial" w:cs="Arial" w:eastAsia="Arial" w:hAnsi="Arial"/>
                <w:sz w:val="12"/>
                <w:szCs w:val="12"/>
                <w:b w:val="1"/>
                <w:bCs w:val="1"/>
                <w:color w:val="auto"/>
              </w:rPr>
              <w:t>Deficit</w:t>
            </w:r>
          </w:p>
        </w:tc>
        <w:tc>
          <w:tcPr>
            <w:tcW w:w="220" w:type="dxa"/>
            <w:vAlign w:val="bottom"/>
            <w:tcBorders>
              <w:bottom w:val="single" w:sz="8" w:color="CFF0FC"/>
            </w:tcBorders>
          </w:tcPr>
          <w:p>
            <w:pPr>
              <w:spacing w:after="0"/>
              <w:rPr>
                <w:sz w:val="12"/>
                <w:szCs w:val="12"/>
                <w:color w:val="auto"/>
              </w:rPr>
            </w:pPr>
          </w:p>
        </w:tc>
        <w:tc>
          <w:tcPr>
            <w:tcW w:w="820" w:type="dxa"/>
            <w:vAlign w:val="bottom"/>
            <w:tcBorders>
              <w:bottom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w w:val="90"/>
              </w:rPr>
              <w:t>Income (Loss)</w:t>
            </w:r>
          </w:p>
        </w:tc>
        <w:tc>
          <w:tcPr>
            <w:tcW w:w="22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46"/>
              <w:spacing w:after="0"/>
              <w:rPr>
                <w:sz w:val="20"/>
                <w:szCs w:val="20"/>
                <w:color w:val="auto"/>
              </w:rPr>
            </w:pPr>
            <w:r>
              <w:rPr>
                <w:rFonts w:ascii="Arial" w:cs="Arial" w:eastAsia="Arial" w:hAnsi="Arial"/>
                <w:sz w:val="12"/>
                <w:szCs w:val="12"/>
                <w:b w:val="1"/>
                <w:bCs w:val="1"/>
                <w:color w:val="auto"/>
              </w:rPr>
              <w:t>Stock</w:t>
            </w:r>
          </w:p>
        </w:tc>
        <w:tc>
          <w:tcPr>
            <w:tcW w:w="140" w:type="dxa"/>
            <w:vAlign w:val="bottom"/>
            <w:tcBorders>
              <w:bottom w:val="single" w:sz="8" w:color="CFF0FC"/>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65"/>
              <w:spacing w:after="0"/>
              <w:rPr>
                <w:sz w:val="20"/>
                <w:szCs w:val="20"/>
                <w:color w:val="auto"/>
              </w:rPr>
            </w:pPr>
            <w:r>
              <w:rPr>
                <w:rFonts w:ascii="Arial" w:cs="Arial" w:eastAsia="Arial" w:hAnsi="Arial"/>
                <w:sz w:val="12"/>
                <w:szCs w:val="12"/>
                <w:b w:val="1"/>
                <w:bCs w:val="1"/>
                <w:color w:val="auto"/>
              </w:rPr>
              <w:t>Total</w:t>
            </w:r>
          </w:p>
        </w:tc>
        <w:tc>
          <w:tcPr>
            <w:tcW w:w="220" w:type="dxa"/>
            <w:vAlign w:val="bottom"/>
            <w:tcBorders>
              <w:bottom w:val="single" w:sz="8" w:color="CFF0FC"/>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center"/>
              <w:ind w:right="8"/>
              <w:spacing w:after="0"/>
              <w:rPr>
                <w:sz w:val="20"/>
                <w:szCs w:val="20"/>
                <w:color w:val="auto"/>
              </w:rPr>
            </w:pPr>
            <w:r>
              <w:rPr>
                <w:rFonts w:ascii="Arial" w:cs="Arial" w:eastAsia="Arial" w:hAnsi="Arial"/>
                <w:sz w:val="12"/>
                <w:szCs w:val="12"/>
                <w:b w:val="1"/>
                <w:bCs w:val="1"/>
                <w:color w:val="auto"/>
                <w:w w:val="87"/>
              </w:rPr>
              <w:t>Interests</w:t>
            </w:r>
          </w:p>
        </w:tc>
        <w:tc>
          <w:tcPr>
            <w:tcW w:w="120" w:type="dxa"/>
            <w:vAlign w:val="bottom"/>
            <w:tcBorders>
              <w:bottom w:val="single" w:sz="8" w:color="CFF0FC"/>
            </w:tcBorders>
          </w:tcPr>
          <w:p>
            <w:pPr>
              <w:spacing w:after="0"/>
              <w:rPr>
                <w:sz w:val="12"/>
                <w:szCs w:val="12"/>
                <w:color w:val="auto"/>
              </w:rPr>
            </w:pPr>
          </w:p>
        </w:tc>
        <w:tc>
          <w:tcPr>
            <w:tcW w:w="100" w:type="dxa"/>
            <w:vAlign w:val="bottom"/>
            <w:tcBorders>
              <w:bottom w:val="single" w:sz="8" w:color="CFF0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45"/>
              <w:spacing w:after="0"/>
              <w:rPr>
                <w:sz w:val="20"/>
                <w:szCs w:val="20"/>
                <w:color w:val="auto"/>
              </w:rPr>
            </w:pPr>
            <w:r>
              <w:rPr>
                <w:rFonts w:ascii="Arial" w:cs="Arial" w:eastAsia="Arial" w:hAnsi="Arial"/>
                <w:sz w:val="12"/>
                <w:szCs w:val="12"/>
                <w:b w:val="1"/>
                <w:bCs w:val="1"/>
                <w:color w:val="auto"/>
              </w:rPr>
              <w:t>Total</w:t>
            </w:r>
          </w:p>
        </w:tc>
        <w:tc>
          <w:tcPr>
            <w:tcW w:w="120" w:type="dxa"/>
            <w:vAlign w:val="bottom"/>
            <w:tcBorders>
              <w:bottom w:val="single" w:sz="8" w:color="CFF0FC"/>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center"/>
              <w:ind w:right="26"/>
              <w:spacing w:after="0"/>
              <w:rPr>
                <w:sz w:val="20"/>
                <w:szCs w:val="20"/>
                <w:color w:val="auto"/>
              </w:rPr>
            </w:pPr>
            <w:r>
              <w:rPr>
                <w:rFonts w:ascii="Arial" w:cs="Arial" w:eastAsia="Arial" w:hAnsi="Arial"/>
                <w:sz w:val="12"/>
                <w:szCs w:val="12"/>
                <w:b w:val="1"/>
                <w:bCs w:val="1"/>
                <w:color w:val="auto"/>
                <w:w w:val="85"/>
              </w:rPr>
              <w:t>Stock</w:t>
            </w:r>
          </w:p>
        </w:tc>
        <w:tc>
          <w:tcPr>
            <w:tcW w:w="6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060" w:type="dxa"/>
            <w:vAlign w:val="bottom"/>
            <w:shd w:val="clear" w:color="auto" w:fill="CFF0FC"/>
          </w:tcPr>
          <w:p>
            <w:pPr>
              <w:spacing w:after="0"/>
              <w:rPr>
                <w:sz w:val="20"/>
                <w:szCs w:val="20"/>
                <w:color w:val="auto"/>
              </w:rPr>
            </w:pPr>
            <w:r>
              <w:rPr>
                <w:rFonts w:ascii="Arial" w:cs="Arial" w:eastAsia="Arial" w:hAnsi="Arial"/>
                <w:sz w:val="15"/>
                <w:szCs w:val="15"/>
                <w:color w:val="auto"/>
              </w:rPr>
              <w:t>Equity (deficit) as of December 31, 2016</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ind w:left="480"/>
              <w:spacing w:after="0"/>
              <w:rPr>
                <w:sz w:val="20"/>
                <w:szCs w:val="20"/>
                <w:color w:val="auto"/>
              </w:rPr>
            </w:pPr>
            <w:r>
              <w:rPr>
                <w:rFonts w:ascii="Arial" w:cs="Arial" w:eastAsia="Arial" w:hAnsi="Arial"/>
                <w:sz w:val="15"/>
                <w:szCs w:val="15"/>
                <w:color w:val="auto"/>
                <w:w w:val="93"/>
              </w:rPr>
              <w:t>—</w:t>
            </w:r>
          </w:p>
        </w:tc>
        <w:tc>
          <w:tcPr>
            <w:tcW w:w="220" w:type="dxa"/>
            <w:vAlign w:val="bottom"/>
            <w:shd w:val="clear" w:color="auto" w:fill="CFF0FC"/>
          </w:tcPr>
          <w:p>
            <w:pPr>
              <w:spacing w:after="0"/>
              <w:rPr>
                <w:sz w:val="16"/>
                <w:szCs w:val="16"/>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641</w:t>
            </w: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5"/>
                <w:szCs w:val="15"/>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(268)</w:t>
            </w: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jc w:val="right"/>
              <w:ind w:right="13"/>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(438)</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(8)</w:t>
            </w: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(73)</w:t>
            </w:r>
          </w:p>
        </w:tc>
        <w:tc>
          <w:tcPr>
            <w:tcW w:w="220" w:type="dxa"/>
            <w:vAlign w:val="bottom"/>
            <w:shd w:val="clear" w:color="auto" w:fill="CFF0FC"/>
          </w:tcPr>
          <w:p>
            <w:pPr>
              <w:spacing w:after="0"/>
              <w:rPr>
                <w:sz w:val="16"/>
                <w:szCs w:val="16"/>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ind w:left="480"/>
              <w:spacing w:after="0"/>
              <w:rPr>
                <w:sz w:val="20"/>
                <w:szCs w:val="20"/>
                <w:color w:val="auto"/>
              </w:rPr>
            </w:pPr>
            <w:r>
              <w:rPr>
                <w:rFonts w:ascii="Arial" w:cs="Arial" w:eastAsia="Arial" w:hAnsi="Arial"/>
                <w:sz w:val="15"/>
                <w:szCs w:val="15"/>
                <w:color w:val="auto"/>
                <w:w w:val="93"/>
              </w:rPr>
              <w:t>—</w:t>
            </w:r>
          </w:p>
        </w:tc>
        <w:tc>
          <w:tcPr>
            <w:tcW w:w="120" w:type="dxa"/>
            <w:vAlign w:val="bottom"/>
            <w:shd w:val="clear" w:color="auto" w:fill="CFF0FC"/>
          </w:tcPr>
          <w:p>
            <w:pPr>
              <w:spacing w:after="0"/>
              <w:rPr>
                <w:sz w:val="16"/>
                <w:szCs w:val="16"/>
                <w:color w:val="auto"/>
              </w:rPr>
            </w:pPr>
          </w:p>
        </w:tc>
        <w:tc>
          <w:tcPr>
            <w:tcW w:w="100" w:type="dxa"/>
            <w:vAlign w:val="bottom"/>
            <w:shd w:val="clear" w:color="auto" w:fill="CFF0FF"/>
          </w:tcPr>
          <w:p>
            <w:pPr>
              <w:spacing w:after="0"/>
              <w:rPr>
                <w:sz w:val="16"/>
                <w:szCs w:val="16"/>
                <w:color w:val="auto"/>
              </w:rPr>
            </w:pPr>
          </w:p>
        </w:tc>
        <w:tc>
          <w:tcPr>
            <w:tcW w:w="160" w:type="dxa"/>
            <w:vAlign w:val="bottom"/>
            <w:shd w:val="clear" w:color="auto" w:fill="CFF0FC"/>
          </w:tcPr>
          <w:p>
            <w:pPr>
              <w:jc w:val="right"/>
              <w:ind w:right="3"/>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(73)</w:t>
            </w:r>
          </w:p>
        </w:tc>
        <w:tc>
          <w:tcPr>
            <w:tcW w:w="120" w:type="dxa"/>
            <w:vAlign w:val="bottom"/>
            <w:shd w:val="clear" w:color="auto" w:fill="CFF0FC"/>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156</w:t>
            </w: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060" w:type="dxa"/>
            <w:vAlign w:val="bottom"/>
          </w:tcPr>
          <w:p>
            <w:pPr>
              <w:spacing w:after="0"/>
              <w:rPr>
                <w:sz w:val="20"/>
                <w:szCs w:val="20"/>
                <w:color w:val="auto"/>
              </w:rPr>
            </w:pPr>
            <w:r>
              <w:rPr>
                <w:rFonts w:ascii="Arial" w:cs="Arial" w:eastAsia="Arial" w:hAnsi="Arial"/>
                <w:sz w:val="15"/>
                <w:szCs w:val="15"/>
                <w:color w:val="auto"/>
              </w:rPr>
              <w:t>Net (loss) earnings</w:t>
            </w:r>
          </w:p>
        </w:tc>
        <w:tc>
          <w:tcPr>
            <w:tcW w:w="100" w:type="dxa"/>
            <w:vAlign w:val="bottom"/>
          </w:tcPr>
          <w:p>
            <w:pPr>
              <w:spacing w:after="0"/>
              <w:rPr>
                <w:sz w:val="16"/>
                <w:szCs w:val="16"/>
                <w:color w:val="auto"/>
              </w:rPr>
            </w:pPr>
          </w:p>
        </w:tc>
        <w:tc>
          <w:tcPr>
            <w:tcW w:w="860" w:type="dxa"/>
            <w:vAlign w:val="bottom"/>
            <w:gridSpan w:val="2"/>
          </w:tcPr>
          <w:p>
            <w:pPr>
              <w:ind w:left="4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94</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94</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tcPr>
          <w:p>
            <w:pPr>
              <w:ind w:left="4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94</w:t>
            </w:r>
          </w:p>
        </w:tc>
        <w:tc>
          <w:tcPr>
            <w:tcW w:w="1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3"/>
        </w:trPr>
        <w:tc>
          <w:tcPr>
            <w:tcW w:w="3060" w:type="dxa"/>
            <w:vAlign w:val="bottom"/>
            <w:shd w:val="clear" w:color="auto" w:fill="CFF0FC"/>
          </w:tcPr>
          <w:p>
            <w:pPr>
              <w:spacing w:after="0"/>
              <w:rPr>
                <w:sz w:val="20"/>
                <w:szCs w:val="20"/>
                <w:color w:val="auto"/>
              </w:rPr>
            </w:pPr>
            <w:r>
              <w:rPr>
                <w:rFonts w:ascii="Arial" w:cs="Arial" w:eastAsia="Arial" w:hAnsi="Arial"/>
                <w:sz w:val="15"/>
                <w:szCs w:val="15"/>
                <w:color w:val="auto"/>
              </w:rPr>
              <w:t>Other comprehensive loss (net of tax):</w:t>
            </w:r>
          </w:p>
        </w:tc>
        <w:tc>
          <w:tcPr>
            <w:tcW w:w="10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060" w:type="dxa"/>
            <w:vAlign w:val="bottom"/>
          </w:tcPr>
          <w:p>
            <w:pPr>
              <w:ind w:left="220"/>
              <w:spacing w:after="0"/>
              <w:rPr>
                <w:sz w:val="20"/>
                <w:szCs w:val="20"/>
                <w:color w:val="auto"/>
              </w:rPr>
            </w:pPr>
            <w:r>
              <w:rPr>
                <w:rFonts w:ascii="Arial" w:cs="Arial" w:eastAsia="Arial" w:hAnsi="Arial"/>
                <w:sz w:val="15"/>
                <w:szCs w:val="15"/>
                <w:color w:val="auto"/>
              </w:rPr>
              <w:t>Currency translation adjustments</w:t>
            </w:r>
          </w:p>
        </w:tc>
        <w:tc>
          <w:tcPr>
            <w:tcW w:w="100" w:type="dxa"/>
            <w:vAlign w:val="bottom"/>
          </w:tcPr>
          <w:p>
            <w:pPr>
              <w:spacing w:after="0"/>
              <w:rPr>
                <w:sz w:val="16"/>
                <w:szCs w:val="16"/>
                <w:color w:val="auto"/>
              </w:rPr>
            </w:pPr>
          </w:p>
        </w:tc>
        <w:tc>
          <w:tcPr>
            <w:tcW w:w="860" w:type="dxa"/>
            <w:vAlign w:val="bottom"/>
            <w:gridSpan w:val="2"/>
          </w:tcPr>
          <w:p>
            <w:pPr>
              <w:ind w:left="4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11</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11</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tcPr>
          <w:p>
            <w:pPr>
              <w:ind w:left="4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11</w:t>
            </w:r>
          </w:p>
        </w:tc>
        <w:tc>
          <w:tcPr>
            <w:tcW w:w="1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8"/>
        </w:trPr>
        <w:tc>
          <w:tcPr>
            <w:tcW w:w="3060" w:type="dxa"/>
            <w:vAlign w:val="bottom"/>
            <w:shd w:val="clear" w:color="auto" w:fill="CFF0FC"/>
          </w:tcPr>
          <w:p>
            <w:pPr>
              <w:ind w:left="220"/>
              <w:spacing w:after="0"/>
              <w:rPr>
                <w:sz w:val="20"/>
                <w:szCs w:val="20"/>
                <w:color w:val="auto"/>
              </w:rPr>
            </w:pPr>
            <w:r>
              <w:rPr>
                <w:rFonts w:ascii="Arial" w:cs="Arial" w:eastAsia="Arial" w:hAnsi="Arial"/>
                <w:sz w:val="15"/>
                <w:szCs w:val="15"/>
                <w:color w:val="auto"/>
              </w:rPr>
              <w:t>Pension and other postretirement</w:t>
            </w: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3060" w:type="dxa"/>
            <w:vAlign w:val="bottom"/>
            <w:shd w:val="clear" w:color="auto" w:fill="CFF0FC"/>
          </w:tcPr>
          <w:p>
            <w:pPr>
              <w:ind w:left="340"/>
              <w:spacing w:after="0"/>
              <w:rPr>
                <w:sz w:val="20"/>
                <w:szCs w:val="20"/>
                <w:color w:val="auto"/>
              </w:rPr>
            </w:pPr>
            <w:r>
              <w:rPr>
                <w:rFonts w:ascii="Arial" w:cs="Arial" w:eastAsia="Arial" w:hAnsi="Arial"/>
                <w:sz w:val="15"/>
                <w:szCs w:val="15"/>
                <w:color w:val="auto"/>
              </w:rPr>
              <w:t>liability adjustments</w:t>
            </w:r>
          </w:p>
        </w:tc>
        <w:tc>
          <w:tcPr>
            <w:tcW w:w="1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ind w:left="48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36</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36</w:t>
            </w: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60" w:type="dxa"/>
            <w:vAlign w:val="bottom"/>
            <w:gridSpan w:val="2"/>
            <w:shd w:val="clear" w:color="auto" w:fill="CFF0FC"/>
          </w:tcPr>
          <w:p>
            <w:pPr>
              <w:ind w:left="4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36</w:t>
            </w:r>
          </w:p>
        </w:tc>
        <w:tc>
          <w:tcPr>
            <w:tcW w:w="120" w:type="dxa"/>
            <w:vAlign w:val="bottom"/>
            <w:shd w:val="clear" w:color="auto" w:fill="CFF0FC"/>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4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8"/>
        </w:trPr>
        <w:tc>
          <w:tcPr>
            <w:tcW w:w="3060" w:type="dxa"/>
            <w:vAlign w:val="bottom"/>
          </w:tcPr>
          <w:p>
            <w:pPr>
              <w:spacing w:after="0"/>
              <w:rPr>
                <w:sz w:val="20"/>
                <w:szCs w:val="20"/>
                <w:color w:val="auto"/>
              </w:rPr>
            </w:pPr>
            <w:r>
              <w:rPr>
                <w:rFonts w:ascii="Arial" w:cs="Arial" w:eastAsia="Arial" w:hAnsi="Arial"/>
                <w:sz w:val="15"/>
                <w:szCs w:val="15"/>
                <w:color w:val="auto"/>
              </w:rPr>
              <w:t>Series A preferred stock cash</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3060" w:type="dxa"/>
            <w:vAlign w:val="bottom"/>
          </w:tcPr>
          <w:p>
            <w:pPr>
              <w:ind w:left="120"/>
              <w:spacing w:after="0"/>
              <w:rPr>
                <w:sz w:val="20"/>
                <w:szCs w:val="20"/>
                <w:color w:val="auto"/>
              </w:rPr>
            </w:pPr>
            <w:r>
              <w:rPr>
                <w:rFonts w:ascii="Arial" w:cs="Arial" w:eastAsia="Arial" w:hAnsi="Arial"/>
                <w:sz w:val="15"/>
                <w:szCs w:val="15"/>
                <w:color w:val="auto"/>
              </w:rPr>
              <w:t>dividends</w:t>
            </w:r>
          </w:p>
        </w:tc>
        <w:tc>
          <w:tcPr>
            <w:tcW w:w="100" w:type="dxa"/>
            <w:vAlign w:val="bottom"/>
          </w:tcPr>
          <w:p>
            <w:pPr>
              <w:spacing w:after="0"/>
              <w:rPr>
                <w:sz w:val="16"/>
                <w:szCs w:val="16"/>
                <w:color w:val="auto"/>
              </w:rPr>
            </w:pPr>
          </w:p>
        </w:tc>
        <w:tc>
          <w:tcPr>
            <w:tcW w:w="860" w:type="dxa"/>
            <w:vAlign w:val="bottom"/>
            <w:gridSpan w:val="2"/>
          </w:tcPr>
          <w:p>
            <w:pPr>
              <w:ind w:left="4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5"/>
                <w:szCs w:val="15"/>
                <w:color w:val="auto"/>
              </w:rPr>
              <w:t>(11)</w:t>
            </w:r>
          </w:p>
        </w:tc>
        <w:tc>
          <w:tcPr>
            <w:tcW w:w="140" w:type="dxa"/>
            <w:vAlign w:val="bottom"/>
          </w:tcPr>
          <w:p>
            <w:pPr>
              <w:spacing w:after="0"/>
              <w:rPr>
                <w:sz w:val="16"/>
                <w:szCs w:val="16"/>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5"/>
                <w:szCs w:val="15"/>
                <w:color w:val="auto"/>
              </w:rPr>
              <w:t>(11)</w:t>
            </w:r>
          </w:p>
        </w:tc>
        <w:tc>
          <w:tcPr>
            <w:tcW w:w="80" w:type="dxa"/>
            <w:vAlign w:val="bottom"/>
          </w:tcPr>
          <w:p>
            <w:pPr>
              <w:spacing w:after="0"/>
              <w:rPr>
                <w:sz w:val="16"/>
                <w:szCs w:val="16"/>
                <w:color w:val="auto"/>
              </w:rPr>
            </w:pPr>
          </w:p>
        </w:tc>
        <w:tc>
          <w:tcPr>
            <w:tcW w:w="760" w:type="dxa"/>
            <w:vAlign w:val="bottom"/>
            <w:gridSpan w:val="2"/>
          </w:tcPr>
          <w:p>
            <w:pPr>
              <w:ind w:left="4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5"/>
                <w:szCs w:val="15"/>
                <w:color w:val="auto"/>
              </w:rPr>
              <w:t>(11)</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0"/>
        </w:trPr>
        <w:tc>
          <w:tcPr>
            <w:tcW w:w="3060" w:type="dxa"/>
            <w:vAlign w:val="bottom"/>
            <w:shd w:val="clear" w:color="auto" w:fill="CFF0FC"/>
          </w:tcPr>
          <w:p>
            <w:pPr>
              <w:spacing w:after="0"/>
              <w:rPr>
                <w:sz w:val="20"/>
                <w:szCs w:val="20"/>
                <w:color w:val="auto"/>
              </w:rPr>
            </w:pPr>
            <w:r>
              <w:rPr>
                <w:rFonts w:ascii="Arial" w:cs="Arial" w:eastAsia="Arial" w:hAnsi="Arial"/>
                <w:sz w:val="15"/>
                <w:szCs w:val="15"/>
                <w:color w:val="auto"/>
              </w:rPr>
              <w:t>Series A preferred stock deemed</w:t>
            </w: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3060" w:type="dxa"/>
            <w:vAlign w:val="bottom"/>
            <w:shd w:val="clear" w:color="auto" w:fill="CFF0FC"/>
          </w:tcPr>
          <w:p>
            <w:pPr>
              <w:ind w:left="120"/>
              <w:spacing w:after="0"/>
              <w:rPr>
                <w:sz w:val="20"/>
                <w:szCs w:val="20"/>
                <w:color w:val="auto"/>
              </w:rPr>
            </w:pPr>
            <w:r>
              <w:rPr>
                <w:rFonts w:ascii="Arial" w:cs="Arial" w:eastAsia="Arial" w:hAnsi="Arial"/>
                <w:sz w:val="15"/>
                <w:szCs w:val="15"/>
                <w:color w:val="auto"/>
              </w:rPr>
              <w:t>dividends</w:t>
            </w:r>
          </w:p>
        </w:tc>
        <w:tc>
          <w:tcPr>
            <w:tcW w:w="1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ind w:left="48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(8)</w:t>
            </w:r>
          </w:p>
        </w:tc>
        <w:tc>
          <w:tcPr>
            <w:tcW w:w="14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(8)</w:t>
            </w:r>
          </w:p>
        </w:tc>
        <w:tc>
          <w:tcPr>
            <w:tcW w:w="80" w:type="dxa"/>
            <w:vAlign w:val="bottom"/>
            <w:shd w:val="clear" w:color="auto" w:fill="CFF0FC"/>
          </w:tcPr>
          <w:p>
            <w:pPr>
              <w:spacing w:after="0"/>
              <w:rPr>
                <w:sz w:val="17"/>
                <w:szCs w:val="17"/>
                <w:color w:val="auto"/>
              </w:rPr>
            </w:pPr>
          </w:p>
        </w:tc>
        <w:tc>
          <w:tcPr>
            <w:tcW w:w="760" w:type="dxa"/>
            <w:vAlign w:val="bottom"/>
            <w:gridSpan w:val="2"/>
            <w:shd w:val="clear" w:color="auto" w:fill="CFF0FC"/>
          </w:tcPr>
          <w:p>
            <w:pPr>
              <w:ind w:left="4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(8)</w:t>
            </w:r>
          </w:p>
        </w:tc>
        <w:tc>
          <w:tcPr>
            <w:tcW w:w="120" w:type="dxa"/>
            <w:vAlign w:val="bottom"/>
            <w:tcBorders>
              <w:right w:val="single" w:sz="8" w:color="auto"/>
            </w:tcBorders>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060" w:type="dxa"/>
            <w:vAlign w:val="bottom"/>
          </w:tcPr>
          <w:p>
            <w:pPr>
              <w:spacing w:after="0"/>
              <w:rPr>
                <w:sz w:val="20"/>
                <w:szCs w:val="20"/>
                <w:color w:val="auto"/>
              </w:rPr>
            </w:pPr>
            <w:r>
              <w:rPr>
                <w:rFonts w:ascii="Arial" w:cs="Arial" w:eastAsia="Arial" w:hAnsi="Arial"/>
                <w:sz w:val="15"/>
                <w:szCs w:val="15"/>
                <w:color w:val="auto"/>
              </w:rPr>
              <w:t>Stock-based compensation</w:t>
            </w:r>
          </w:p>
        </w:tc>
        <w:tc>
          <w:tcPr>
            <w:tcW w:w="100" w:type="dxa"/>
            <w:vAlign w:val="bottom"/>
          </w:tcPr>
          <w:p>
            <w:pPr>
              <w:spacing w:after="0"/>
              <w:rPr>
                <w:sz w:val="16"/>
                <w:szCs w:val="16"/>
                <w:color w:val="auto"/>
              </w:rPr>
            </w:pPr>
          </w:p>
        </w:tc>
        <w:tc>
          <w:tcPr>
            <w:tcW w:w="860" w:type="dxa"/>
            <w:vAlign w:val="bottom"/>
            <w:gridSpan w:val="2"/>
          </w:tcPr>
          <w:p>
            <w:pPr>
              <w:ind w:left="4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9</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9</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tcPr>
          <w:p>
            <w:pPr>
              <w:ind w:left="4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9</w:t>
            </w:r>
          </w:p>
        </w:tc>
        <w:tc>
          <w:tcPr>
            <w:tcW w:w="1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8"/>
        </w:trPr>
        <w:tc>
          <w:tcPr>
            <w:tcW w:w="3060" w:type="dxa"/>
            <w:vAlign w:val="bottom"/>
            <w:shd w:val="clear" w:color="auto" w:fill="CFF0FC"/>
          </w:tcPr>
          <w:p>
            <w:pPr>
              <w:spacing w:after="0"/>
              <w:rPr>
                <w:sz w:val="20"/>
                <w:szCs w:val="20"/>
                <w:color w:val="auto"/>
              </w:rPr>
            </w:pPr>
            <w:r>
              <w:rPr>
                <w:rFonts w:ascii="Arial" w:cs="Arial" w:eastAsia="Arial" w:hAnsi="Arial"/>
                <w:sz w:val="15"/>
                <w:szCs w:val="15"/>
                <w:color w:val="auto"/>
              </w:rPr>
              <w:t>Purchases of treasury stock, (98,056</w:t>
            </w: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3060" w:type="dxa"/>
            <w:vAlign w:val="bottom"/>
            <w:shd w:val="clear" w:color="auto" w:fill="CFF0FC"/>
          </w:tcPr>
          <w:p>
            <w:pPr>
              <w:ind w:left="120"/>
              <w:spacing w:after="0"/>
              <w:rPr>
                <w:sz w:val="20"/>
                <w:szCs w:val="20"/>
                <w:color w:val="auto"/>
              </w:rPr>
            </w:pPr>
            <w:r>
              <w:rPr>
                <w:rFonts w:ascii="Arial" w:cs="Arial" w:eastAsia="Arial" w:hAnsi="Arial"/>
                <w:sz w:val="15"/>
                <w:szCs w:val="15"/>
                <w:color w:val="auto"/>
              </w:rPr>
              <w:t xml:space="preserve">shares) </w:t>
            </w:r>
            <w:r>
              <w:rPr>
                <w:rFonts w:ascii="Arial" w:cs="Arial" w:eastAsia="Arial" w:hAnsi="Arial"/>
                <w:sz w:val="13"/>
                <w:szCs w:val="13"/>
                <w:color w:val="auto"/>
              </w:rPr>
              <w:t>(2)</w:t>
            </w: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ind w:left="480"/>
              <w:spacing w:after="0"/>
              <w:rPr>
                <w:sz w:val="20"/>
                <w:szCs w:val="20"/>
                <w:color w:val="auto"/>
              </w:rPr>
            </w:pPr>
            <w:r>
              <w:rPr>
                <w:rFonts w:ascii="Arial" w:cs="Arial" w:eastAsia="Arial" w:hAnsi="Arial"/>
                <w:sz w:val="15"/>
                <w:szCs w:val="15"/>
                <w:color w:val="auto"/>
                <w:w w:val="93"/>
              </w:rPr>
              <w:t>—</w:t>
            </w: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(1)</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(1)</w:t>
            </w:r>
          </w:p>
        </w:tc>
        <w:tc>
          <w:tcPr>
            <w:tcW w:w="80" w:type="dxa"/>
            <w:vAlign w:val="bottom"/>
            <w:shd w:val="clear" w:color="auto" w:fill="CFF0FC"/>
          </w:tcPr>
          <w:p>
            <w:pPr>
              <w:spacing w:after="0"/>
              <w:rPr>
                <w:sz w:val="17"/>
                <w:szCs w:val="17"/>
                <w:color w:val="auto"/>
              </w:rPr>
            </w:pPr>
          </w:p>
        </w:tc>
        <w:tc>
          <w:tcPr>
            <w:tcW w:w="760" w:type="dxa"/>
            <w:vAlign w:val="bottom"/>
            <w:gridSpan w:val="2"/>
            <w:shd w:val="clear" w:color="auto" w:fill="CFF0FC"/>
          </w:tcPr>
          <w:p>
            <w:pPr>
              <w:ind w:left="4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(1)</w:t>
            </w:r>
          </w:p>
        </w:tc>
        <w:tc>
          <w:tcPr>
            <w:tcW w:w="120" w:type="dxa"/>
            <w:vAlign w:val="bottom"/>
            <w:tcBorders>
              <w:right w:val="single" w:sz="8" w:color="auto"/>
            </w:tcBorders>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4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3060" w:type="dxa"/>
            <w:vAlign w:val="bottom"/>
            <w:vMerge w:val="restart"/>
          </w:tcPr>
          <w:p>
            <w:pPr>
              <w:spacing w:after="0"/>
              <w:rPr>
                <w:sz w:val="20"/>
                <w:szCs w:val="20"/>
                <w:color w:val="auto"/>
              </w:rPr>
            </w:pPr>
            <w:r>
              <w:rPr>
                <w:rFonts w:ascii="Arial" w:cs="Arial" w:eastAsia="Arial" w:hAnsi="Arial"/>
                <w:sz w:val="15"/>
                <w:szCs w:val="15"/>
                <w:color w:val="auto"/>
              </w:rPr>
              <w:t>Equity (deficit) as of December 31, 2017</w:t>
            </w: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20" w:type="dxa"/>
            <w:vAlign w:val="bottom"/>
            <w:tcBorders>
              <w:right w:val="single" w:sz="8" w:color="auto"/>
            </w:tcBorders>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3060" w:type="dxa"/>
            <w:vAlign w:val="bottom"/>
            <w:vMerge w:val="continue"/>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ind w:left="480"/>
              <w:spacing w:after="0"/>
              <w:rPr>
                <w:sz w:val="20"/>
                <w:szCs w:val="20"/>
                <w:color w:val="auto"/>
              </w:rPr>
            </w:pPr>
            <w:r>
              <w:rPr>
                <w:rFonts w:ascii="Arial" w:cs="Arial" w:eastAsia="Arial" w:hAnsi="Arial"/>
                <w:sz w:val="15"/>
                <w:szCs w:val="15"/>
                <w:color w:val="auto"/>
                <w:w w:val="93"/>
              </w:rPr>
              <w:t>—</w:t>
            </w:r>
          </w:p>
        </w:tc>
        <w:tc>
          <w:tcPr>
            <w:tcW w:w="220" w:type="dxa"/>
            <w:vAlign w:val="bottom"/>
            <w:vMerge w:val="continue"/>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631</w:t>
            </w:r>
          </w:p>
        </w:tc>
        <w:tc>
          <w:tcPr>
            <w:tcW w:w="220" w:type="dxa"/>
            <w:vAlign w:val="bottom"/>
            <w:vMerge w:val="continue"/>
          </w:tcPr>
          <w:p>
            <w:pPr>
              <w:spacing w:after="0"/>
              <w:rPr>
                <w:sz w:val="16"/>
                <w:szCs w:val="16"/>
                <w:color w:val="auto"/>
              </w:rPr>
            </w:pPr>
          </w:p>
        </w:tc>
        <w:tc>
          <w:tcPr>
            <w:tcW w:w="140" w:type="dxa"/>
            <w:vAlign w:val="bottom"/>
          </w:tcPr>
          <w:p>
            <w:pPr>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(174)</w:t>
            </w:r>
          </w:p>
        </w:tc>
        <w:tc>
          <w:tcPr>
            <w:tcW w:w="220" w:type="dxa"/>
            <w:vAlign w:val="bottom"/>
            <w:vMerge w:val="continue"/>
          </w:tcPr>
          <w:p>
            <w:pPr>
              <w:spacing w:after="0"/>
              <w:rPr>
                <w:sz w:val="16"/>
                <w:szCs w:val="16"/>
                <w:color w:val="auto"/>
              </w:rPr>
            </w:pPr>
          </w:p>
        </w:tc>
        <w:tc>
          <w:tcPr>
            <w:tcW w:w="160" w:type="dxa"/>
            <w:vAlign w:val="bottom"/>
          </w:tcPr>
          <w:p>
            <w:pPr>
              <w:jc w:val="right"/>
              <w:ind w:right="13"/>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(391)</w:t>
            </w:r>
          </w:p>
        </w:tc>
        <w:tc>
          <w:tcPr>
            <w:tcW w:w="220" w:type="dxa"/>
            <w:vAlign w:val="bottom"/>
            <w:vMerge w:val="continue"/>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80"/>
              <w:spacing w:after="0"/>
              <w:rPr>
                <w:sz w:val="20"/>
                <w:szCs w:val="20"/>
                <w:color w:val="auto"/>
              </w:rPr>
            </w:pPr>
            <w:r>
              <w:rPr>
                <w:rFonts w:ascii="Arial" w:cs="Arial" w:eastAsia="Arial" w:hAnsi="Arial"/>
                <w:sz w:val="15"/>
                <w:szCs w:val="15"/>
                <w:color w:val="auto"/>
              </w:rPr>
              <w:t>(9)</w:t>
            </w:r>
          </w:p>
        </w:tc>
        <w:tc>
          <w:tcPr>
            <w:tcW w:w="80" w:type="dxa"/>
            <w:vAlign w:val="bottom"/>
            <w:vMerge w:val="continue"/>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57</w:t>
            </w:r>
          </w:p>
        </w:tc>
        <w:tc>
          <w:tcPr>
            <w:tcW w:w="220" w:type="dxa"/>
            <w:vAlign w:val="bottom"/>
            <w:vMerge w:val="continue"/>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ind w:left="480"/>
              <w:spacing w:after="0"/>
              <w:rPr>
                <w:sz w:val="20"/>
                <w:szCs w:val="20"/>
                <w:color w:val="auto"/>
              </w:rPr>
            </w:pPr>
            <w:r>
              <w:rPr>
                <w:rFonts w:ascii="Arial" w:cs="Arial" w:eastAsia="Arial" w:hAnsi="Arial"/>
                <w:sz w:val="15"/>
                <w:szCs w:val="15"/>
                <w:color w:val="auto"/>
                <w:w w:val="93"/>
              </w:rPr>
              <w:t>—</w:t>
            </w:r>
          </w:p>
        </w:tc>
        <w:tc>
          <w:tcPr>
            <w:tcW w:w="120" w:type="dxa"/>
            <w:vAlign w:val="bottom"/>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5"/>
                <w:szCs w:val="15"/>
                <w:color w:val="auto"/>
              </w:rPr>
              <w:t>57</w:t>
            </w:r>
          </w:p>
        </w:tc>
        <w:tc>
          <w:tcPr>
            <w:tcW w:w="120" w:type="dxa"/>
            <w:vAlign w:val="bottom"/>
            <w:vMerge w:val="continue"/>
          </w:tcPr>
          <w:p>
            <w:pPr>
              <w:spacing w:after="0"/>
              <w:rPr>
                <w:sz w:val="16"/>
                <w:szCs w:val="16"/>
                <w:color w:val="auto"/>
              </w:rPr>
            </w:pPr>
          </w:p>
        </w:tc>
        <w:tc>
          <w:tcPr>
            <w:tcW w:w="120" w:type="dxa"/>
            <w:vAlign w:val="bottom"/>
            <w:tcBorders>
              <w:right w:val="single" w:sz="8" w:color="auto"/>
            </w:tcBorders>
            <w:vMerge w:val="continue"/>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164</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 w:lineRule="exact"/>
        <w:rPr>
          <w:sz w:val="20"/>
          <w:szCs w:val="20"/>
          <w:color w:val="auto"/>
        </w:rPr>
      </w:pPr>
    </w:p>
    <w:p>
      <w:pPr>
        <w:ind w:left="383" w:hanging="383"/>
        <w:spacing w:after="0"/>
        <w:tabs>
          <w:tab w:leader="none" w:pos="383" w:val="left"/>
        </w:tabs>
        <w:numPr>
          <w:ilvl w:val="0"/>
          <w:numId w:val="33"/>
        </w:numPr>
        <w:rPr>
          <w:rFonts w:ascii="Arial" w:cs="Arial" w:eastAsia="Arial" w:hAnsi="Arial"/>
          <w:sz w:val="14"/>
          <w:szCs w:val="14"/>
          <w:color w:val="auto"/>
        </w:rPr>
      </w:pPr>
      <w:r>
        <w:rPr>
          <w:rFonts w:ascii="Arial" w:cs="Arial" w:eastAsia="Arial" w:hAnsi="Arial"/>
          <w:sz w:val="16"/>
          <w:szCs w:val="16"/>
          <w:color w:val="auto"/>
        </w:rPr>
        <w:t>There are 60 million shares of no par value preferred stock authorized, 2 million of which have been issued.</w:t>
      </w:r>
    </w:p>
    <w:p>
      <w:pPr>
        <w:spacing w:after="0" w:line="106" w:lineRule="exact"/>
        <w:rPr>
          <w:rFonts w:ascii="Arial" w:cs="Arial" w:eastAsia="Arial" w:hAnsi="Arial"/>
          <w:sz w:val="14"/>
          <w:szCs w:val="14"/>
          <w:color w:val="auto"/>
        </w:rPr>
      </w:pPr>
    </w:p>
    <w:p>
      <w:pPr>
        <w:ind w:left="383" w:hanging="383"/>
        <w:spacing w:after="0"/>
        <w:tabs>
          <w:tab w:leader="none" w:pos="383" w:val="left"/>
        </w:tabs>
        <w:numPr>
          <w:ilvl w:val="0"/>
          <w:numId w:val="33"/>
        </w:numPr>
        <w:rPr>
          <w:rFonts w:ascii="Arial" w:cs="Arial" w:eastAsia="Arial" w:hAnsi="Arial"/>
          <w:sz w:val="14"/>
          <w:szCs w:val="14"/>
          <w:color w:val="auto"/>
        </w:rPr>
      </w:pPr>
      <w:r>
        <w:rPr>
          <w:rFonts w:ascii="Arial" w:cs="Arial" w:eastAsia="Arial" w:hAnsi="Arial"/>
          <w:sz w:val="16"/>
          <w:szCs w:val="16"/>
          <w:color w:val="auto"/>
        </w:rPr>
        <w:t>Represents purchases of common stock and/ or warrants to satisfy tax withholding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1941830</wp:posOffset>
            </wp:positionH>
            <wp:positionV relativeFrom="paragraph">
              <wp:posOffset>-300355</wp:posOffset>
            </wp:positionV>
            <wp:extent cx="5280660" cy="76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280660" cy="7620"/>
                    </a:xfrm>
                    <a:prstGeom prst="rect">
                      <a:avLst/>
                    </a:prstGeom>
                    <a:noFill/>
                  </pic:spPr>
                </pic:pic>
              </a:graphicData>
            </a:graphic>
          </wp:anchor>
        </w:drawing>
      </w:r>
    </w:p>
    <w:p>
      <w:pPr>
        <w:spacing w:after="0" w:line="243" w:lineRule="exact"/>
        <w:rPr>
          <w:sz w:val="20"/>
          <w:szCs w:val="20"/>
          <w:color w:val="auto"/>
        </w:rPr>
      </w:pPr>
    </w:p>
    <w:p>
      <w:pPr>
        <w:ind w:left="3"/>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62865</wp:posOffset>
            </wp:positionV>
            <wp:extent cx="7301865" cy="406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301865" cy="40640"/>
                    </a:xfrm>
                    <a:prstGeom prst="rect">
                      <a:avLst/>
                    </a:prstGeom>
                    <a:noFill/>
                  </pic:spPr>
                </pic:pic>
              </a:graphicData>
            </a:graphic>
          </wp:anchor>
        </w:drawing>
      </w:r>
    </w:p>
    <w:p>
      <w:pPr>
        <w:sectPr>
          <w:pgSz w:w="11900" w:h="16838" w:orient="portrait"/>
          <w:cols w:equalWidth="0" w:num="1">
            <w:col w:w="11443"/>
          </w:cols>
          <w:pgMar w:left="237" w:top="123" w:right="219" w:bottom="1440" w:gutter="0" w:footer="0" w:header="0"/>
        </w:sectPr>
      </w:pPr>
    </w:p>
    <w:bookmarkStart w:id="57" w:name="page58"/>
    <w:bookmarkEnd w:id="57"/>
    <w:p>
      <w:pPr>
        <w:spacing w:after="0"/>
        <w:rPr>
          <w:sz w:val="20"/>
          <w:szCs w:val="20"/>
          <w:color w:val="auto"/>
        </w:rPr>
      </w:pPr>
      <w:r>
        <w:rPr>
          <w:rFonts w:ascii="Arial" w:cs="Arial" w:eastAsia="Arial" w:hAnsi="Arial"/>
          <w:sz w:val="16"/>
          <w:szCs w:val="16"/>
          <w:b w:val="1"/>
          <w:bCs w:val="1"/>
          <w:color w:val="auto"/>
        </w:rPr>
        <w:t>EASTMAN KODAK COMPANY</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CONSOLIDATED STATEMENT OF CASH FLOW</w:t>
      </w:r>
    </w:p>
    <w:p>
      <w:pPr>
        <w:spacing w:after="0" w:line="62" w:lineRule="exact"/>
        <w:rPr>
          <w:sz w:val="20"/>
          <w:szCs w:val="20"/>
          <w:color w:val="auto"/>
        </w:rPr>
      </w:pPr>
    </w:p>
    <w:tbl>
      <w:tblPr>
        <w:tblLayout w:type="fixed"/>
        <w:tblInd w:w="580" w:type="dxa"/>
        <w:tblCellMar>
          <w:top w:w="0" w:type="dxa"/>
          <w:left w:w="0" w:type="dxa"/>
          <w:bottom w:w="0" w:type="dxa"/>
          <w:right w:w="0" w:type="dxa"/>
        </w:tblCellMar>
      </w:tblPr>
      <w:tr>
        <w:trPr>
          <w:trHeight w:val="167"/>
        </w:trPr>
        <w:tc>
          <w:tcPr>
            <w:tcW w:w="5400" w:type="dxa"/>
            <w:vAlign w:val="bottom"/>
            <w:gridSpan w:val="2"/>
            <w:vMerge w:val="restart"/>
          </w:tcPr>
          <w:p>
            <w:pPr>
              <w:spacing w:after="0"/>
              <w:rPr>
                <w:sz w:val="20"/>
                <w:szCs w:val="20"/>
                <w:color w:val="auto"/>
              </w:rPr>
            </w:pPr>
            <w:r>
              <w:rPr>
                <w:rFonts w:ascii="Arial" w:cs="Arial" w:eastAsia="Arial" w:hAnsi="Arial"/>
                <w:sz w:val="16"/>
                <w:szCs w:val="16"/>
                <w:color w:val="auto"/>
              </w:rPr>
              <w:t>(in millions)</w:t>
            </w: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4"/>
          </w:tcPr>
          <w:p>
            <w:pPr>
              <w:jc w:val="right"/>
              <w:ind w:right="140"/>
              <w:spacing w:after="0"/>
              <w:rPr>
                <w:sz w:val="20"/>
                <w:szCs w:val="20"/>
                <w:color w:val="auto"/>
              </w:rPr>
            </w:pPr>
            <w:r>
              <w:rPr>
                <w:rFonts w:ascii="Arial" w:cs="Arial" w:eastAsia="Arial" w:hAnsi="Arial"/>
                <w:sz w:val="13"/>
                <w:szCs w:val="13"/>
                <w:b w:val="1"/>
                <w:bCs w:val="1"/>
                <w:color w:val="auto"/>
                <w:w w:val="90"/>
              </w:rPr>
              <w:t>Year Ended December 31,</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5400" w:type="dxa"/>
            <w:vAlign w:val="bottom"/>
            <w:gridSpan w:val="2"/>
            <w:vMerge w:val="continue"/>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400"/>
              <w:spacing w:after="0"/>
              <w:rPr>
                <w:sz w:val="20"/>
                <w:szCs w:val="20"/>
                <w:color w:val="auto"/>
              </w:rPr>
            </w:pPr>
            <w:r>
              <w:rPr>
                <w:rFonts w:ascii="Arial" w:cs="Arial" w:eastAsia="Arial" w:hAnsi="Arial"/>
                <w:sz w:val="13"/>
                <w:szCs w:val="13"/>
                <w:b w:val="1"/>
                <w:bCs w:val="1"/>
                <w:color w:val="auto"/>
              </w:rPr>
              <w:t>2017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ind w:right="400"/>
              <w:spacing w:after="0"/>
              <w:rPr>
                <w:sz w:val="20"/>
                <w:szCs w:val="20"/>
                <w:color w:val="auto"/>
              </w:rPr>
            </w:pPr>
            <w:r>
              <w:rPr>
                <w:rFonts w:ascii="Arial" w:cs="Arial" w:eastAsia="Arial" w:hAnsi="Arial"/>
                <w:sz w:val="13"/>
                <w:szCs w:val="13"/>
                <w:b w:val="1"/>
                <w:bCs w:val="1"/>
                <w:color w:val="auto"/>
              </w:rPr>
              <w:t>2016</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jc w:val="right"/>
              <w:ind w:right="400"/>
              <w:spacing w:after="0"/>
              <w:rPr>
                <w:sz w:val="20"/>
                <w:szCs w:val="20"/>
                <w:color w:val="auto"/>
              </w:rPr>
            </w:pPr>
            <w:r>
              <w:rPr>
                <w:rFonts w:ascii="Arial" w:cs="Arial" w:eastAsia="Arial" w:hAnsi="Arial"/>
                <w:sz w:val="13"/>
                <w:szCs w:val="13"/>
                <w:b w:val="1"/>
                <w:bCs w:val="1"/>
                <w:color w:val="auto"/>
              </w:rPr>
              <w:t>2015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Cash flows from operating activities:</w:t>
            </w:r>
          </w:p>
        </w:tc>
        <w:tc>
          <w:tcPr>
            <w:tcW w:w="700" w:type="dxa"/>
            <w:vAlign w:val="bottom"/>
            <w:tcBorders>
              <w:top w:val="single" w:sz="8" w:color="CFF0FC"/>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380" w:type="dxa"/>
            <w:vAlign w:val="bottom"/>
          </w:tcPr>
          <w:p>
            <w:pPr>
              <w:spacing w:after="0"/>
              <w:rPr>
                <w:sz w:val="20"/>
                <w:szCs w:val="20"/>
                <w:color w:val="auto"/>
              </w:rPr>
            </w:pPr>
            <w:r>
              <w:rPr>
                <w:rFonts w:ascii="Arial" w:cs="Arial" w:eastAsia="Arial" w:hAnsi="Arial"/>
                <w:sz w:val="16"/>
                <w:szCs w:val="16"/>
                <w:color w:val="auto"/>
              </w:rPr>
              <w:t>Net earnings (loss)</w:t>
            </w:r>
          </w:p>
        </w:tc>
        <w:tc>
          <w:tcPr>
            <w:tcW w:w="980" w:type="dxa"/>
            <w:vAlign w:val="bottom"/>
            <w:gridSpan w:val="2"/>
          </w:tcPr>
          <w:p>
            <w:pPr>
              <w:jc w:val="right"/>
              <w:ind w:right="124"/>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94</w:t>
            </w:r>
          </w:p>
        </w:tc>
        <w:tc>
          <w:tcPr>
            <w:tcW w:w="80" w:type="dxa"/>
            <w:vAlign w:val="bottom"/>
          </w:tcPr>
          <w:p>
            <w:pPr>
              <w:spacing w:after="0"/>
              <w:rPr>
                <w:sz w:val="17"/>
                <w:szCs w:val="17"/>
                <w:color w:val="auto"/>
              </w:rPr>
            </w:pPr>
          </w:p>
        </w:tc>
        <w:tc>
          <w:tcPr>
            <w:tcW w:w="420" w:type="dxa"/>
            <w:vAlign w:val="bottom"/>
            <w:gridSpan w:val="2"/>
          </w:tcPr>
          <w:p>
            <w:pPr>
              <w:jc w:val="right"/>
              <w:ind w:right="104"/>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16</w:t>
            </w:r>
          </w:p>
        </w:tc>
        <w:tc>
          <w:tcPr>
            <w:tcW w:w="240" w:type="dxa"/>
            <w:vAlign w:val="bottom"/>
          </w:tcPr>
          <w:p>
            <w:pPr>
              <w:spacing w:after="0"/>
              <w:rPr>
                <w:sz w:val="17"/>
                <w:szCs w:val="17"/>
                <w:color w:val="auto"/>
              </w:rPr>
            </w:pPr>
          </w:p>
        </w:tc>
        <w:tc>
          <w:tcPr>
            <w:tcW w:w="260" w:type="dxa"/>
            <w:vAlign w:val="bottom"/>
            <w:gridSpan w:val="2"/>
          </w:tcPr>
          <w:p>
            <w:pPr>
              <w:jc w:val="right"/>
              <w:ind w:right="130"/>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40"/>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380" w:type="dxa"/>
            <w:vAlign w:val="bottom"/>
            <w:shd w:val="clear" w:color="auto" w:fill="CFF0FC"/>
          </w:tcPr>
          <w:p>
            <w:pPr>
              <w:spacing w:after="0"/>
              <w:rPr>
                <w:sz w:val="20"/>
                <w:szCs w:val="20"/>
                <w:color w:val="auto"/>
              </w:rPr>
            </w:pPr>
            <w:r>
              <w:rPr>
                <w:rFonts w:ascii="Arial" w:cs="Arial" w:eastAsia="Arial" w:hAnsi="Arial"/>
                <w:sz w:val="16"/>
                <w:szCs w:val="16"/>
                <w:color w:val="auto"/>
              </w:rPr>
              <w:t>Adjustments to reconcile to net cash used in operating activities:</w:t>
            </w:r>
          </w:p>
        </w:tc>
        <w:tc>
          <w:tcPr>
            <w:tcW w:w="7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380" w:type="dxa"/>
            <w:vAlign w:val="bottom"/>
          </w:tcPr>
          <w:p>
            <w:pPr>
              <w:spacing w:after="0"/>
              <w:rPr>
                <w:sz w:val="20"/>
                <w:szCs w:val="20"/>
                <w:color w:val="auto"/>
              </w:rPr>
            </w:pPr>
            <w:r>
              <w:rPr>
                <w:rFonts w:ascii="Arial" w:cs="Arial" w:eastAsia="Arial" w:hAnsi="Arial"/>
                <w:sz w:val="16"/>
                <w:szCs w:val="16"/>
                <w:color w:val="auto"/>
              </w:rPr>
              <w:t>Depreciation and amortization</w:t>
            </w: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105</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380" w:type="dxa"/>
            <w:vAlign w:val="bottom"/>
            <w:shd w:val="clear" w:color="auto" w:fill="CFF0FC"/>
          </w:tcPr>
          <w:p>
            <w:pPr>
              <w:spacing w:after="0"/>
              <w:rPr>
                <w:sz w:val="20"/>
                <w:szCs w:val="20"/>
                <w:color w:val="auto"/>
              </w:rPr>
            </w:pPr>
            <w:r>
              <w:rPr>
                <w:rFonts w:ascii="Arial" w:cs="Arial" w:eastAsia="Arial" w:hAnsi="Arial"/>
                <w:sz w:val="16"/>
                <w:szCs w:val="16"/>
                <w:color w:val="auto"/>
              </w:rPr>
              <w:t>Pension and other postretirement income</w:t>
            </w:r>
          </w:p>
        </w:tc>
        <w:tc>
          <w:tcPr>
            <w:tcW w:w="7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(119)</w:t>
            </w:r>
          </w:p>
        </w:tc>
        <w:tc>
          <w:tcPr>
            <w:tcW w:w="1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(147)</w:t>
            </w:r>
          </w:p>
        </w:tc>
        <w:tc>
          <w:tcPr>
            <w:tcW w:w="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(107)</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380" w:type="dxa"/>
            <w:vAlign w:val="bottom"/>
          </w:tcPr>
          <w:p>
            <w:pPr>
              <w:spacing w:after="0"/>
              <w:rPr>
                <w:sz w:val="20"/>
                <w:szCs w:val="20"/>
                <w:color w:val="auto"/>
              </w:rPr>
            </w:pPr>
            <w:r>
              <w:rPr>
                <w:rFonts w:ascii="Arial" w:cs="Arial" w:eastAsia="Arial" w:hAnsi="Arial"/>
                <w:sz w:val="16"/>
                <w:szCs w:val="16"/>
                <w:color w:val="auto"/>
              </w:rPr>
              <w:t>Change in fair value of embedded conversion features derivative liability</w:t>
            </w: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6"/>
                <w:szCs w:val="16"/>
                <w:color w:val="auto"/>
              </w:rPr>
              <w:t>(47)</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380" w:type="dxa"/>
            <w:vAlign w:val="bottom"/>
            <w:shd w:val="clear" w:color="auto" w:fill="CFF0FC"/>
          </w:tcPr>
          <w:p>
            <w:pPr>
              <w:spacing w:after="0"/>
              <w:rPr>
                <w:sz w:val="20"/>
                <w:szCs w:val="20"/>
                <w:color w:val="auto"/>
              </w:rPr>
            </w:pPr>
            <w:r>
              <w:rPr>
                <w:rFonts w:ascii="Arial" w:cs="Arial" w:eastAsia="Arial" w:hAnsi="Arial"/>
                <w:sz w:val="16"/>
                <w:szCs w:val="16"/>
                <w:color w:val="auto"/>
              </w:rPr>
              <w:t>Non-cash restructuring costs, asset impairments and other charges</w:t>
            </w:r>
          </w:p>
        </w:tc>
        <w:tc>
          <w:tcPr>
            <w:tcW w:w="7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89</w:t>
            </w: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w:t>
            </w:r>
          </w:p>
        </w:tc>
        <w:tc>
          <w:tcPr>
            <w:tcW w:w="2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380" w:type="dxa"/>
            <w:vAlign w:val="bottom"/>
          </w:tcPr>
          <w:p>
            <w:pPr>
              <w:spacing w:after="0"/>
              <w:rPr>
                <w:sz w:val="20"/>
                <w:szCs w:val="20"/>
                <w:color w:val="auto"/>
              </w:rPr>
            </w:pPr>
            <w:r>
              <w:rPr>
                <w:rFonts w:ascii="Arial" w:cs="Arial" w:eastAsia="Arial" w:hAnsi="Arial"/>
                <w:sz w:val="16"/>
                <w:szCs w:val="16"/>
                <w:color w:val="auto"/>
              </w:rPr>
              <w:t>Prosper asset remeasurement</w:t>
            </w: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380" w:type="dxa"/>
            <w:vAlign w:val="bottom"/>
            <w:shd w:val="clear" w:color="auto" w:fill="CFF0FC"/>
          </w:tcPr>
          <w:p>
            <w:pPr>
              <w:spacing w:after="0"/>
              <w:rPr>
                <w:sz w:val="20"/>
                <w:szCs w:val="20"/>
                <w:color w:val="auto"/>
              </w:rPr>
            </w:pPr>
            <w:r>
              <w:rPr>
                <w:rFonts w:ascii="Arial" w:cs="Arial" w:eastAsia="Arial" w:hAnsi="Arial"/>
                <w:sz w:val="16"/>
                <w:szCs w:val="16"/>
                <w:color w:val="auto"/>
              </w:rPr>
              <w:t>Stock based compensation</w:t>
            </w:r>
          </w:p>
        </w:tc>
        <w:tc>
          <w:tcPr>
            <w:tcW w:w="7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w:t>
            </w: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w:t>
            </w:r>
          </w:p>
        </w:tc>
        <w:tc>
          <w:tcPr>
            <w:tcW w:w="2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380" w:type="dxa"/>
            <w:vAlign w:val="bottom"/>
          </w:tcPr>
          <w:p>
            <w:pPr>
              <w:spacing w:after="0"/>
              <w:rPr>
                <w:sz w:val="20"/>
                <w:szCs w:val="20"/>
                <w:color w:val="auto"/>
              </w:rPr>
            </w:pPr>
            <w:r>
              <w:rPr>
                <w:rFonts w:ascii="Arial" w:cs="Arial" w:eastAsia="Arial" w:hAnsi="Arial"/>
                <w:sz w:val="16"/>
                <w:szCs w:val="16"/>
                <w:color w:val="auto"/>
              </w:rPr>
              <w:t>Non-cash changes in employee benefit reserves</w:t>
            </w: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(8)</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380" w:type="dxa"/>
            <w:vAlign w:val="bottom"/>
            <w:shd w:val="clear" w:color="auto" w:fill="CFF0FC"/>
          </w:tcPr>
          <w:p>
            <w:pPr>
              <w:spacing w:after="0"/>
              <w:rPr>
                <w:sz w:val="20"/>
                <w:szCs w:val="20"/>
                <w:color w:val="auto"/>
              </w:rPr>
            </w:pPr>
            <w:r>
              <w:rPr>
                <w:rFonts w:ascii="Arial" w:cs="Arial" w:eastAsia="Arial" w:hAnsi="Arial"/>
                <w:sz w:val="16"/>
                <w:szCs w:val="16"/>
                <w:color w:val="auto"/>
              </w:rPr>
              <w:t>Net gains on sales of businesses/assets</w:t>
            </w:r>
          </w:p>
        </w:tc>
        <w:tc>
          <w:tcPr>
            <w:tcW w:w="7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(8)</w:t>
            </w:r>
          </w:p>
        </w:tc>
        <w:tc>
          <w:tcPr>
            <w:tcW w:w="1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(9)</w:t>
            </w:r>
          </w:p>
        </w:tc>
        <w:tc>
          <w:tcPr>
            <w:tcW w:w="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380" w:type="dxa"/>
            <w:vAlign w:val="bottom"/>
          </w:tcPr>
          <w:p>
            <w:pPr>
              <w:spacing w:after="0"/>
              <w:rPr>
                <w:sz w:val="20"/>
                <w:szCs w:val="20"/>
                <w:color w:val="auto"/>
              </w:rPr>
            </w:pPr>
            <w:r>
              <w:rPr>
                <w:rFonts w:ascii="Arial" w:cs="Arial" w:eastAsia="Arial" w:hAnsi="Arial"/>
                <w:sz w:val="16"/>
                <w:szCs w:val="16"/>
                <w:color w:val="auto"/>
              </w:rPr>
              <w:t>Loss on deconsolidation of RED</w:t>
            </w: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380" w:type="dxa"/>
            <w:vAlign w:val="bottom"/>
            <w:shd w:val="clear" w:color="auto" w:fill="CFF0FC"/>
          </w:tcPr>
          <w:p>
            <w:pPr>
              <w:spacing w:after="0"/>
              <w:rPr>
                <w:sz w:val="20"/>
                <w:szCs w:val="20"/>
                <w:color w:val="auto"/>
              </w:rPr>
            </w:pPr>
            <w:r>
              <w:rPr>
                <w:rFonts w:ascii="Arial" w:cs="Arial" w:eastAsia="Arial" w:hAnsi="Arial"/>
                <w:sz w:val="16"/>
                <w:szCs w:val="16"/>
                <w:color w:val="auto"/>
              </w:rPr>
              <w:t>Gain on assets acquired for no monetary consideration</w:t>
            </w:r>
          </w:p>
        </w:tc>
        <w:tc>
          <w:tcPr>
            <w:tcW w:w="7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380" w:type="dxa"/>
            <w:vAlign w:val="bottom"/>
          </w:tcPr>
          <w:p>
            <w:pPr>
              <w:spacing w:after="0"/>
              <w:rPr>
                <w:sz w:val="20"/>
                <w:szCs w:val="20"/>
                <w:color w:val="auto"/>
              </w:rPr>
            </w:pPr>
            <w:r>
              <w:rPr>
                <w:rFonts w:ascii="Arial" w:cs="Arial" w:eastAsia="Arial" w:hAnsi="Arial"/>
                <w:sz w:val="16"/>
                <w:szCs w:val="16"/>
                <w:color w:val="auto"/>
              </w:rPr>
              <w:t>Reorganization items:</w:t>
            </w: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3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Payment of claims</w:t>
            </w:r>
          </w:p>
        </w:tc>
        <w:tc>
          <w:tcPr>
            <w:tcW w:w="7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380" w:type="dxa"/>
            <w:vAlign w:val="bottom"/>
          </w:tcPr>
          <w:p>
            <w:pPr>
              <w:ind w:left="200"/>
              <w:spacing w:after="0"/>
              <w:rPr>
                <w:sz w:val="20"/>
                <w:szCs w:val="20"/>
                <w:color w:val="auto"/>
              </w:rPr>
            </w:pPr>
            <w:r>
              <w:rPr>
                <w:rFonts w:ascii="Arial" w:cs="Arial" w:eastAsia="Arial" w:hAnsi="Arial"/>
                <w:sz w:val="16"/>
                <w:szCs w:val="16"/>
                <w:color w:val="auto"/>
              </w:rPr>
              <w:t>Other non-cash reorganization items, net</w:t>
            </w: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(7)</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380" w:type="dxa"/>
            <w:vAlign w:val="bottom"/>
            <w:shd w:val="clear" w:color="auto" w:fill="CFF0FC"/>
          </w:tcPr>
          <w:p>
            <w:pPr>
              <w:spacing w:after="0"/>
              <w:rPr>
                <w:sz w:val="20"/>
                <w:szCs w:val="20"/>
                <w:color w:val="auto"/>
              </w:rPr>
            </w:pPr>
            <w:r>
              <w:rPr>
                <w:rFonts w:ascii="Arial" w:cs="Arial" w:eastAsia="Arial" w:hAnsi="Arial"/>
                <w:sz w:val="16"/>
                <w:szCs w:val="16"/>
                <w:color w:val="auto"/>
              </w:rPr>
              <w:t>Loss on early extinguishment of debt</w:t>
            </w:r>
          </w:p>
        </w:tc>
        <w:tc>
          <w:tcPr>
            <w:tcW w:w="7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2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380" w:type="dxa"/>
            <w:vAlign w:val="bottom"/>
          </w:tcPr>
          <w:p>
            <w:pPr>
              <w:spacing w:after="0"/>
              <w:rPr>
                <w:sz w:val="20"/>
                <w:szCs w:val="20"/>
                <w:color w:val="auto"/>
              </w:rPr>
            </w:pPr>
            <w:r>
              <w:rPr>
                <w:rFonts w:ascii="Arial" w:cs="Arial" w:eastAsia="Arial" w:hAnsi="Arial"/>
                <w:sz w:val="16"/>
                <w:szCs w:val="16"/>
                <w:color w:val="auto"/>
              </w:rPr>
              <w:t>(Benefit) provision for deferred income taxes</w:t>
            </w: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6"/>
                <w:szCs w:val="16"/>
                <w:color w:val="auto"/>
              </w:rPr>
              <w:t>(129)</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380" w:type="dxa"/>
            <w:vAlign w:val="bottom"/>
            <w:shd w:val="clear" w:color="auto" w:fill="CFF0FC"/>
          </w:tcPr>
          <w:p>
            <w:pPr>
              <w:spacing w:after="0"/>
              <w:rPr>
                <w:sz w:val="20"/>
                <w:szCs w:val="20"/>
                <w:color w:val="auto"/>
              </w:rPr>
            </w:pPr>
            <w:r>
              <w:rPr>
                <w:rFonts w:ascii="Arial" w:cs="Arial" w:eastAsia="Arial" w:hAnsi="Arial"/>
                <w:sz w:val="16"/>
                <w:szCs w:val="16"/>
                <w:color w:val="auto"/>
              </w:rPr>
              <w:t>Decrease in trade receivables</w:t>
            </w:r>
          </w:p>
        </w:tc>
        <w:tc>
          <w:tcPr>
            <w:tcW w:w="7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w:t>
            </w: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w:t>
            </w:r>
          </w:p>
        </w:tc>
        <w:tc>
          <w:tcPr>
            <w:tcW w:w="2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380" w:type="dxa"/>
            <w:vAlign w:val="bottom"/>
          </w:tcPr>
          <w:p>
            <w:pPr>
              <w:spacing w:after="0"/>
              <w:rPr>
                <w:sz w:val="20"/>
                <w:szCs w:val="20"/>
                <w:color w:val="auto"/>
              </w:rPr>
            </w:pPr>
            <w:r>
              <w:rPr>
                <w:rFonts w:ascii="Arial" w:cs="Arial" w:eastAsia="Arial" w:hAnsi="Arial"/>
                <w:sz w:val="16"/>
                <w:szCs w:val="16"/>
                <w:color w:val="auto"/>
              </w:rPr>
              <w:t>(Increase) decrease in inventories</w:t>
            </w: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6"/>
                <w:szCs w:val="16"/>
                <w:color w:val="auto"/>
              </w:rPr>
              <w:t>(4)</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16</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380" w:type="dxa"/>
            <w:vAlign w:val="bottom"/>
            <w:shd w:val="clear" w:color="auto" w:fill="CFF0FC"/>
          </w:tcPr>
          <w:p>
            <w:pPr>
              <w:spacing w:after="0"/>
              <w:rPr>
                <w:sz w:val="20"/>
                <w:szCs w:val="20"/>
                <w:color w:val="auto"/>
              </w:rPr>
            </w:pPr>
            <w:r>
              <w:rPr>
                <w:rFonts w:ascii="Arial" w:cs="Arial" w:eastAsia="Arial" w:hAnsi="Arial"/>
                <w:sz w:val="16"/>
                <w:szCs w:val="16"/>
                <w:color w:val="auto"/>
              </w:rPr>
              <w:t>(Decrease) increase in trade accounts payable</w:t>
            </w:r>
          </w:p>
        </w:tc>
        <w:tc>
          <w:tcPr>
            <w:tcW w:w="7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(14)</w:t>
            </w:r>
          </w:p>
        </w:tc>
        <w:tc>
          <w:tcPr>
            <w:tcW w:w="1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w:t>
            </w:r>
          </w:p>
        </w:tc>
        <w:tc>
          <w:tcPr>
            <w:tcW w:w="2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380" w:type="dxa"/>
            <w:vAlign w:val="bottom"/>
          </w:tcPr>
          <w:p>
            <w:pPr>
              <w:spacing w:after="0"/>
              <w:rPr>
                <w:sz w:val="20"/>
                <w:szCs w:val="20"/>
                <w:color w:val="auto"/>
              </w:rPr>
            </w:pPr>
            <w:r>
              <w:rPr>
                <w:rFonts w:ascii="Arial" w:cs="Arial" w:eastAsia="Arial" w:hAnsi="Arial"/>
                <w:sz w:val="16"/>
                <w:szCs w:val="16"/>
                <w:color w:val="auto"/>
              </w:rPr>
              <w:t>Decrease in liabilities excluding borrowings</w:t>
            </w: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6"/>
                <w:szCs w:val="16"/>
                <w:color w:val="auto"/>
              </w:rPr>
              <w:t>(37)</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(74)</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380" w:type="dxa"/>
            <w:vAlign w:val="bottom"/>
            <w:shd w:val="clear" w:color="auto" w:fill="CFF0FC"/>
          </w:tcPr>
          <w:p>
            <w:pPr>
              <w:spacing w:after="0"/>
              <w:rPr>
                <w:sz w:val="20"/>
                <w:szCs w:val="20"/>
                <w:color w:val="auto"/>
              </w:rPr>
            </w:pPr>
            <w:r>
              <w:rPr>
                <w:rFonts w:ascii="Arial" w:cs="Arial" w:eastAsia="Arial" w:hAnsi="Arial"/>
                <w:sz w:val="16"/>
                <w:szCs w:val="16"/>
                <w:color w:val="auto"/>
              </w:rPr>
              <w:t>Other items, net</w:t>
            </w:r>
          </w:p>
        </w:tc>
        <w:tc>
          <w:tcPr>
            <w:tcW w:w="7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(4)</w:t>
            </w:r>
          </w:p>
        </w:tc>
        <w:tc>
          <w:tcPr>
            <w:tcW w:w="1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(7)</w:t>
            </w:r>
          </w:p>
        </w:tc>
        <w:tc>
          <w:tcPr>
            <w:tcW w:w="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400" w:type="dxa"/>
            <w:vAlign w:val="bottom"/>
            <w:gridSpan w:val="2"/>
          </w:tcPr>
          <w:p>
            <w:pPr>
              <w:spacing w:after="0"/>
              <w:rPr>
                <w:sz w:val="20"/>
                <w:szCs w:val="20"/>
                <w:color w:val="auto"/>
              </w:rPr>
            </w:pPr>
            <w:r>
              <w:rPr>
                <w:rFonts w:ascii="Arial" w:cs="Arial" w:eastAsia="Arial" w:hAnsi="Arial"/>
                <w:sz w:val="16"/>
                <w:szCs w:val="16"/>
                <w:color w:val="auto"/>
              </w:rPr>
              <w:t>Total adjustments</w:t>
            </w:r>
          </w:p>
        </w:tc>
        <w:tc>
          <w:tcPr>
            <w:tcW w:w="7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Net cash used in operating activities</w:t>
            </w:r>
          </w:p>
        </w:tc>
        <w:tc>
          <w:tcPr>
            <w:tcW w:w="700" w:type="dxa"/>
            <w:vAlign w:val="bottom"/>
            <w:tcBorders>
              <w:top w:val="single" w:sz="8" w:color="CFF0FC"/>
            </w:tcBorders>
            <w:shd w:val="clear" w:color="auto" w:fill="CFF0FC"/>
          </w:tcPr>
          <w:p>
            <w:pPr>
              <w:spacing w:after="0"/>
              <w:rPr>
                <w:sz w:val="17"/>
                <w:szCs w:val="17"/>
                <w:color w:val="auto"/>
              </w:rPr>
            </w:pPr>
          </w:p>
        </w:tc>
        <w:tc>
          <w:tcPr>
            <w:tcW w:w="280" w:type="dxa"/>
            <w:vAlign w:val="bottom"/>
            <w:tcBorders>
              <w:top w:val="single" w:sz="8" w:color="auto"/>
              <w:bottom w:val="single" w:sz="8" w:color="auto"/>
            </w:tcBorders>
            <w:shd w:val="clear" w:color="auto" w:fill="CFF0FC"/>
          </w:tcPr>
          <w:p>
            <w:pPr>
              <w:spacing w:after="0"/>
              <w:rPr>
                <w:sz w:val="17"/>
                <w:szCs w:val="17"/>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(67)</w:t>
            </w:r>
          </w:p>
        </w:tc>
        <w:tc>
          <w:tcPr>
            <w:tcW w:w="8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bottom w:val="single" w:sz="8" w:color="auto"/>
            </w:tcBorders>
            <w:shd w:val="clear" w:color="auto" w:fill="CFF0FC"/>
          </w:tcPr>
          <w:p>
            <w:pPr>
              <w:spacing w:after="0"/>
              <w:rPr>
                <w:sz w:val="17"/>
                <w:szCs w:val="17"/>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w:t>
            </w:r>
          </w:p>
        </w:tc>
        <w:tc>
          <w:tcPr>
            <w:tcW w:w="24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bottom w:val="single" w:sz="8" w:color="auto"/>
            </w:tcBorders>
            <w:shd w:val="clear" w:color="auto" w:fill="CFF0FC"/>
          </w:tcPr>
          <w:p>
            <w:pPr>
              <w:spacing w:after="0"/>
              <w:rPr>
                <w:sz w:val="17"/>
                <w:szCs w:val="17"/>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(95)</w:t>
            </w: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5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5380" w:type="dxa"/>
            <w:vAlign w:val="bottom"/>
            <w:shd w:val="clear" w:color="auto" w:fill="CFF0FC"/>
          </w:tcPr>
          <w:p>
            <w:pPr>
              <w:spacing w:after="0"/>
              <w:rPr>
                <w:sz w:val="20"/>
                <w:szCs w:val="20"/>
                <w:color w:val="auto"/>
              </w:rPr>
            </w:pPr>
            <w:r>
              <w:rPr>
                <w:rFonts w:ascii="Arial" w:cs="Arial" w:eastAsia="Arial" w:hAnsi="Arial"/>
                <w:sz w:val="16"/>
                <w:szCs w:val="16"/>
                <w:color w:val="auto"/>
              </w:rPr>
              <w:t>Cash flows from investing activities:</w:t>
            </w:r>
          </w:p>
        </w:tc>
        <w:tc>
          <w:tcPr>
            <w:tcW w:w="7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380" w:type="dxa"/>
            <w:vAlign w:val="bottom"/>
          </w:tcPr>
          <w:p>
            <w:pPr>
              <w:spacing w:after="0"/>
              <w:rPr>
                <w:sz w:val="20"/>
                <w:szCs w:val="20"/>
                <w:color w:val="auto"/>
              </w:rPr>
            </w:pPr>
            <w:r>
              <w:rPr>
                <w:rFonts w:ascii="Arial" w:cs="Arial" w:eastAsia="Arial" w:hAnsi="Arial"/>
                <w:sz w:val="16"/>
                <w:szCs w:val="16"/>
                <w:color w:val="auto"/>
              </w:rPr>
              <w:t>Additions to properties</w:t>
            </w: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6"/>
                <w:szCs w:val="16"/>
                <w:color w:val="auto"/>
              </w:rPr>
              <w:t>(38)</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(41)</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380" w:type="dxa"/>
            <w:vAlign w:val="bottom"/>
            <w:shd w:val="clear" w:color="auto" w:fill="CFF0FC"/>
          </w:tcPr>
          <w:p>
            <w:pPr>
              <w:spacing w:after="0"/>
              <w:rPr>
                <w:sz w:val="20"/>
                <w:szCs w:val="20"/>
                <w:color w:val="auto"/>
              </w:rPr>
            </w:pPr>
            <w:r>
              <w:rPr>
                <w:rFonts w:ascii="Arial" w:cs="Arial" w:eastAsia="Arial" w:hAnsi="Arial"/>
                <w:sz w:val="16"/>
                <w:szCs w:val="16"/>
                <w:color w:val="auto"/>
              </w:rPr>
              <w:t>Net proceeds from sales of businesses/assets, net</w:t>
            </w:r>
          </w:p>
        </w:tc>
        <w:tc>
          <w:tcPr>
            <w:tcW w:w="7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w:t>
            </w: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w:t>
            </w:r>
          </w:p>
        </w:tc>
        <w:tc>
          <w:tcPr>
            <w:tcW w:w="2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380" w:type="dxa"/>
            <w:vAlign w:val="bottom"/>
          </w:tcPr>
          <w:p>
            <w:pPr>
              <w:spacing w:after="0"/>
              <w:rPr>
                <w:sz w:val="20"/>
                <w:szCs w:val="20"/>
                <w:color w:val="auto"/>
              </w:rPr>
            </w:pPr>
            <w:r>
              <w:rPr>
                <w:rFonts w:ascii="Arial" w:cs="Arial" w:eastAsia="Arial" w:hAnsi="Arial"/>
                <w:sz w:val="16"/>
                <w:szCs w:val="16"/>
                <w:color w:val="auto"/>
              </w:rPr>
              <w:t>Proceeds from sales of marketable securities</w:t>
            </w: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380" w:type="dxa"/>
            <w:vAlign w:val="bottom"/>
            <w:shd w:val="clear" w:color="auto" w:fill="CFF0FC"/>
          </w:tcPr>
          <w:p>
            <w:pPr>
              <w:spacing w:after="0"/>
              <w:rPr>
                <w:sz w:val="20"/>
                <w:szCs w:val="20"/>
                <w:color w:val="auto"/>
              </w:rPr>
            </w:pPr>
            <w:r>
              <w:rPr>
                <w:rFonts w:ascii="Arial" w:cs="Arial" w:eastAsia="Arial" w:hAnsi="Arial"/>
                <w:sz w:val="16"/>
                <w:szCs w:val="16"/>
                <w:color w:val="auto"/>
              </w:rPr>
              <w:t>Reduction in cash due to deconsolidation of RED</w:t>
            </w:r>
          </w:p>
        </w:tc>
        <w:tc>
          <w:tcPr>
            <w:tcW w:w="7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(3)</w:t>
            </w:r>
          </w:p>
        </w:tc>
        <w:tc>
          <w:tcPr>
            <w:tcW w:w="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8"/>
        </w:trPr>
        <w:tc>
          <w:tcPr>
            <w:tcW w:w="5400" w:type="dxa"/>
            <w:vAlign w:val="bottom"/>
            <w:gridSpan w:val="2"/>
          </w:tcPr>
          <w:p>
            <w:pPr>
              <w:spacing w:after="0"/>
              <w:rPr>
                <w:sz w:val="20"/>
                <w:szCs w:val="20"/>
                <w:color w:val="auto"/>
              </w:rPr>
            </w:pPr>
            <w:r>
              <w:rPr>
                <w:rFonts w:ascii="Arial" w:cs="Arial" w:eastAsia="Arial" w:hAnsi="Arial"/>
                <w:sz w:val="16"/>
                <w:szCs w:val="16"/>
                <w:color w:val="auto"/>
              </w:rPr>
              <w:t>Net cash used in investing activities</w:t>
            </w:r>
          </w:p>
        </w:tc>
        <w:tc>
          <w:tcPr>
            <w:tcW w:w="7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5380" w:type="dxa"/>
            <w:vAlign w:val="bottom"/>
            <w:tcBorders>
              <w:top w:val="single" w:sz="8" w:color="CFF0FC"/>
            </w:tcBorders>
            <w:shd w:val="clear" w:color="auto" w:fill="CFF0FC"/>
          </w:tcPr>
          <w:p>
            <w:pPr>
              <w:spacing w:after="0"/>
              <w:rPr>
                <w:sz w:val="17"/>
                <w:szCs w:val="17"/>
                <w:color w:val="auto"/>
              </w:rPr>
            </w:pPr>
          </w:p>
        </w:tc>
        <w:tc>
          <w:tcPr>
            <w:tcW w:w="700" w:type="dxa"/>
            <w:vAlign w:val="bottom"/>
            <w:tcBorders>
              <w:top w:val="single" w:sz="8" w:color="CFF0FC"/>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5380" w:type="dxa"/>
            <w:vAlign w:val="bottom"/>
          </w:tcPr>
          <w:p>
            <w:pPr>
              <w:spacing w:after="0"/>
              <w:rPr>
                <w:sz w:val="20"/>
                <w:szCs w:val="20"/>
                <w:color w:val="auto"/>
              </w:rPr>
            </w:pPr>
            <w:r>
              <w:rPr>
                <w:rFonts w:ascii="Arial" w:cs="Arial" w:eastAsia="Arial" w:hAnsi="Arial"/>
                <w:sz w:val="16"/>
                <w:szCs w:val="16"/>
                <w:color w:val="auto"/>
              </w:rPr>
              <w:t>Cash flows from financing activities:</w:t>
            </w: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380" w:type="dxa"/>
            <w:vAlign w:val="bottom"/>
            <w:shd w:val="clear" w:color="auto" w:fill="CFF0FC"/>
          </w:tcPr>
          <w:p>
            <w:pPr>
              <w:spacing w:after="0"/>
              <w:rPr>
                <w:sz w:val="20"/>
                <w:szCs w:val="20"/>
                <w:color w:val="auto"/>
              </w:rPr>
            </w:pPr>
            <w:r>
              <w:rPr>
                <w:rFonts w:ascii="Arial" w:cs="Arial" w:eastAsia="Arial" w:hAnsi="Arial"/>
                <w:sz w:val="16"/>
                <w:szCs w:val="16"/>
                <w:color w:val="auto"/>
              </w:rPr>
              <w:t>Repayment of emergence credit facilities</w:t>
            </w:r>
          </w:p>
        </w:tc>
        <w:tc>
          <w:tcPr>
            <w:tcW w:w="7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(7)</w:t>
            </w:r>
          </w:p>
        </w:tc>
        <w:tc>
          <w:tcPr>
            <w:tcW w:w="1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(282)</w:t>
            </w:r>
          </w:p>
        </w:tc>
        <w:tc>
          <w:tcPr>
            <w:tcW w:w="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380" w:type="dxa"/>
            <w:vAlign w:val="bottom"/>
          </w:tcPr>
          <w:p>
            <w:pPr>
              <w:spacing w:after="0"/>
              <w:rPr>
                <w:sz w:val="20"/>
                <w:szCs w:val="20"/>
                <w:color w:val="auto"/>
              </w:rPr>
            </w:pPr>
            <w:r>
              <w:rPr>
                <w:rFonts w:ascii="Arial" w:cs="Arial" w:eastAsia="Arial" w:hAnsi="Arial"/>
                <w:sz w:val="16"/>
                <w:szCs w:val="16"/>
                <w:color w:val="auto"/>
              </w:rPr>
              <w:t>Preferred stock dividend payments</w:t>
            </w: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6"/>
                <w:szCs w:val="16"/>
                <w:color w:val="auto"/>
              </w:rPr>
              <w:t>(10)</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380" w:type="dxa"/>
            <w:vAlign w:val="bottom"/>
            <w:shd w:val="clear" w:color="auto" w:fill="CFF0FC"/>
          </w:tcPr>
          <w:p>
            <w:pPr>
              <w:spacing w:after="0"/>
              <w:rPr>
                <w:sz w:val="20"/>
                <w:szCs w:val="20"/>
                <w:color w:val="auto"/>
              </w:rPr>
            </w:pPr>
            <w:r>
              <w:rPr>
                <w:rFonts w:ascii="Arial" w:cs="Arial" w:eastAsia="Arial" w:hAnsi="Arial"/>
                <w:sz w:val="16"/>
                <w:szCs w:val="16"/>
                <w:color w:val="auto"/>
              </w:rPr>
              <w:t>Net proceeds from the issuance of preferred stock</w:t>
            </w:r>
          </w:p>
        </w:tc>
        <w:tc>
          <w:tcPr>
            <w:tcW w:w="7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198</w:t>
            </w:r>
          </w:p>
        </w:tc>
        <w:tc>
          <w:tcPr>
            <w:tcW w:w="2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380" w:type="dxa"/>
            <w:vAlign w:val="bottom"/>
          </w:tcPr>
          <w:p>
            <w:pPr>
              <w:spacing w:after="0"/>
              <w:rPr>
                <w:sz w:val="20"/>
                <w:szCs w:val="20"/>
                <w:color w:val="auto"/>
              </w:rPr>
            </w:pPr>
            <w:r>
              <w:rPr>
                <w:rFonts w:ascii="Arial" w:cs="Arial" w:eastAsia="Arial" w:hAnsi="Arial"/>
                <w:sz w:val="16"/>
                <w:szCs w:val="16"/>
                <w:color w:val="auto"/>
              </w:rPr>
              <w:t>Payment of contingent consideration related to the sale of a business</w:t>
            </w: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6"/>
                <w:szCs w:val="16"/>
                <w:color w:val="auto"/>
              </w:rPr>
              <w:t>(7)</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(4)</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380" w:type="dxa"/>
            <w:vAlign w:val="bottom"/>
            <w:shd w:val="clear" w:color="auto" w:fill="CFF0FC"/>
          </w:tcPr>
          <w:p>
            <w:pPr>
              <w:spacing w:after="0"/>
              <w:rPr>
                <w:sz w:val="20"/>
                <w:szCs w:val="20"/>
                <w:color w:val="auto"/>
              </w:rPr>
            </w:pPr>
            <w:r>
              <w:rPr>
                <w:rFonts w:ascii="Arial" w:cs="Arial" w:eastAsia="Arial" w:hAnsi="Arial"/>
                <w:sz w:val="16"/>
                <w:szCs w:val="16"/>
                <w:color w:val="auto"/>
              </w:rPr>
              <w:t>Capital lease payments</w:t>
            </w:r>
          </w:p>
        </w:tc>
        <w:tc>
          <w:tcPr>
            <w:tcW w:w="7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(4)</w:t>
            </w:r>
          </w:p>
        </w:tc>
        <w:tc>
          <w:tcPr>
            <w:tcW w:w="1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380" w:type="dxa"/>
            <w:vAlign w:val="bottom"/>
          </w:tcPr>
          <w:p>
            <w:pPr>
              <w:spacing w:after="0"/>
              <w:rPr>
                <w:sz w:val="20"/>
                <w:szCs w:val="20"/>
                <w:color w:val="auto"/>
              </w:rPr>
            </w:pPr>
            <w:r>
              <w:rPr>
                <w:rFonts w:ascii="Arial" w:cs="Arial" w:eastAsia="Arial" w:hAnsi="Arial"/>
                <w:sz w:val="16"/>
                <w:szCs w:val="16"/>
                <w:color w:val="auto"/>
              </w:rPr>
              <w:t>Treasury stock purchases</w:t>
            </w: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6"/>
                <w:szCs w:val="16"/>
                <w:color w:val="auto"/>
              </w:rPr>
              <w:t>(1)</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(3)</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380" w:type="dxa"/>
            <w:vAlign w:val="bottom"/>
            <w:shd w:val="clear" w:color="auto" w:fill="CFF0FC"/>
          </w:tcPr>
          <w:p>
            <w:pPr>
              <w:spacing w:after="0"/>
              <w:rPr>
                <w:sz w:val="20"/>
                <w:szCs w:val="20"/>
                <w:color w:val="auto"/>
              </w:rPr>
            </w:pPr>
            <w:r>
              <w:rPr>
                <w:rFonts w:ascii="Arial" w:cs="Arial" w:eastAsia="Arial" w:hAnsi="Arial"/>
                <w:sz w:val="16"/>
                <w:szCs w:val="16"/>
                <w:color w:val="auto"/>
              </w:rPr>
              <w:t>Equity transactions of noncontrolling interests</w:t>
            </w:r>
          </w:p>
        </w:tc>
        <w:tc>
          <w:tcPr>
            <w:tcW w:w="7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w:t>
            </w:r>
          </w:p>
        </w:tc>
        <w:tc>
          <w:tcPr>
            <w:tcW w:w="2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380" w:type="dxa"/>
            <w:vAlign w:val="bottom"/>
          </w:tcPr>
          <w:p>
            <w:pPr>
              <w:spacing w:after="0"/>
              <w:rPr>
                <w:sz w:val="20"/>
                <w:szCs w:val="20"/>
                <w:color w:val="auto"/>
              </w:rPr>
            </w:pPr>
            <w:r>
              <w:rPr>
                <w:rFonts w:ascii="Arial" w:cs="Arial" w:eastAsia="Arial" w:hAnsi="Arial"/>
                <w:sz w:val="16"/>
                <w:szCs w:val="16"/>
                <w:color w:val="auto"/>
              </w:rPr>
              <w:t>Net proceeds of other borrowings</w:t>
            </w: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380" w:type="dxa"/>
            <w:vAlign w:val="bottom"/>
            <w:shd w:val="clear" w:color="auto" w:fill="CFF0FC"/>
          </w:tcPr>
          <w:p>
            <w:pPr>
              <w:spacing w:after="0"/>
              <w:rPr>
                <w:sz w:val="20"/>
                <w:szCs w:val="20"/>
                <w:color w:val="auto"/>
              </w:rPr>
            </w:pPr>
            <w:r>
              <w:rPr>
                <w:rFonts w:ascii="Arial" w:cs="Arial" w:eastAsia="Arial" w:hAnsi="Arial"/>
                <w:sz w:val="16"/>
                <w:szCs w:val="16"/>
                <w:color w:val="auto"/>
              </w:rPr>
              <w:t>Proceeds from sale leaseback transactions</w:t>
            </w:r>
          </w:p>
        </w:tc>
        <w:tc>
          <w:tcPr>
            <w:tcW w:w="7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2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8"/>
        </w:trPr>
        <w:tc>
          <w:tcPr>
            <w:tcW w:w="5400" w:type="dxa"/>
            <w:vAlign w:val="bottom"/>
            <w:gridSpan w:val="2"/>
          </w:tcPr>
          <w:p>
            <w:pPr>
              <w:spacing w:after="0"/>
              <w:rPr>
                <w:sz w:val="20"/>
                <w:szCs w:val="20"/>
                <w:color w:val="auto"/>
              </w:rPr>
            </w:pPr>
            <w:r>
              <w:rPr>
                <w:rFonts w:ascii="Arial" w:cs="Arial" w:eastAsia="Arial" w:hAnsi="Arial"/>
                <w:sz w:val="16"/>
                <w:szCs w:val="16"/>
                <w:color w:val="auto"/>
              </w:rPr>
              <w:t>Net cash used in financing activities</w:t>
            </w:r>
          </w:p>
        </w:tc>
        <w:tc>
          <w:tcPr>
            <w:tcW w:w="7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(72)</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Effect of exchange rate changes on cash, cash equivalents and</w:t>
            </w:r>
          </w:p>
        </w:tc>
        <w:tc>
          <w:tcPr>
            <w:tcW w:w="700" w:type="dxa"/>
            <w:vAlign w:val="bottom"/>
            <w:tcBorders>
              <w:top w:val="single" w:sz="8" w:color="CFF0FC"/>
            </w:tcBorders>
            <w:shd w:val="clear" w:color="auto" w:fill="CFF0FC"/>
          </w:tcPr>
          <w:p>
            <w:pPr>
              <w:spacing w:after="0"/>
              <w:rPr>
                <w:sz w:val="16"/>
                <w:szCs w:val="16"/>
                <w:color w:val="auto"/>
              </w:rPr>
            </w:pPr>
          </w:p>
        </w:tc>
        <w:tc>
          <w:tcPr>
            <w:tcW w:w="280" w:type="dxa"/>
            <w:vAlign w:val="bottom"/>
            <w:tcBorders>
              <w:top w:val="single" w:sz="8" w:color="auto"/>
            </w:tcBorders>
            <w:shd w:val="clear" w:color="auto" w:fill="CFF0FC"/>
          </w:tcPr>
          <w:p>
            <w:pPr>
              <w:spacing w:after="0"/>
              <w:rPr>
                <w:sz w:val="16"/>
                <w:szCs w:val="16"/>
                <w:color w:val="auto"/>
              </w:rPr>
            </w:pPr>
          </w:p>
        </w:tc>
        <w:tc>
          <w:tcPr>
            <w:tcW w:w="920" w:type="dxa"/>
            <w:vAlign w:val="bottom"/>
            <w:tcBorders>
              <w:top w:val="single" w:sz="8" w:color="auto"/>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160" w:type="dxa"/>
            <w:vAlign w:val="bottom"/>
            <w:tcBorders>
              <w:top w:val="single" w:sz="8" w:color="CFF0FC"/>
            </w:tcBorders>
            <w:shd w:val="clear" w:color="auto" w:fill="CFF0FC"/>
          </w:tcPr>
          <w:p>
            <w:pPr>
              <w:spacing w:after="0"/>
              <w:rPr>
                <w:sz w:val="16"/>
                <w:szCs w:val="16"/>
                <w:color w:val="auto"/>
              </w:rPr>
            </w:pPr>
          </w:p>
        </w:tc>
        <w:tc>
          <w:tcPr>
            <w:tcW w:w="260" w:type="dxa"/>
            <w:vAlign w:val="bottom"/>
            <w:tcBorders>
              <w:top w:val="single" w:sz="8" w:color="auto"/>
            </w:tcBorders>
            <w:shd w:val="clear" w:color="auto" w:fill="CFF0FC"/>
          </w:tcPr>
          <w:p>
            <w:pPr>
              <w:spacing w:after="0"/>
              <w:rPr>
                <w:sz w:val="16"/>
                <w:szCs w:val="16"/>
                <w:color w:val="auto"/>
              </w:rPr>
            </w:pPr>
          </w:p>
        </w:tc>
        <w:tc>
          <w:tcPr>
            <w:tcW w:w="940" w:type="dxa"/>
            <w:vAlign w:val="bottom"/>
            <w:tcBorders>
              <w:top w:val="single" w:sz="8" w:color="auto"/>
            </w:tcBorders>
            <w:shd w:val="clear" w:color="auto" w:fill="CFF0FC"/>
          </w:tcPr>
          <w:p>
            <w:pPr>
              <w:spacing w:after="0"/>
              <w:rPr>
                <w:sz w:val="16"/>
                <w:szCs w:val="16"/>
                <w:color w:val="auto"/>
              </w:rPr>
            </w:pPr>
          </w:p>
        </w:tc>
        <w:tc>
          <w:tcPr>
            <w:tcW w:w="240" w:type="dxa"/>
            <w:vAlign w:val="bottom"/>
            <w:tcBorders>
              <w:top w:val="single" w:sz="8" w:color="CFF0FC"/>
            </w:tcBorders>
            <w:shd w:val="clear" w:color="auto" w:fill="CFF0FC"/>
          </w:tcPr>
          <w:p>
            <w:pPr>
              <w:spacing w:after="0"/>
              <w:rPr>
                <w:sz w:val="16"/>
                <w:szCs w:val="16"/>
                <w:color w:val="auto"/>
              </w:rPr>
            </w:pPr>
          </w:p>
        </w:tc>
        <w:tc>
          <w:tcPr>
            <w:tcW w:w="20" w:type="dxa"/>
            <w:vAlign w:val="bottom"/>
            <w:tcBorders>
              <w:top w:val="single" w:sz="8" w:color="CFF0FC"/>
            </w:tcBorders>
            <w:shd w:val="clear" w:color="auto" w:fill="CFF0FC"/>
          </w:tcPr>
          <w:p>
            <w:pPr>
              <w:spacing w:after="0"/>
              <w:rPr>
                <w:sz w:val="16"/>
                <w:szCs w:val="16"/>
                <w:color w:val="auto"/>
              </w:rPr>
            </w:pPr>
          </w:p>
        </w:tc>
        <w:tc>
          <w:tcPr>
            <w:tcW w:w="240" w:type="dxa"/>
            <w:vAlign w:val="bottom"/>
            <w:tcBorders>
              <w:top w:val="single" w:sz="8" w:color="auto"/>
            </w:tcBorders>
            <w:shd w:val="clear" w:color="auto" w:fill="CFF0FC"/>
          </w:tcPr>
          <w:p>
            <w:pPr>
              <w:spacing w:after="0"/>
              <w:rPr>
                <w:sz w:val="16"/>
                <w:szCs w:val="16"/>
                <w:color w:val="auto"/>
              </w:rPr>
            </w:pPr>
          </w:p>
        </w:tc>
        <w:tc>
          <w:tcPr>
            <w:tcW w:w="94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380" w:type="dxa"/>
            <w:vAlign w:val="bottom"/>
            <w:shd w:val="clear" w:color="auto" w:fill="CFF0FC"/>
          </w:tcPr>
          <w:p>
            <w:pPr>
              <w:ind w:left="100"/>
              <w:spacing w:after="0"/>
              <w:rPr>
                <w:sz w:val="20"/>
                <w:szCs w:val="20"/>
                <w:color w:val="auto"/>
              </w:rPr>
            </w:pPr>
            <w:r>
              <w:rPr>
                <w:rFonts w:ascii="Arial" w:cs="Arial" w:eastAsia="Arial" w:hAnsi="Arial"/>
                <w:sz w:val="16"/>
                <w:szCs w:val="16"/>
                <w:color w:val="auto"/>
              </w:rPr>
              <w:t>restricted cash</w:t>
            </w:r>
          </w:p>
        </w:tc>
        <w:tc>
          <w:tcPr>
            <w:tcW w:w="7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w:t>
            </w: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(6)</w:t>
            </w:r>
          </w:p>
        </w:tc>
        <w:tc>
          <w:tcPr>
            <w:tcW w:w="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198"/>
        </w:trPr>
        <w:tc>
          <w:tcPr>
            <w:tcW w:w="5400" w:type="dxa"/>
            <w:vAlign w:val="bottom"/>
            <w:gridSpan w:val="2"/>
          </w:tcPr>
          <w:p>
            <w:pPr>
              <w:spacing w:after="0"/>
              <w:rPr>
                <w:sz w:val="20"/>
                <w:szCs w:val="20"/>
                <w:color w:val="auto"/>
              </w:rPr>
            </w:pPr>
            <w:r>
              <w:rPr>
                <w:rFonts w:ascii="Arial" w:cs="Arial" w:eastAsia="Arial" w:hAnsi="Arial"/>
                <w:sz w:val="16"/>
                <w:szCs w:val="16"/>
                <w:color w:val="auto"/>
              </w:rPr>
              <w:t>Net decrease in cash and cash equivalents and restricted cash</w:t>
            </w:r>
          </w:p>
        </w:tc>
        <w:tc>
          <w:tcPr>
            <w:tcW w:w="7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(109)</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(122)</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380" w:type="dxa"/>
            <w:vAlign w:val="bottom"/>
            <w:shd w:val="clear" w:color="auto" w:fill="CFF0FC"/>
          </w:tcPr>
          <w:p>
            <w:pPr>
              <w:spacing w:after="0"/>
              <w:rPr>
                <w:sz w:val="20"/>
                <w:szCs w:val="20"/>
                <w:color w:val="auto"/>
              </w:rPr>
            </w:pPr>
            <w:r>
              <w:rPr>
                <w:rFonts w:ascii="Arial" w:cs="Arial" w:eastAsia="Arial" w:hAnsi="Arial"/>
                <w:sz w:val="16"/>
                <w:szCs w:val="16"/>
                <w:color w:val="auto"/>
              </w:rPr>
              <w:t>Cash and cash equivalents and restricted cash, beginning of period</w:t>
            </w:r>
          </w:p>
        </w:tc>
        <w:tc>
          <w:tcPr>
            <w:tcW w:w="700" w:type="dxa"/>
            <w:vAlign w:val="bottom"/>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478</w:t>
            </w: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600</w:t>
            </w:r>
          </w:p>
        </w:tc>
        <w:tc>
          <w:tcPr>
            <w:tcW w:w="2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758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400" w:type="dxa"/>
            <w:vAlign w:val="bottom"/>
            <w:gridSpan w:val="2"/>
          </w:tcPr>
          <w:p>
            <w:pPr>
              <w:spacing w:after="0"/>
              <w:rPr>
                <w:sz w:val="20"/>
                <w:szCs w:val="20"/>
                <w:color w:val="auto"/>
              </w:rPr>
            </w:pPr>
            <w:r>
              <w:rPr>
                <w:rFonts w:ascii="Arial" w:cs="Arial" w:eastAsia="Arial" w:hAnsi="Arial"/>
                <w:sz w:val="16"/>
                <w:szCs w:val="16"/>
                <w:color w:val="auto"/>
              </w:rPr>
              <w:t>Cash and cash equivalents and restricted cash, end of period</w:t>
            </w:r>
          </w:p>
        </w:tc>
        <w:tc>
          <w:tcPr>
            <w:tcW w:w="700" w:type="dxa"/>
            <w:vAlign w:val="bottom"/>
          </w:tcPr>
          <w:p>
            <w:pPr>
              <w:spacing w:after="0"/>
              <w:rPr>
                <w:sz w:val="17"/>
                <w:szCs w:val="17"/>
                <w:color w:val="auto"/>
              </w:rPr>
            </w:pPr>
          </w:p>
        </w:tc>
        <w:tc>
          <w:tcPr>
            <w:tcW w:w="28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369</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478</w:t>
            </w:r>
          </w:p>
        </w:tc>
        <w:tc>
          <w:tcPr>
            <w:tcW w:w="2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3"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62865</wp:posOffset>
            </wp:positionV>
            <wp:extent cx="7301865" cy="406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301865" cy="40640"/>
                    </a:xfrm>
                    <a:prstGeom prst="rect">
                      <a:avLst/>
                    </a:prstGeom>
                    <a:noFill/>
                  </pic:spPr>
                </pic:pic>
              </a:graphicData>
            </a:graphic>
          </wp:anchor>
        </w:drawing>
      </w:r>
    </w:p>
    <w:p>
      <w:pPr>
        <w:sectPr>
          <w:pgSz w:w="11900" w:h="16838" w:orient="portrait"/>
          <w:cols w:equalWidth="0" w:num="1">
            <w:col w:w="10860"/>
          </w:cols>
          <w:pgMar w:left="240" w:top="123" w:right="799" w:bottom="1440" w:gutter="0" w:footer="0" w:header="0"/>
        </w:sectPr>
      </w:pPr>
    </w:p>
    <w:bookmarkStart w:id="58" w:name="page59"/>
    <w:bookmarkEnd w:id="58"/>
    <w:p>
      <w:pPr>
        <w:spacing w:after="0"/>
        <w:rPr>
          <w:sz w:val="20"/>
          <w:szCs w:val="20"/>
          <w:color w:val="auto"/>
        </w:rPr>
      </w:pPr>
      <w:r>
        <w:rPr>
          <w:rFonts w:ascii="Arial" w:cs="Arial" w:eastAsia="Arial" w:hAnsi="Arial"/>
          <w:sz w:val="16"/>
          <w:szCs w:val="16"/>
          <w:b w:val="1"/>
          <w:bCs w:val="1"/>
          <w:color w:val="auto"/>
        </w:rPr>
        <w:t>EASTMAN KODAK COMPANY</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CONSOLIDATED STATEMENT OF CASH FLOWS (Continued)</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(in millions)</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SUPPLEMENTAL CASH FLOW INFORMATION</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780" w:type="dxa"/>
            <w:vAlign w:val="bottom"/>
            <w:gridSpan w:val="4"/>
          </w:tcPr>
          <w:p>
            <w:pPr>
              <w:ind w:left="220"/>
              <w:spacing w:after="0"/>
              <w:rPr>
                <w:sz w:val="20"/>
                <w:szCs w:val="20"/>
                <w:color w:val="auto"/>
              </w:rPr>
            </w:pPr>
            <w:r>
              <w:rPr>
                <w:rFonts w:ascii="Arial" w:cs="Arial" w:eastAsia="Arial" w:hAnsi="Arial"/>
                <w:sz w:val="13"/>
                <w:szCs w:val="13"/>
                <w:b w:val="1"/>
                <w:bCs w:val="1"/>
                <w:color w:val="auto"/>
                <w:w w:val="96"/>
              </w:rPr>
              <w:t>Year Ended December 31,</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3"/>
        </w:trPr>
        <w:tc>
          <w:tcPr>
            <w:tcW w:w="5880" w:type="dxa"/>
            <w:vAlign w:val="bottom"/>
          </w:tcPr>
          <w:p>
            <w:pPr>
              <w:spacing w:after="0"/>
              <w:rPr>
                <w:sz w:val="13"/>
                <w:szCs w:val="13"/>
                <w:color w:val="auto"/>
              </w:rPr>
            </w:pPr>
          </w:p>
        </w:tc>
        <w:tc>
          <w:tcPr>
            <w:tcW w:w="186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rPr>
              <w:t>2017</w:t>
            </w: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jc w:val="right"/>
              <w:ind w:right="485"/>
              <w:spacing w:after="0"/>
              <w:rPr>
                <w:sz w:val="20"/>
                <w:szCs w:val="20"/>
                <w:color w:val="auto"/>
              </w:rPr>
            </w:pPr>
            <w:r>
              <w:rPr>
                <w:rFonts w:ascii="Arial" w:cs="Arial" w:eastAsia="Arial" w:hAnsi="Arial"/>
                <w:sz w:val="13"/>
                <w:szCs w:val="13"/>
                <w:b w:val="1"/>
                <w:bCs w:val="1"/>
                <w:color w:val="auto"/>
              </w:rPr>
              <w:t>2016</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jc w:val="right"/>
              <w:ind w:right="465"/>
              <w:spacing w:after="0"/>
              <w:rPr>
                <w:sz w:val="20"/>
                <w:szCs w:val="20"/>
                <w:color w:val="auto"/>
              </w:rPr>
            </w:pPr>
            <w:r>
              <w:rPr>
                <w:rFonts w:ascii="Arial" w:cs="Arial" w:eastAsia="Arial" w:hAnsi="Arial"/>
                <w:sz w:val="13"/>
                <w:szCs w:val="13"/>
                <w:b w:val="1"/>
                <w:bCs w:val="1"/>
                <w:color w:val="auto"/>
              </w:rPr>
              <w:t>2015</w:t>
            </w:r>
          </w:p>
        </w:tc>
        <w:tc>
          <w:tcPr>
            <w:tcW w:w="120" w:type="dxa"/>
            <w:vAlign w:val="bottom"/>
          </w:tcPr>
          <w:p>
            <w:pPr>
              <w:spacing w:after="0"/>
              <w:rPr>
                <w:sz w:val="13"/>
                <w:szCs w:val="13"/>
                <w:color w:val="auto"/>
              </w:rPr>
            </w:pPr>
          </w:p>
        </w:tc>
      </w:tr>
      <w:tr>
        <w:trPr>
          <w:trHeight w:val="198"/>
        </w:trPr>
        <w:tc>
          <w:tcPr>
            <w:tcW w:w="5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Cash paid for interest and income taxes was:</w:t>
            </w:r>
          </w:p>
        </w:tc>
        <w:tc>
          <w:tcPr>
            <w:tcW w:w="900" w:type="dxa"/>
            <w:vAlign w:val="bottom"/>
            <w:tcBorders>
              <w:top w:val="single" w:sz="8" w:color="CFF0FC"/>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r>
      <w:tr>
        <w:trPr>
          <w:trHeight w:val="193"/>
        </w:trPr>
        <w:tc>
          <w:tcPr>
            <w:tcW w:w="5880" w:type="dxa"/>
            <w:vAlign w:val="bottom"/>
          </w:tcPr>
          <w:p>
            <w:pPr>
              <w:spacing w:after="0"/>
              <w:rPr>
                <w:sz w:val="20"/>
                <w:szCs w:val="20"/>
                <w:color w:val="auto"/>
              </w:rPr>
            </w:pPr>
            <w:r>
              <w:rPr>
                <w:rFonts w:ascii="Arial" w:cs="Arial" w:eastAsia="Arial" w:hAnsi="Arial"/>
                <w:sz w:val="16"/>
                <w:szCs w:val="16"/>
                <w:color w:val="auto"/>
              </w:rPr>
              <w:t>Interest, net of portion capitalized of $1, $0 and $2 as of December 31, 2017,</w:t>
            </w:r>
          </w:p>
        </w:tc>
        <w:tc>
          <w:tcPr>
            <w:tcW w:w="9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6"/>
        </w:trPr>
        <w:tc>
          <w:tcPr>
            <w:tcW w:w="5880" w:type="dxa"/>
            <w:vAlign w:val="bottom"/>
          </w:tcPr>
          <w:p>
            <w:pPr>
              <w:ind w:left="120"/>
              <w:spacing w:after="0"/>
              <w:rPr>
                <w:sz w:val="20"/>
                <w:szCs w:val="20"/>
                <w:color w:val="auto"/>
              </w:rPr>
            </w:pPr>
            <w:r>
              <w:rPr>
                <w:rFonts w:ascii="Arial" w:cs="Arial" w:eastAsia="Arial" w:hAnsi="Arial"/>
                <w:sz w:val="16"/>
                <w:szCs w:val="16"/>
                <w:color w:val="auto"/>
              </w:rPr>
              <w:t>2016 and 2015, respectively</w:t>
            </w:r>
          </w:p>
        </w:tc>
        <w:tc>
          <w:tcPr>
            <w:tcW w:w="1860" w:type="dxa"/>
            <w:vAlign w:val="bottom"/>
            <w:gridSpan w:val="2"/>
          </w:tcPr>
          <w:p>
            <w:pPr>
              <w:jc w:val="right"/>
              <w:ind w:right="880"/>
              <w:spacing w:after="0"/>
              <w:rPr>
                <w:sz w:val="20"/>
                <w:szCs w:val="20"/>
                <w:color w:val="auto"/>
              </w:rPr>
            </w:pPr>
            <w:r>
              <w:rPr>
                <w:rFonts w:ascii="Arial" w:cs="Arial" w:eastAsia="Arial" w:hAnsi="Arial"/>
                <w:sz w:val="16"/>
                <w:szCs w:val="16"/>
                <w:color w:val="auto"/>
              </w:rPr>
              <w:t>$</w:t>
            </w:r>
          </w:p>
        </w:tc>
        <w:tc>
          <w:tcPr>
            <w:tcW w:w="360" w:type="dxa"/>
            <w:vAlign w:val="bottom"/>
          </w:tcPr>
          <w:p>
            <w:pPr>
              <w:jc w:val="right"/>
              <w:spacing w:after="0"/>
              <w:rPr>
                <w:sz w:val="20"/>
                <w:szCs w:val="20"/>
                <w:color w:val="auto"/>
              </w:rPr>
            </w:pPr>
            <w:r>
              <w:rPr>
                <w:rFonts w:ascii="Arial" w:cs="Arial" w:eastAsia="Arial" w:hAnsi="Arial"/>
                <w:sz w:val="16"/>
                <w:szCs w:val="16"/>
                <w:color w:val="auto"/>
              </w:rPr>
              <w:t>31</w:t>
            </w:r>
          </w:p>
        </w:tc>
        <w:tc>
          <w:tcPr>
            <w:tcW w:w="5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58</w:t>
            </w:r>
          </w:p>
        </w:tc>
        <w:tc>
          <w:tcPr>
            <w:tcW w:w="160" w:type="dxa"/>
            <w:vAlign w:val="bottom"/>
          </w:tcPr>
          <w:p>
            <w:pPr>
              <w:spacing w:after="0"/>
              <w:rPr>
                <w:sz w:val="17"/>
                <w:szCs w:val="17"/>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17"/>
                <w:szCs w:val="17"/>
                <w:color w:val="auto"/>
              </w:rPr>
            </w:pPr>
          </w:p>
        </w:tc>
      </w:tr>
      <w:tr>
        <w:trPr>
          <w:trHeight w:val="206"/>
        </w:trPr>
        <w:tc>
          <w:tcPr>
            <w:tcW w:w="5880" w:type="dxa"/>
            <w:vAlign w:val="bottom"/>
            <w:shd w:val="clear" w:color="auto" w:fill="CFF0FC"/>
          </w:tcPr>
          <w:p>
            <w:pPr>
              <w:spacing w:after="0"/>
              <w:rPr>
                <w:sz w:val="20"/>
                <w:szCs w:val="20"/>
                <w:color w:val="auto"/>
              </w:rPr>
            </w:pPr>
            <w:r>
              <w:rPr>
                <w:rFonts w:ascii="Arial" w:cs="Arial" w:eastAsia="Arial" w:hAnsi="Arial"/>
                <w:sz w:val="16"/>
                <w:szCs w:val="16"/>
                <w:color w:val="auto"/>
              </w:rPr>
              <w:t>Income taxes (net of refunds)</w:t>
            </w:r>
          </w:p>
        </w:tc>
        <w:tc>
          <w:tcPr>
            <w:tcW w:w="1860" w:type="dxa"/>
            <w:vAlign w:val="bottom"/>
            <w:gridSpan w:val="2"/>
            <w:shd w:val="clear" w:color="auto" w:fill="CFF0FC"/>
          </w:tcPr>
          <w:p>
            <w:pPr>
              <w:jc w:val="right"/>
              <w:ind w:right="8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w:t>
            </w:r>
          </w:p>
        </w:tc>
        <w:tc>
          <w:tcPr>
            <w:tcW w:w="5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w:t>
            </w:r>
          </w:p>
        </w:tc>
        <w:tc>
          <w:tcPr>
            <w:tcW w:w="160" w:type="dxa"/>
            <w:vAlign w:val="bottom"/>
            <w:shd w:val="clear" w:color="auto" w:fill="CFF0FC"/>
          </w:tcPr>
          <w:p>
            <w:pPr>
              <w:spacing w:after="0"/>
              <w:rPr>
                <w:sz w:val="17"/>
                <w:szCs w:val="17"/>
                <w:color w:val="auto"/>
              </w:rPr>
            </w:pPr>
          </w:p>
        </w:tc>
        <w:tc>
          <w:tcPr>
            <w:tcW w:w="4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FF0FC"/>
          </w:tcPr>
          <w:p>
            <w:pPr>
              <w:spacing w:after="0"/>
              <w:rPr>
                <w:sz w:val="17"/>
                <w:szCs w:val="17"/>
                <w:color w:val="auto"/>
              </w:rPr>
            </w:pPr>
          </w:p>
        </w:tc>
      </w:tr>
    </w:tbl>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62865</wp:posOffset>
            </wp:positionV>
            <wp:extent cx="7301865" cy="406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301865" cy="40640"/>
                    </a:xfrm>
                    <a:prstGeom prst="rect">
                      <a:avLst/>
                    </a:prstGeom>
                    <a:noFill/>
                  </pic:spPr>
                </pic:pic>
              </a:graphicData>
            </a:graphic>
          </wp:anchor>
        </w:drawing>
      </w:r>
    </w:p>
    <w:p>
      <w:pPr>
        <w:sectPr>
          <w:pgSz w:w="11900" w:h="16838" w:orient="portrait"/>
          <w:cols w:equalWidth="0" w:num="1">
            <w:col w:w="11440"/>
          </w:cols>
          <w:pgMar w:left="240" w:top="123" w:right="219" w:bottom="1440" w:gutter="0" w:footer="0" w:header="0"/>
        </w:sectPr>
      </w:pPr>
    </w:p>
    <w:bookmarkStart w:id="59" w:name="page60"/>
    <w:bookmarkEnd w:id="59"/>
    <w:p>
      <w:pPr>
        <w:spacing w:after="0"/>
        <w:rPr>
          <w:sz w:val="20"/>
          <w:szCs w:val="20"/>
          <w:color w:val="auto"/>
        </w:rPr>
      </w:pPr>
      <w:r>
        <w:rPr>
          <w:rFonts w:ascii="Arial" w:cs="Arial" w:eastAsia="Arial" w:hAnsi="Arial"/>
          <w:sz w:val="16"/>
          <w:szCs w:val="16"/>
          <w:b w:val="1"/>
          <w:bCs w:val="1"/>
          <w:color w:val="auto"/>
        </w:rPr>
        <w:t>EASTMAN KODAK COMPANY</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NOTES TO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 SUMMARY OF SIGNIFICANT ACCOUNTING POLICIES</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ACCOUNTING PRINCIPLES</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color w:val="auto"/>
        </w:rPr>
        <w:t>The consolidated financial statements and accompanying notes are prepared in accordance with accounting principles generally accepted in the United States of America (“U.S.</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GAAP”). The following is a description of the significant accounting policies of Kodak.</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OF CONSOLIDATION</w:t>
      </w:r>
    </w:p>
    <w:p>
      <w:pPr>
        <w:spacing w:after="0" w:line="110" w:lineRule="exact"/>
        <w:rPr>
          <w:sz w:val="20"/>
          <w:szCs w:val="20"/>
          <w:color w:val="auto"/>
        </w:rPr>
      </w:pPr>
    </w:p>
    <w:p>
      <w:pPr>
        <w:ind w:right="820"/>
        <w:spacing w:after="0" w:line="354" w:lineRule="auto"/>
        <w:rPr>
          <w:sz w:val="20"/>
          <w:szCs w:val="20"/>
          <w:color w:val="auto"/>
        </w:rPr>
      </w:pPr>
      <w:r>
        <w:rPr>
          <w:rFonts w:ascii="Arial" w:cs="Arial" w:eastAsia="Arial" w:hAnsi="Arial"/>
          <w:sz w:val="14"/>
          <w:szCs w:val="14"/>
          <w:color w:val="auto"/>
        </w:rPr>
        <w:t>The consolidated financial statements include the accounts of EKC and all companies directly or indirectly controlled by EKC, either through majority ownership or otherwise. Kodak consolidates variable interest entities if Kodak has a controlling financial interest and is determined to be the primary beneficiary of the entity.</w:t>
      </w:r>
    </w:p>
    <w:p>
      <w:pPr>
        <w:spacing w:after="0" w:line="9" w:lineRule="exact"/>
        <w:rPr>
          <w:sz w:val="20"/>
          <w:szCs w:val="20"/>
          <w:color w:val="auto"/>
        </w:rPr>
      </w:pPr>
    </w:p>
    <w:p>
      <w:pPr>
        <w:spacing w:after="0" w:line="296" w:lineRule="auto"/>
        <w:rPr>
          <w:sz w:val="20"/>
          <w:szCs w:val="20"/>
          <w:color w:val="auto"/>
        </w:rPr>
      </w:pPr>
      <w:r>
        <w:rPr>
          <w:rFonts w:ascii="Arial" w:cs="Arial" w:eastAsia="Arial" w:hAnsi="Arial"/>
          <w:sz w:val="14"/>
          <w:szCs w:val="14"/>
          <w:color w:val="auto"/>
        </w:rPr>
        <w:t>In 2013, Kodak sold certain utilities and related facilities and entered into utilities supply and servicing arrangements with RED – Rochester, LLP (“RED”), a variable interest entity (“VIE”). Kodak determined it was the primary beneficiary and consolidated the financial statements of the VIE. In September 2016, RED’s parent, RED Investment, LLC and its portfolio of four U.S. facilities (including RED) were acquired. During the fourth quarter of 2016, RED’s parent increased its equity investment in RED in conjunction with RED’s project to replace and convert its coal-fired boilers by installing new steam generating equipment to achieve compliance with EPA air emissions regulations (“MACT Upgrade”). With the third quarter change in ownership, the reduction in certain rights and obligations of Kodak, the increase in equity and progress towards completion of the MACT Upgrade, Kodak determined it was no longer the primary beneficiary and RED was deconsolidated. Upon deconsolidation, Kodak derecognized all assets and liabilities of RED and recognized a loss of $15 million, representing the difference between the carrying value of the net assets sold to RED and RED’s equity in those assets. The loss was reported in Other operating expense, net in the Consolidated Statement of Operations. RED’s results of operations are reflected in net income attributable to non-controlling interest in the accompanying Consolidated Statement of Operations through December 31, 2016 at which point the VIE was deconsolidated.</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Reclassifications</w:t>
      </w:r>
    </w:p>
    <w:p>
      <w:pPr>
        <w:spacing w:after="0" w:line="106" w:lineRule="exact"/>
        <w:rPr>
          <w:sz w:val="20"/>
          <w:szCs w:val="20"/>
          <w:color w:val="auto"/>
        </w:rPr>
      </w:pPr>
    </w:p>
    <w:p>
      <w:pPr>
        <w:spacing w:after="0" w:line="284" w:lineRule="auto"/>
        <w:rPr>
          <w:sz w:val="20"/>
          <w:szCs w:val="20"/>
          <w:color w:val="auto"/>
        </w:rPr>
      </w:pPr>
      <w:r>
        <w:rPr>
          <w:rFonts w:ascii="Arial" w:cs="Arial" w:eastAsia="Arial" w:hAnsi="Arial"/>
          <w:sz w:val="15"/>
          <w:szCs w:val="15"/>
          <w:color w:val="auto"/>
        </w:rPr>
        <w:t>Certain amounts for prior periods have been reclassified to conform to the current period classification due to changes to Kodak’s organization structure effective January 1, 2017 and April 1, 2017 and a change in the presentation of discontinued operations and assets held for sale. In addition to the changes in segment reporting under the new organization structure, solvent recovery income for the Consumer and Film segment previously reported in Cost of Revenues is reported in Revenues and there is a change in the segment measure of profitability. Refer to Note 24, “Segment Information” and Note 25, “Discontinued Operations” for additional information.</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USE OF ESTIMATES</w:t>
      </w:r>
    </w:p>
    <w:p>
      <w:pPr>
        <w:spacing w:after="0" w:line="110" w:lineRule="exact"/>
        <w:rPr>
          <w:sz w:val="20"/>
          <w:szCs w:val="20"/>
          <w:color w:val="auto"/>
        </w:rPr>
      </w:pPr>
    </w:p>
    <w:p>
      <w:pPr>
        <w:ind w:right="120"/>
        <w:spacing w:after="0" w:line="266" w:lineRule="auto"/>
        <w:rPr>
          <w:sz w:val="20"/>
          <w:szCs w:val="20"/>
          <w:color w:val="auto"/>
        </w:rPr>
      </w:pPr>
      <w:r>
        <w:rPr>
          <w:rFonts w:ascii="Arial" w:cs="Arial" w:eastAsia="Arial" w:hAnsi="Arial"/>
          <w:sz w:val="16"/>
          <w:szCs w:val="16"/>
          <w:color w:val="auto"/>
        </w:rPr>
        <w:t>The preparation of financial statements in conformity with U.S. GAAP accounting requires management to make estimates and assumptions that affect the reported amounts of assets and liabilities and disclosure of commitments and contingencies at year end, and the reported amounts of revenues and expenses during the reporting periods presented. Actual results could differ from these estimates.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FOREIGN CURRENCY</w:t>
      </w:r>
    </w:p>
    <w:p>
      <w:pPr>
        <w:spacing w:after="0" w:line="110"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color w:val="auto"/>
        </w:rPr>
        <w:t>For most subsidiaries and branches outside the U.S., the local currency is the functional currency. The financial statements of these subsidiaries and branches are translated into U.S. dollars as follows: assets and liabilities at year-end exchange rates; revenue, expenses and cash flows at average exchange rates; and shareholders’ equity at historical exchange rates. For those subsidiaries for which the local currency is the functional currency, the resulting translation adjustment is recorded as a component of Accumulated other comprehensive loss in the accompanying Consolidated Statement of Financial Position.</w:t>
      </w:r>
    </w:p>
    <w:p>
      <w:pPr>
        <w:spacing w:after="0" w:line="70" w:lineRule="exact"/>
        <w:rPr>
          <w:sz w:val="20"/>
          <w:szCs w:val="20"/>
          <w:color w:val="auto"/>
        </w:rPr>
      </w:pPr>
    </w:p>
    <w:p>
      <w:pPr>
        <w:ind w:right="80"/>
        <w:spacing w:after="0" w:line="280" w:lineRule="auto"/>
        <w:rPr>
          <w:sz w:val="20"/>
          <w:szCs w:val="20"/>
          <w:color w:val="auto"/>
        </w:rPr>
      </w:pPr>
      <w:r>
        <w:rPr>
          <w:rFonts w:ascii="Arial" w:cs="Arial" w:eastAsia="Arial" w:hAnsi="Arial"/>
          <w:sz w:val="15"/>
          <w:szCs w:val="15"/>
          <w:color w:val="auto"/>
        </w:rPr>
        <w:t>For certain other subsidiaries and branches outside the U.S., operations are conducted primarily in U.S. dollars, which is therefore the functional currency. Monetary assets and liabilities of these foreign subsidiaries and branches, which are recorded in local currency, are remeasured at year-end exchange rates, while the related revenue, expense, and gain and loss accounts, which are recorded in local currency, are remeasured at average exchange rates. Non-monetary assets and liabilities, and the related revenue, expense, and gain and loss accounts, are remeasured at historical exchange rates. Adjustments that result from the remeasurement of the assets and liabilities of these subsidiaries are included in Other (income) charges, net in the accompanying Consolidated Statement of Operations.</w:t>
      </w:r>
    </w:p>
    <w:p>
      <w:pPr>
        <w:spacing w:after="0" w:line="58" w:lineRule="exact"/>
        <w:rPr>
          <w:sz w:val="20"/>
          <w:szCs w:val="20"/>
          <w:color w:val="auto"/>
        </w:rPr>
      </w:pPr>
    </w:p>
    <w:p>
      <w:pPr>
        <w:ind w:right="220"/>
        <w:spacing w:after="0" w:line="280" w:lineRule="auto"/>
        <w:rPr>
          <w:sz w:val="20"/>
          <w:szCs w:val="20"/>
          <w:color w:val="auto"/>
        </w:rPr>
      </w:pPr>
      <w:r>
        <w:rPr>
          <w:rFonts w:ascii="Arial" w:cs="Arial" w:eastAsia="Arial" w:hAnsi="Arial"/>
          <w:sz w:val="16"/>
          <w:szCs w:val="16"/>
          <w:color w:val="auto"/>
        </w:rPr>
        <w:t>The effects of foreign currency transactions, including related hedging activities, are included in Other (income) charges, net, in the accompanying Consolidated Statement of Operations.</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CONCENTRATION OF CREDIT RISK</w:t>
      </w:r>
    </w:p>
    <w:p>
      <w:pPr>
        <w:spacing w:after="0" w:line="110" w:lineRule="exact"/>
        <w:rPr>
          <w:sz w:val="20"/>
          <w:szCs w:val="20"/>
          <w:color w:val="auto"/>
        </w:rPr>
      </w:pPr>
    </w:p>
    <w:p>
      <w:pPr>
        <w:ind w:right="140"/>
        <w:spacing w:after="0" w:line="280" w:lineRule="auto"/>
        <w:rPr>
          <w:sz w:val="20"/>
          <w:szCs w:val="20"/>
          <w:color w:val="auto"/>
        </w:rPr>
      </w:pPr>
      <w:r>
        <w:rPr>
          <w:rFonts w:ascii="Arial" w:cs="Arial" w:eastAsia="Arial" w:hAnsi="Arial"/>
          <w:sz w:val="16"/>
          <w:szCs w:val="16"/>
          <w:color w:val="auto"/>
        </w:rPr>
        <w:t>Financial instruments that potentially subject Kodak to significant concentrations of credit risk consist principally of cash and cash equivalents, receivables, restricted cash and derivative instruments. Kodak places its cash, cash equivalents and restricted cash with high-quality financial</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62865</wp:posOffset>
            </wp:positionV>
            <wp:extent cx="7301865" cy="406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301865" cy="40640"/>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60" w:name="page61"/>
    <w:bookmarkEnd w:id="60"/>
    <w:p>
      <w:pPr>
        <w:jc w:val="both"/>
        <w:ind w:right="60"/>
        <w:spacing w:after="0" w:line="274" w:lineRule="auto"/>
        <w:rPr>
          <w:sz w:val="20"/>
          <w:szCs w:val="20"/>
          <w:color w:val="auto"/>
        </w:rPr>
      </w:pPr>
      <w:r>
        <w:rPr>
          <w:rFonts w:ascii="Arial" w:cs="Arial" w:eastAsia="Arial" w:hAnsi="Arial"/>
          <w:sz w:val="15"/>
          <w:szCs w:val="15"/>
          <w:color w:val="auto"/>
        </w:rPr>
        <w:t>institutions and limits the amount of credit exposure to any one institution. With respect to receivables, such receivables arise from sales to numerous customers in a variety of industries, markets, and geographies around the world. Receivables arising from these sales are generally not collateralized. Kodak performs ongoing credit evaluations of its customers’ financial conditions, and maintains reserves for potential credit losses and such losses, in the aggregate, have not exceeded management’s</w:t>
      </w:r>
    </w:p>
    <w:p>
      <w:pPr>
        <w:spacing w:after="0" w:line="2" w:lineRule="exact"/>
        <w:rPr>
          <w:sz w:val="20"/>
          <w:szCs w:val="20"/>
          <w:color w:val="auto"/>
        </w:rPr>
      </w:pPr>
    </w:p>
    <w:p>
      <w:pPr>
        <w:ind w:right="480"/>
        <w:spacing w:after="0" w:line="264" w:lineRule="auto"/>
        <w:rPr>
          <w:sz w:val="20"/>
          <w:szCs w:val="20"/>
          <w:color w:val="auto"/>
        </w:rPr>
      </w:pPr>
      <w:r>
        <w:rPr>
          <w:rFonts w:ascii="Arial" w:cs="Arial" w:eastAsia="Arial" w:hAnsi="Arial"/>
          <w:sz w:val="16"/>
          <w:szCs w:val="16"/>
          <w:color w:val="auto"/>
        </w:rPr>
        <w:t>expectations. Counterparties to the derivative instrument contracts are major financial institutions. Kodak has not experienced non-performance by any of its derivative instruments counterparties.</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EQUIVALENTS</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All highly liquid investments with a remaining maturity of three months or less at date of purchase are considered to be cash equivalents.</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INVENTORIES</w:t>
      </w:r>
    </w:p>
    <w:p>
      <w:pPr>
        <w:spacing w:after="0" w:line="110" w:lineRule="exact"/>
        <w:rPr>
          <w:sz w:val="20"/>
          <w:szCs w:val="20"/>
          <w:color w:val="auto"/>
        </w:rPr>
      </w:pPr>
    </w:p>
    <w:p>
      <w:pPr>
        <w:ind w:right="40"/>
        <w:spacing w:after="0" w:line="354" w:lineRule="auto"/>
        <w:rPr>
          <w:sz w:val="20"/>
          <w:szCs w:val="20"/>
          <w:color w:val="auto"/>
        </w:rPr>
      </w:pPr>
      <w:r>
        <w:rPr>
          <w:rFonts w:ascii="Arial" w:cs="Arial" w:eastAsia="Arial" w:hAnsi="Arial"/>
          <w:sz w:val="14"/>
          <w:szCs w:val="14"/>
          <w:color w:val="auto"/>
        </w:rPr>
        <w:t>Inventories are stated at the lower of cost or market. The cost of all of Kodak’s inventories is determined by the average cost method, which approximates current cost. Kodak provides inventory reserves for excess, obsolete or slow-moving inventory based on changes in customer demand, technology developments or other economic factors.</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PROPERTY, PLANT AND EQUIPMENT</w:t>
      </w:r>
    </w:p>
    <w:p>
      <w:pPr>
        <w:spacing w:after="0" w:line="110"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Property, plant and equipment are recorded at cost, net of accumulated depreciation. Kodak capitalizes additions and improvements while maintenance and repairs are charged to expense as incurred. Upon sale or other disposition, the applicable amounts of asset cost and accumulated depreciation are removed from the accounts and the net amount, less proceeds from disposal, is charged or credited to net (loss) earnings.</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color w:val="auto"/>
        </w:rPr>
        <w:t>Kodak calculates depreciation expense using the straight-line method over the assets’ estimated useful lives, which are as follows:</w:t>
      </w:r>
    </w:p>
    <w:p>
      <w:pPr>
        <w:spacing w:after="0" w:line="235" w:lineRule="exact"/>
        <w:rPr>
          <w:sz w:val="20"/>
          <w:szCs w:val="20"/>
          <w:color w:val="auto"/>
        </w:rPr>
      </w:pPr>
    </w:p>
    <w:tbl>
      <w:tblPr>
        <w:tblLayout w:type="fixed"/>
        <w:tblInd w:w="1720" w:type="dxa"/>
        <w:tblCellMar>
          <w:top w:w="0" w:type="dxa"/>
          <w:left w:w="0" w:type="dxa"/>
          <w:bottom w:w="0" w:type="dxa"/>
          <w:right w:w="0" w:type="dxa"/>
        </w:tblCellMar>
      </w:tblPr>
      <w:tr>
        <w:trPr>
          <w:trHeight w:val="193"/>
        </w:trPr>
        <w:tc>
          <w:tcPr>
            <w:tcW w:w="4560" w:type="dxa"/>
            <w:vAlign w:val="bottom"/>
          </w:tcPr>
          <w:p>
            <w:pPr>
              <w:spacing w:after="0"/>
              <w:rPr>
                <w:sz w:val="16"/>
                <w:szCs w:val="16"/>
                <w:color w:val="auto"/>
              </w:rPr>
            </w:pPr>
          </w:p>
        </w:tc>
        <w:tc>
          <w:tcPr>
            <w:tcW w:w="3440" w:type="dxa"/>
            <w:vAlign w:val="bottom"/>
          </w:tcPr>
          <w:p>
            <w:pPr>
              <w:jc w:val="center"/>
              <w:ind w:left="1939"/>
              <w:spacing w:after="0"/>
              <w:rPr>
                <w:sz w:val="20"/>
                <w:szCs w:val="20"/>
                <w:color w:val="auto"/>
              </w:rPr>
            </w:pPr>
            <w:r>
              <w:rPr>
                <w:rFonts w:ascii="Arial" w:cs="Arial" w:eastAsia="Arial" w:hAnsi="Arial"/>
                <w:sz w:val="16"/>
                <w:szCs w:val="16"/>
                <w:b w:val="1"/>
                <w:bCs w:val="1"/>
                <w:color w:val="auto"/>
                <w:w w:val="90"/>
              </w:rPr>
              <w:t>Estimated Useful</w:t>
            </w:r>
          </w:p>
        </w:tc>
      </w:tr>
      <w:tr>
        <w:trPr>
          <w:trHeight w:val="210"/>
        </w:trPr>
        <w:tc>
          <w:tcPr>
            <w:tcW w:w="4560" w:type="dxa"/>
            <w:vAlign w:val="bottom"/>
          </w:tcPr>
          <w:p>
            <w:pPr>
              <w:spacing w:after="0"/>
              <w:rPr>
                <w:sz w:val="18"/>
                <w:szCs w:val="18"/>
                <w:color w:val="auto"/>
              </w:rPr>
            </w:pPr>
          </w:p>
        </w:tc>
        <w:tc>
          <w:tcPr>
            <w:tcW w:w="3440" w:type="dxa"/>
            <w:vAlign w:val="bottom"/>
          </w:tcPr>
          <w:p>
            <w:pPr>
              <w:jc w:val="center"/>
              <w:ind w:left="1919"/>
              <w:spacing w:after="0"/>
              <w:rPr>
                <w:sz w:val="20"/>
                <w:szCs w:val="20"/>
                <w:color w:val="auto"/>
              </w:rPr>
            </w:pPr>
            <w:r>
              <w:rPr>
                <w:rFonts w:ascii="Arial" w:cs="Arial" w:eastAsia="Arial" w:hAnsi="Arial"/>
                <w:sz w:val="16"/>
                <w:szCs w:val="16"/>
                <w:b w:val="1"/>
                <w:bCs w:val="1"/>
                <w:color w:val="auto"/>
                <w:w w:val="87"/>
              </w:rPr>
              <w:t>Lives</w:t>
            </w:r>
          </w:p>
        </w:tc>
      </w:tr>
      <w:tr>
        <w:trPr>
          <w:trHeight w:val="206"/>
        </w:trPr>
        <w:tc>
          <w:tcPr>
            <w:tcW w:w="4560" w:type="dxa"/>
            <w:vAlign w:val="bottom"/>
            <w:shd w:val="clear" w:color="auto" w:fill="CFF0FC"/>
          </w:tcPr>
          <w:p>
            <w:pPr>
              <w:spacing w:after="0"/>
              <w:rPr>
                <w:sz w:val="20"/>
                <w:szCs w:val="20"/>
                <w:color w:val="auto"/>
              </w:rPr>
            </w:pPr>
            <w:r>
              <w:rPr>
                <w:rFonts w:ascii="Arial" w:cs="Arial" w:eastAsia="Arial" w:hAnsi="Arial"/>
                <w:sz w:val="16"/>
                <w:szCs w:val="16"/>
                <w:color w:val="auto"/>
              </w:rPr>
              <w:t>Buildings and building improvements</w:t>
            </w:r>
          </w:p>
        </w:tc>
        <w:tc>
          <w:tcPr>
            <w:tcW w:w="3440" w:type="dxa"/>
            <w:vAlign w:val="bottom"/>
            <w:shd w:val="clear" w:color="auto" w:fill="CFF0FC"/>
          </w:tcPr>
          <w:p>
            <w:pPr>
              <w:jc w:val="center"/>
              <w:ind w:left="1919"/>
              <w:spacing w:after="0"/>
              <w:rPr>
                <w:sz w:val="20"/>
                <w:szCs w:val="20"/>
                <w:color w:val="auto"/>
              </w:rPr>
            </w:pPr>
            <w:r>
              <w:rPr>
                <w:rFonts w:ascii="Arial" w:cs="Arial" w:eastAsia="Arial" w:hAnsi="Arial"/>
                <w:sz w:val="16"/>
                <w:szCs w:val="16"/>
                <w:color w:val="auto"/>
                <w:w w:val="87"/>
              </w:rPr>
              <w:t>5-40</w:t>
            </w:r>
          </w:p>
        </w:tc>
      </w:tr>
      <w:tr>
        <w:trPr>
          <w:trHeight w:val="205"/>
        </w:trPr>
        <w:tc>
          <w:tcPr>
            <w:tcW w:w="4560" w:type="dxa"/>
            <w:vAlign w:val="bottom"/>
          </w:tcPr>
          <w:p>
            <w:pPr>
              <w:spacing w:after="0"/>
              <w:rPr>
                <w:sz w:val="20"/>
                <w:szCs w:val="20"/>
                <w:color w:val="auto"/>
              </w:rPr>
            </w:pPr>
            <w:r>
              <w:rPr>
                <w:rFonts w:ascii="Arial" w:cs="Arial" w:eastAsia="Arial" w:hAnsi="Arial"/>
                <w:sz w:val="16"/>
                <w:szCs w:val="16"/>
                <w:color w:val="auto"/>
              </w:rPr>
              <w:t>Land improvements</w:t>
            </w:r>
          </w:p>
        </w:tc>
        <w:tc>
          <w:tcPr>
            <w:tcW w:w="3440" w:type="dxa"/>
            <w:vAlign w:val="bottom"/>
          </w:tcPr>
          <w:p>
            <w:pPr>
              <w:jc w:val="center"/>
              <w:ind w:left="1919"/>
              <w:spacing w:after="0"/>
              <w:rPr>
                <w:sz w:val="20"/>
                <w:szCs w:val="20"/>
                <w:color w:val="auto"/>
              </w:rPr>
            </w:pPr>
            <w:r>
              <w:rPr>
                <w:rFonts w:ascii="Arial" w:cs="Arial" w:eastAsia="Arial" w:hAnsi="Arial"/>
                <w:sz w:val="16"/>
                <w:szCs w:val="16"/>
                <w:color w:val="auto"/>
                <w:w w:val="87"/>
              </w:rPr>
              <w:t>4-20</w:t>
            </w:r>
          </w:p>
        </w:tc>
      </w:tr>
      <w:tr>
        <w:trPr>
          <w:trHeight w:val="205"/>
        </w:trPr>
        <w:tc>
          <w:tcPr>
            <w:tcW w:w="4560" w:type="dxa"/>
            <w:vAlign w:val="bottom"/>
            <w:shd w:val="clear" w:color="auto" w:fill="CFF0FC"/>
          </w:tcPr>
          <w:p>
            <w:pPr>
              <w:spacing w:after="0"/>
              <w:rPr>
                <w:sz w:val="20"/>
                <w:szCs w:val="20"/>
                <w:color w:val="auto"/>
              </w:rPr>
            </w:pPr>
            <w:r>
              <w:rPr>
                <w:rFonts w:ascii="Arial" w:cs="Arial" w:eastAsia="Arial" w:hAnsi="Arial"/>
                <w:sz w:val="16"/>
                <w:szCs w:val="16"/>
                <w:color w:val="auto"/>
              </w:rPr>
              <w:t>Leasehold improvements</w:t>
            </w:r>
          </w:p>
        </w:tc>
        <w:tc>
          <w:tcPr>
            <w:tcW w:w="3440" w:type="dxa"/>
            <w:vAlign w:val="bottom"/>
            <w:shd w:val="clear" w:color="auto" w:fill="CFF0FC"/>
          </w:tcPr>
          <w:p>
            <w:pPr>
              <w:jc w:val="center"/>
              <w:ind w:left="1919"/>
              <w:spacing w:after="0"/>
              <w:rPr>
                <w:sz w:val="20"/>
                <w:szCs w:val="20"/>
                <w:color w:val="auto"/>
              </w:rPr>
            </w:pPr>
            <w:r>
              <w:rPr>
                <w:rFonts w:ascii="Arial" w:cs="Arial" w:eastAsia="Arial" w:hAnsi="Arial"/>
                <w:sz w:val="16"/>
                <w:szCs w:val="16"/>
                <w:color w:val="auto"/>
                <w:w w:val="87"/>
              </w:rPr>
              <w:t>3-20</w:t>
            </w:r>
          </w:p>
        </w:tc>
      </w:tr>
      <w:tr>
        <w:trPr>
          <w:trHeight w:val="205"/>
        </w:trPr>
        <w:tc>
          <w:tcPr>
            <w:tcW w:w="4560" w:type="dxa"/>
            <w:vAlign w:val="bottom"/>
          </w:tcPr>
          <w:p>
            <w:pPr>
              <w:spacing w:after="0"/>
              <w:rPr>
                <w:sz w:val="20"/>
                <w:szCs w:val="20"/>
                <w:color w:val="auto"/>
              </w:rPr>
            </w:pPr>
            <w:r>
              <w:rPr>
                <w:rFonts w:ascii="Arial" w:cs="Arial" w:eastAsia="Arial" w:hAnsi="Arial"/>
                <w:sz w:val="16"/>
                <w:szCs w:val="16"/>
                <w:color w:val="auto"/>
              </w:rPr>
              <w:t>Equipment</w:t>
            </w:r>
          </w:p>
        </w:tc>
        <w:tc>
          <w:tcPr>
            <w:tcW w:w="3440" w:type="dxa"/>
            <w:vAlign w:val="bottom"/>
          </w:tcPr>
          <w:p>
            <w:pPr>
              <w:jc w:val="center"/>
              <w:ind w:left="1919"/>
              <w:spacing w:after="0"/>
              <w:rPr>
                <w:sz w:val="20"/>
                <w:szCs w:val="20"/>
                <w:color w:val="auto"/>
              </w:rPr>
            </w:pPr>
            <w:r>
              <w:rPr>
                <w:rFonts w:ascii="Arial" w:cs="Arial" w:eastAsia="Arial" w:hAnsi="Arial"/>
                <w:sz w:val="16"/>
                <w:szCs w:val="16"/>
                <w:color w:val="auto"/>
                <w:w w:val="87"/>
              </w:rPr>
              <w:t>3-20</w:t>
            </w:r>
          </w:p>
        </w:tc>
      </w:tr>
      <w:tr>
        <w:trPr>
          <w:trHeight w:val="205"/>
        </w:trPr>
        <w:tc>
          <w:tcPr>
            <w:tcW w:w="4560" w:type="dxa"/>
            <w:vAlign w:val="bottom"/>
            <w:shd w:val="clear" w:color="auto" w:fill="CFF0FC"/>
          </w:tcPr>
          <w:p>
            <w:pPr>
              <w:spacing w:after="0"/>
              <w:rPr>
                <w:sz w:val="20"/>
                <w:szCs w:val="20"/>
                <w:color w:val="auto"/>
              </w:rPr>
            </w:pPr>
            <w:r>
              <w:rPr>
                <w:rFonts w:ascii="Arial" w:cs="Arial" w:eastAsia="Arial" w:hAnsi="Arial"/>
                <w:sz w:val="16"/>
                <w:szCs w:val="16"/>
                <w:color w:val="auto"/>
              </w:rPr>
              <w:t>Tooling</w:t>
            </w:r>
          </w:p>
        </w:tc>
        <w:tc>
          <w:tcPr>
            <w:tcW w:w="3440" w:type="dxa"/>
            <w:vAlign w:val="bottom"/>
            <w:shd w:val="clear" w:color="auto" w:fill="CFF0FC"/>
          </w:tcPr>
          <w:p>
            <w:pPr>
              <w:jc w:val="center"/>
              <w:ind w:left="1919"/>
              <w:spacing w:after="0"/>
              <w:rPr>
                <w:sz w:val="20"/>
                <w:szCs w:val="20"/>
                <w:color w:val="auto"/>
              </w:rPr>
            </w:pPr>
            <w:r>
              <w:rPr>
                <w:rFonts w:ascii="Arial" w:cs="Arial" w:eastAsia="Arial" w:hAnsi="Arial"/>
                <w:sz w:val="16"/>
                <w:szCs w:val="16"/>
                <w:color w:val="auto"/>
                <w:w w:val="86"/>
              </w:rPr>
              <w:t>1-3</w:t>
            </w:r>
          </w:p>
        </w:tc>
      </w:tr>
      <w:tr>
        <w:trPr>
          <w:trHeight w:val="206"/>
        </w:trPr>
        <w:tc>
          <w:tcPr>
            <w:tcW w:w="4560" w:type="dxa"/>
            <w:vAlign w:val="bottom"/>
          </w:tcPr>
          <w:p>
            <w:pPr>
              <w:spacing w:after="0"/>
              <w:rPr>
                <w:sz w:val="20"/>
                <w:szCs w:val="20"/>
                <w:color w:val="auto"/>
              </w:rPr>
            </w:pPr>
            <w:r>
              <w:rPr>
                <w:rFonts w:ascii="Arial" w:cs="Arial" w:eastAsia="Arial" w:hAnsi="Arial"/>
                <w:sz w:val="16"/>
                <w:szCs w:val="16"/>
                <w:color w:val="auto"/>
              </w:rPr>
              <w:t>Furniture and fixtures</w:t>
            </w:r>
          </w:p>
        </w:tc>
        <w:tc>
          <w:tcPr>
            <w:tcW w:w="3440" w:type="dxa"/>
            <w:vAlign w:val="bottom"/>
          </w:tcPr>
          <w:p>
            <w:pPr>
              <w:jc w:val="center"/>
              <w:ind w:left="1919"/>
              <w:spacing w:after="0"/>
              <w:rPr>
                <w:sz w:val="20"/>
                <w:szCs w:val="20"/>
                <w:color w:val="auto"/>
              </w:rPr>
            </w:pPr>
            <w:r>
              <w:rPr>
                <w:rFonts w:ascii="Arial" w:cs="Arial" w:eastAsia="Arial" w:hAnsi="Arial"/>
                <w:sz w:val="16"/>
                <w:szCs w:val="16"/>
                <w:color w:val="auto"/>
                <w:w w:val="87"/>
              </w:rPr>
              <w:t>5-10</w:t>
            </w:r>
          </w:p>
        </w:tc>
      </w:tr>
    </w:tbl>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Kodak depreciates leasehold improvements over the shorter of the lease term or the asset’s estimated useful life.</w:t>
      </w:r>
    </w:p>
    <w:p>
      <w:pPr>
        <w:spacing w:after="0" w:line="106" w:lineRule="exact"/>
        <w:rPr>
          <w:sz w:val="20"/>
          <w:szCs w:val="20"/>
          <w:color w:val="auto"/>
        </w:rPr>
      </w:pPr>
    </w:p>
    <w:p>
      <w:pPr>
        <w:jc w:val="both"/>
        <w:ind w:right="160"/>
        <w:spacing w:after="0" w:line="266" w:lineRule="auto"/>
        <w:rPr>
          <w:sz w:val="20"/>
          <w:szCs w:val="20"/>
          <w:color w:val="auto"/>
        </w:rPr>
      </w:pPr>
      <w:r>
        <w:rPr>
          <w:rFonts w:ascii="Arial" w:cs="Arial" w:eastAsia="Arial" w:hAnsi="Arial"/>
          <w:sz w:val="16"/>
          <w:szCs w:val="16"/>
          <w:color w:val="auto"/>
        </w:rPr>
        <w:t>Equipment subject to operating leases is included in Property, plant and equipment, net in the Consolidated Statement of Financial Position. Equipment subject to operating leases consists of equipment rented to customers and is depreciated to estimated salvage value over its expected useful life. Equipment operating lease terms and depreciable lives generally vary from 3 to 7 years.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GOODWILL</w:t>
      </w:r>
    </w:p>
    <w:p>
      <w:pPr>
        <w:spacing w:after="0" w:line="110" w:lineRule="exact"/>
        <w:rPr>
          <w:sz w:val="20"/>
          <w:szCs w:val="20"/>
          <w:color w:val="auto"/>
        </w:rPr>
      </w:pPr>
    </w:p>
    <w:p>
      <w:pPr>
        <w:jc w:val="both"/>
        <w:ind w:right="140"/>
        <w:spacing w:after="0" w:line="280" w:lineRule="auto"/>
        <w:rPr>
          <w:sz w:val="20"/>
          <w:szCs w:val="20"/>
          <w:color w:val="auto"/>
        </w:rPr>
      </w:pPr>
      <w:r>
        <w:rPr>
          <w:rFonts w:ascii="Arial" w:cs="Arial" w:eastAsia="Arial" w:hAnsi="Arial"/>
          <w:sz w:val="16"/>
          <w:szCs w:val="16"/>
          <w:color w:val="auto"/>
        </w:rPr>
        <w:t>Goodwill is not amortized, but is required to be assessed for impairment at least annually and whenever events or changes in circumstances occur that would more likely than not reduce the fair value of the reporting unit below its carrying amount.</w:t>
      </w:r>
    </w:p>
    <w:p>
      <w:pPr>
        <w:spacing w:after="0" w:line="54" w:lineRule="exact"/>
        <w:rPr>
          <w:sz w:val="20"/>
          <w:szCs w:val="20"/>
          <w:color w:val="auto"/>
        </w:rPr>
      </w:pPr>
    </w:p>
    <w:p>
      <w:pPr>
        <w:ind w:right="20"/>
        <w:spacing w:after="0" w:line="278" w:lineRule="auto"/>
        <w:rPr>
          <w:sz w:val="20"/>
          <w:szCs w:val="20"/>
          <w:color w:val="auto"/>
        </w:rPr>
      </w:pPr>
      <w:r>
        <w:rPr>
          <w:rFonts w:ascii="Arial" w:cs="Arial" w:eastAsia="Arial" w:hAnsi="Arial"/>
          <w:sz w:val="15"/>
          <w:szCs w:val="15"/>
          <w:color w:val="auto"/>
        </w:rPr>
        <w:t>When testing goodwill for impairment, Kodak may assess qualitative factors for some or all of its reporting units to determine whether it is more likely than not (that is, a likelihood of more than 50 percent) that the fair value of a reporting unit is less than its carrying amount, including goodwill. If Kodak determines based on this qualitative test of impairment that it is more likely than not that a reporting unit’s fair value is less than its carrying amount, or elects to bypass the qualitative assessment for some or all of its reporting units, then a quantitative goodwill impairment test is performed to test for a potential impairment of goodwill. The amount of goodwill impairment, if any, is calculated as the amount by which a reporting unit’s carrying value exceeds its fair value, not to exceed the carrying amount of goodwill. Determining the fair value of a reporting unit involves the use of significant estimates and assumptions. Refer to Note 5, “Goodwill and Other Intangible Assets”.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WORKERS’ COMPENSATION</w:t>
      </w:r>
    </w:p>
    <w:p>
      <w:pPr>
        <w:spacing w:after="0" w:line="110" w:lineRule="exact"/>
        <w:rPr>
          <w:sz w:val="20"/>
          <w:szCs w:val="20"/>
          <w:color w:val="auto"/>
        </w:rPr>
      </w:pPr>
    </w:p>
    <w:p>
      <w:pPr>
        <w:spacing w:after="0" w:line="276" w:lineRule="auto"/>
        <w:rPr>
          <w:sz w:val="20"/>
          <w:szCs w:val="20"/>
          <w:color w:val="auto"/>
        </w:rPr>
      </w:pPr>
      <w:r>
        <w:rPr>
          <w:rFonts w:ascii="Arial" w:cs="Arial" w:eastAsia="Arial" w:hAnsi="Arial"/>
          <w:sz w:val="15"/>
          <w:szCs w:val="15"/>
          <w:color w:val="auto"/>
        </w:rPr>
        <w:t>Kodak self-insures and participates in high-deductible insurance programs with retention and per occurrence deductible levels for claims related to workers’ compensation. The estimated liability for workers’ compensation is based on actuarially estimated, discounted cost of claims, including claims incurred but not reported. Historical loss development factors are utilized to project the future development of incurred losses, and the amounts are adjusted based on actual claim experience, settlements, claim development trends, changes in state regulations and judicial interpretations. Refer to Note 6, “Other Current Liabilities” and Note 7, “Other Long-Term Liabilities” for the estimated liabilities. Amounts recoverable from insurance companies or third parties are estimated using historical experience and estimates of future recoveries. Estimated recoveries are not offset against the related accrual. The amount recorded for the estimated recoveries at December 31, 2017 and 2016 was $25 million and $27 million, respectively, of which $22 million and $24 million, respectively, is reported in Other long-term assets in the Consolidated</w:t>
      </w:r>
    </w:p>
    <w:p>
      <w:pPr>
        <w:spacing w:after="0" w:line="159"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62865</wp:posOffset>
            </wp:positionV>
            <wp:extent cx="7301865" cy="406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301865" cy="40640"/>
                    </a:xfrm>
                    <a:prstGeom prst="rect">
                      <a:avLst/>
                    </a:prstGeom>
                    <a:noFill/>
                  </pic:spPr>
                </pic:pic>
              </a:graphicData>
            </a:graphic>
          </wp:anchor>
        </w:drawing>
      </w:r>
    </w:p>
    <w:p>
      <w:pPr>
        <w:sectPr>
          <w:pgSz w:w="11900" w:h="16838" w:orient="portrait"/>
          <w:cols w:equalWidth="0" w:num="1">
            <w:col w:w="11340"/>
          </w:cols>
          <w:pgMar w:left="240" w:top="224" w:right="319" w:bottom="1440" w:gutter="0" w:footer="0" w:header="0"/>
        </w:sectPr>
      </w:pPr>
    </w:p>
    <w:bookmarkStart w:id="61" w:name="page62"/>
    <w:bookmarkEnd w:id="61"/>
    <w:p>
      <w:pPr>
        <w:spacing w:after="0"/>
        <w:rPr>
          <w:sz w:val="20"/>
          <w:szCs w:val="20"/>
          <w:color w:val="auto"/>
        </w:rPr>
      </w:pPr>
      <w:r>
        <w:rPr>
          <w:rFonts w:ascii="Arial" w:cs="Arial" w:eastAsia="Arial" w:hAnsi="Arial"/>
          <w:sz w:val="15"/>
          <w:szCs w:val="15"/>
          <w:color w:val="auto"/>
        </w:rPr>
        <w:t>Statement of Financial Position. The remaining $3 million at each year end is reported in Other current assets in the Consolidated Statement of Financial Position.</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REVENUE</w:t>
      </w:r>
    </w:p>
    <w:p>
      <w:pPr>
        <w:spacing w:after="0" w:line="110" w:lineRule="exact"/>
        <w:rPr>
          <w:sz w:val="20"/>
          <w:szCs w:val="20"/>
          <w:color w:val="auto"/>
        </w:rPr>
      </w:pPr>
    </w:p>
    <w:p>
      <w:pPr>
        <w:spacing w:after="0" w:line="276" w:lineRule="auto"/>
        <w:rPr>
          <w:sz w:val="20"/>
          <w:szCs w:val="20"/>
          <w:color w:val="auto"/>
        </w:rPr>
      </w:pPr>
      <w:r>
        <w:rPr>
          <w:rFonts w:ascii="Arial" w:cs="Arial" w:eastAsia="Arial" w:hAnsi="Arial"/>
          <w:sz w:val="15"/>
          <w:szCs w:val="15"/>
          <w:color w:val="auto"/>
        </w:rPr>
        <w:t>Kodak’s revenue transactions include sales of products (such as components and consumables for use in Kodak and other manufacturers’ equipment and film based products); equipment; software; services; integrated solutions; and intellectual property and brand licensing. Kodak recognizes revenue when realized or realizable and earned, which is when the following criteria are met: (1) persuasive evidence of an arrangement exists; (2) delivery has occurred; (3) the sales price is fixed or determinable; and (4) collectability is reasonably assured. At the time revenue is recognized, Kodak provides for the estimated costs of customer incentive programs, warranties and estimated returns and reduces revenue accordingly. For those incentives that require the estimation of sales volumes or redemption rates, such as for volume rebates, Kodak uses historical experience and internal and customer data to estimate the sales incentive at the time revenue is recognized. Kodak accrues the estimated cost of post-sale obligations, including basic product warranties, based on historical experience at the time Kodak recognizes revenue.</w:t>
      </w:r>
    </w:p>
    <w:p>
      <w:pPr>
        <w:spacing w:after="0" w:line="62" w:lineRule="exact"/>
        <w:rPr>
          <w:sz w:val="20"/>
          <w:szCs w:val="20"/>
          <w:color w:val="auto"/>
        </w:rPr>
      </w:pPr>
    </w:p>
    <w:p>
      <w:pPr>
        <w:ind w:right="140"/>
        <w:spacing w:after="0" w:line="280" w:lineRule="auto"/>
        <w:rPr>
          <w:sz w:val="20"/>
          <w:szCs w:val="20"/>
          <w:color w:val="auto"/>
        </w:rPr>
      </w:pPr>
      <w:r>
        <w:rPr>
          <w:rFonts w:ascii="Arial" w:cs="Arial" w:eastAsia="Arial" w:hAnsi="Arial"/>
          <w:sz w:val="16"/>
          <w:szCs w:val="16"/>
          <w:color w:val="auto"/>
        </w:rPr>
        <w:t>For product sales, the revenue recognition criteria are generally met when title and risk of loss have transferred from Kodak to the buyer, which may be upon shipment or upon delivery to the customer site, based on contract terms or legal requirements in certain jurisdictions.</w:t>
      </w:r>
    </w:p>
    <w:p>
      <w:pPr>
        <w:spacing w:after="0" w:line="175" w:lineRule="exact"/>
        <w:rPr>
          <w:sz w:val="20"/>
          <w:szCs w:val="20"/>
          <w:color w:val="auto"/>
        </w:rPr>
      </w:pPr>
    </w:p>
    <w:p>
      <w:pPr>
        <w:ind w:right="240"/>
        <w:spacing w:after="0" w:line="278" w:lineRule="auto"/>
        <w:rPr>
          <w:sz w:val="20"/>
          <w:szCs w:val="20"/>
          <w:color w:val="auto"/>
        </w:rPr>
      </w:pPr>
      <w:r>
        <w:rPr>
          <w:rFonts w:ascii="Arial" w:cs="Arial" w:eastAsia="Arial" w:hAnsi="Arial"/>
          <w:sz w:val="15"/>
          <w:szCs w:val="15"/>
          <w:color w:val="auto"/>
        </w:rPr>
        <w:t>For equipment sales, the recognition criteria are generally met when the equipment is delivered and installed at the customer site. Revenue is recognized for equipment upon delivery as opposed to upon installation when the equipment has stand-alone value to the customer, and the amount of revenue allocable to the equipment is not legally contingent upon the completion of the installation. In instances in which the agreement with the customer contains a customer acceptance clause, revenue is deferred until customer acceptance is obtained, provided the customer acceptance clause is considered to be substantive. For certain agreements, Kodak does not consider these customer acceptance clauses to be substantive because Kodak can and does replicate the customer acceptance test environment and performs the agreed upon product testing prior to shipment. In these instances, revenue is recognized upon installation of the equipment.</w:t>
      </w:r>
    </w:p>
    <w:p>
      <w:pPr>
        <w:spacing w:after="0" w:line="58" w:lineRule="exact"/>
        <w:rPr>
          <w:sz w:val="20"/>
          <w:szCs w:val="20"/>
          <w:color w:val="auto"/>
        </w:rPr>
      </w:pPr>
    </w:p>
    <w:p>
      <w:pPr>
        <w:jc w:val="both"/>
        <w:ind w:right="460"/>
        <w:spacing w:after="0" w:line="266" w:lineRule="auto"/>
        <w:rPr>
          <w:sz w:val="20"/>
          <w:szCs w:val="20"/>
          <w:color w:val="auto"/>
        </w:rPr>
      </w:pPr>
      <w:r>
        <w:rPr>
          <w:rFonts w:ascii="Arial" w:cs="Arial" w:eastAsia="Arial" w:hAnsi="Arial"/>
          <w:sz w:val="16"/>
          <w:szCs w:val="16"/>
          <w:color w:val="auto"/>
        </w:rPr>
        <w:t>Revenue from services includes extended warranty, customer support and maintenance agreements, consulting, business process services, training and education. Service revenue is recognized over the contractual period or as services are performed. In service arrangements where final acceptance of a system or solution by the customer is required, revenue is deferred until all acceptance criteria have been met.</w:t>
      </w:r>
    </w:p>
    <w:p>
      <w:pPr>
        <w:spacing w:after="0" w:line="65"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The timing and the amount of revenue recognized from the licensing of intellectual property depend upon a variety of factors, including the specific terms of each agreement and the nature of the deliverables and obligations. Revenue is only recognized after all of the following criteria are met: (1) Kodak enters into a legally binding arrangement with a licensee of Kodak’s intellectual property, (2) Kodak delivers the technology or intellectual property rights, (3) licensee payment is deemed fixed or determinable and free of contingencies or significant uncertainties, and (4) collection from the licensee is reasonably assured.</w:t>
      </w:r>
    </w:p>
    <w:p>
      <w:pPr>
        <w:spacing w:after="0" w:line="70"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Most of Kodak’s equipment has both software and non-software components that function together to deliver the equipment’s essential functionality and therefore they are accounted for together as non-software deliverables. Non-essential software sold in connection with Kodak’s equipment sales is accounted for as separate deliverables or elements. In most cases, these software products sold as part of a multiple element arrangement include software maintenance agreements as well as unspecified upgrades or enhancements on a when-and-if-available basis. In multiple element arrangements where non-essential software deliverables are included, revenue is allocated to non-software and to software deliverables each as a group based on relative selling prices of each of the deliverables in the arrangement. Revenue allocated to software licenses is recognized when all revenue recognition criteria have been met. Revenue generated from maintenance and unspecified upgrades or updates on a when-and-if-available basis is recognized over the contract period.</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RESEARCH AND DEVELOPMENT COSTS</w:t>
      </w:r>
    </w:p>
    <w:p>
      <w:pPr>
        <w:spacing w:after="0" w:line="110" w:lineRule="exact"/>
        <w:rPr>
          <w:sz w:val="20"/>
          <w:szCs w:val="20"/>
          <w:color w:val="auto"/>
        </w:rPr>
      </w:pPr>
    </w:p>
    <w:p>
      <w:pPr>
        <w:spacing w:after="0" w:line="280" w:lineRule="auto"/>
        <w:rPr>
          <w:sz w:val="20"/>
          <w:szCs w:val="20"/>
          <w:color w:val="auto"/>
        </w:rPr>
      </w:pPr>
      <w:r>
        <w:rPr>
          <w:rFonts w:ascii="Arial" w:cs="Arial" w:eastAsia="Arial" w:hAnsi="Arial"/>
          <w:sz w:val="16"/>
          <w:szCs w:val="16"/>
          <w:color w:val="auto"/>
        </w:rPr>
        <w:t>R&amp;D costs, which include costs incurred in connection with new product development, fundamental and exploratory research, process improvement, product use technology and product accreditation, are expensed in the period in which they are incurred.</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ADVERTISING</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Advertising costs are expensed as incurred and are included in Selling, general and administrative expenses in the accompanying Consolidated Statement of</w:t>
      </w:r>
    </w:p>
    <w:p>
      <w:pPr>
        <w:spacing w:after="0" w:line="22" w:lineRule="exact"/>
        <w:rPr>
          <w:sz w:val="20"/>
          <w:szCs w:val="20"/>
          <w:color w:val="auto"/>
        </w:rPr>
      </w:pPr>
    </w:p>
    <w:p>
      <w:pPr>
        <w:ind w:right="540"/>
        <w:spacing w:after="0" w:line="264" w:lineRule="auto"/>
        <w:rPr>
          <w:sz w:val="20"/>
          <w:szCs w:val="20"/>
          <w:color w:val="auto"/>
        </w:rPr>
      </w:pPr>
      <w:r>
        <w:rPr>
          <w:rFonts w:ascii="Arial" w:cs="Arial" w:eastAsia="Arial" w:hAnsi="Arial"/>
          <w:sz w:val="16"/>
          <w:szCs w:val="16"/>
          <w:color w:val="auto"/>
        </w:rPr>
        <w:t>Operations. Advertising expenses amounted to $7 million, $13 million and $8 million for the years ended December 31, 2017, 2016 and 2015, respectively. Advertising expenses in 2016 included $6 million related to drupa 2016, a print industry trade show which occurs every four years.</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SHIPPING AND HANDLING COSTS</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Amounts charged to customers and costs incurred by Kodak related to shipping and handling are included in net sales and cost of sales, respectively.</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62865</wp:posOffset>
            </wp:positionV>
            <wp:extent cx="7301865" cy="406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301865" cy="40640"/>
                    </a:xfrm>
                    <a:prstGeom prst="rect">
                      <a:avLst/>
                    </a:prstGeom>
                    <a:noFill/>
                  </pic:spPr>
                </pic:pic>
              </a:graphicData>
            </a:graphic>
          </wp:anchor>
        </w:drawing>
      </w:r>
    </w:p>
    <w:p>
      <w:pPr>
        <w:sectPr>
          <w:pgSz w:w="11900" w:h="16838" w:orient="portrait"/>
          <w:cols w:equalWidth="0" w:num="1">
            <w:col w:w="11420"/>
          </w:cols>
          <w:pgMar w:left="240" w:top="224" w:right="239" w:bottom="1440" w:gutter="0" w:footer="0" w:header="0"/>
        </w:sectPr>
      </w:pPr>
    </w:p>
    <w:bookmarkStart w:id="62" w:name="page63"/>
    <w:bookmarkEnd w:id="62"/>
    <w:p>
      <w:pPr>
        <w:ind w:left="3"/>
        <w:spacing w:after="0"/>
        <w:rPr>
          <w:sz w:val="20"/>
          <w:szCs w:val="20"/>
          <w:color w:val="auto"/>
        </w:rPr>
      </w:pPr>
      <w:r>
        <w:rPr>
          <w:rFonts w:ascii="Arial" w:cs="Arial" w:eastAsia="Arial" w:hAnsi="Arial"/>
          <w:sz w:val="16"/>
          <w:szCs w:val="16"/>
          <w:b w:val="1"/>
          <w:bCs w:val="1"/>
          <w:color w:val="auto"/>
        </w:rPr>
        <w:t>IMPAIRMENT OF LONG-LIVED ASSETS</w:t>
      </w:r>
    </w:p>
    <w:p>
      <w:pPr>
        <w:spacing w:after="0" w:line="110" w:lineRule="exact"/>
        <w:rPr>
          <w:sz w:val="20"/>
          <w:szCs w:val="20"/>
          <w:color w:val="auto"/>
        </w:rPr>
      </w:pPr>
    </w:p>
    <w:p>
      <w:pPr>
        <w:ind w:left="3" w:right="420"/>
        <w:spacing w:after="0" w:line="280" w:lineRule="auto"/>
        <w:rPr>
          <w:sz w:val="20"/>
          <w:szCs w:val="20"/>
          <w:color w:val="auto"/>
        </w:rPr>
      </w:pPr>
      <w:r>
        <w:rPr>
          <w:rFonts w:ascii="Arial" w:cs="Arial" w:eastAsia="Arial" w:hAnsi="Arial"/>
          <w:sz w:val="16"/>
          <w:szCs w:val="16"/>
          <w:color w:val="auto"/>
        </w:rPr>
        <w:t>The carrying values of long-lived assets, other than goodwill and intangible assets with indefinite useful lives, are reviewed for impairment whenever events or changes in circumstances indicate that the carrying values may not be recoverable.</w:t>
      </w:r>
    </w:p>
    <w:p>
      <w:pPr>
        <w:spacing w:after="0" w:line="54" w:lineRule="exact"/>
        <w:rPr>
          <w:sz w:val="20"/>
          <w:szCs w:val="20"/>
          <w:color w:val="auto"/>
        </w:rPr>
      </w:pPr>
    </w:p>
    <w:p>
      <w:pPr>
        <w:ind w:left="3" w:right="60"/>
        <w:spacing w:after="0" w:line="278" w:lineRule="auto"/>
        <w:rPr>
          <w:sz w:val="20"/>
          <w:szCs w:val="20"/>
          <w:color w:val="auto"/>
        </w:rPr>
      </w:pPr>
      <w:r>
        <w:rPr>
          <w:rFonts w:ascii="Arial" w:cs="Arial" w:eastAsia="Arial" w:hAnsi="Arial"/>
          <w:sz w:val="15"/>
          <w:szCs w:val="15"/>
          <w:color w:val="auto"/>
        </w:rPr>
        <w:t>The recoverability of the carrying values of long-lived assets is assessed by first grouping long-lived assets with other assets and liabilities at the lowest level for which identifiable cash flows are largely independent of the cash flows of other assets and liabilities (the asset group) and, secondly, by estimating the undiscounted future cash flows that are directly associated with and that are expected to arise from the use of and eventual disposition of such asset group. Kodak estimates the undiscounted cash flows over the remaining useful life of the primary asset within the asset group. If the carrying value of the asset group exceeds the estimated undiscounted cash flows, Kodak records an impairment charge to the extent the carrying value of the long-lived asset exceeds its fair value. Kodak determines fair value through quoted market prices in active markets or, if quoted market prices are unavailable, through the performance of internal analyses of discounted cash flows.</w:t>
      </w:r>
    </w:p>
    <w:p>
      <w:pPr>
        <w:spacing w:after="0" w:line="58" w:lineRule="exact"/>
        <w:rPr>
          <w:sz w:val="20"/>
          <w:szCs w:val="20"/>
          <w:color w:val="auto"/>
        </w:rPr>
      </w:pPr>
    </w:p>
    <w:p>
      <w:pPr>
        <w:ind w:left="3" w:right="340"/>
        <w:spacing w:after="0" w:line="266" w:lineRule="auto"/>
        <w:rPr>
          <w:sz w:val="20"/>
          <w:szCs w:val="20"/>
          <w:color w:val="auto"/>
        </w:rPr>
      </w:pPr>
      <w:r>
        <w:rPr>
          <w:rFonts w:ascii="Arial" w:cs="Arial" w:eastAsia="Arial" w:hAnsi="Arial"/>
          <w:sz w:val="16"/>
          <w:szCs w:val="16"/>
          <w:color w:val="auto"/>
        </w:rPr>
        <w:t>The remaining useful lives of long-lived assets are reviewed in connection with the assessment of recoverability of long-lived assets and the ongoing strategic review of the business and operations. If the review indicates that the remaining useful life of the long-lived asset has changed significantly, the depreciation on that asset is adjusted to facilitate full cost recovery over its revised estimated remaining useful life.</w:t>
      </w:r>
    </w:p>
    <w:p>
      <w:pPr>
        <w:spacing w:after="0" w:line="65" w:lineRule="exact"/>
        <w:rPr>
          <w:sz w:val="20"/>
          <w:szCs w:val="20"/>
          <w:color w:val="auto"/>
        </w:rPr>
      </w:pPr>
    </w:p>
    <w:p>
      <w:pPr>
        <w:ind w:left="3" w:right="80"/>
        <w:spacing w:after="0" w:line="280" w:lineRule="auto"/>
        <w:rPr>
          <w:sz w:val="20"/>
          <w:szCs w:val="20"/>
          <w:color w:val="auto"/>
        </w:rPr>
      </w:pPr>
      <w:r>
        <w:rPr>
          <w:rFonts w:ascii="Arial" w:cs="Arial" w:eastAsia="Arial" w:hAnsi="Arial"/>
          <w:sz w:val="16"/>
          <w:szCs w:val="16"/>
          <w:color w:val="auto"/>
        </w:rPr>
        <w:t>The carrying values of indefinite-lived intangible assets are evaluated for potential impairment annually or whenever events or changes in circumstances indicate that it is more likely than not that the asset is impaired. Refer to Note 5, “Goodwill and Other Intangible Assets.”</w:t>
      </w:r>
    </w:p>
    <w:p>
      <w:pPr>
        <w:spacing w:after="0" w:line="147"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INCOME TAXES</w:t>
      </w:r>
    </w:p>
    <w:p>
      <w:pPr>
        <w:spacing w:after="0" w:line="110" w:lineRule="exact"/>
        <w:rPr>
          <w:sz w:val="20"/>
          <w:szCs w:val="20"/>
          <w:color w:val="auto"/>
        </w:rPr>
      </w:pPr>
    </w:p>
    <w:p>
      <w:pPr>
        <w:ind w:left="3" w:right="80"/>
        <w:spacing w:after="0" w:line="321" w:lineRule="auto"/>
        <w:rPr>
          <w:sz w:val="20"/>
          <w:szCs w:val="20"/>
          <w:color w:val="auto"/>
        </w:rPr>
      </w:pPr>
      <w:r>
        <w:rPr>
          <w:rFonts w:ascii="Arial" w:cs="Arial" w:eastAsia="Arial" w:hAnsi="Arial"/>
          <w:sz w:val="14"/>
          <w:szCs w:val="14"/>
          <w:color w:val="auto"/>
        </w:rPr>
        <w:t>Kodak recognizes deferred tax liabilities and assets for the expected future tax consequences of operating losses, credit carry-forwards and temporary differences between the carrying amounts and tax basis of Kodak’s assets and liabilities. Kodak records a valuation allowance to reduce its net deferred tax assets to the amount that is more likely than not to be realized. For discussion of the amounts and components of the valuation allowances as of December 31, 2017 and 2016, refer to Note 15, “Income Taxes.”</w:t>
      </w:r>
    </w:p>
    <w:p>
      <w:pPr>
        <w:spacing w:after="0" w:line="31" w:lineRule="exact"/>
        <w:rPr>
          <w:sz w:val="20"/>
          <w:szCs w:val="20"/>
          <w:color w:val="auto"/>
        </w:rPr>
      </w:pPr>
    </w:p>
    <w:p>
      <w:pPr>
        <w:ind w:left="3" w:right="140"/>
        <w:spacing w:after="0" w:line="280" w:lineRule="auto"/>
        <w:rPr>
          <w:sz w:val="20"/>
          <w:szCs w:val="20"/>
          <w:color w:val="auto"/>
        </w:rPr>
      </w:pPr>
      <w:r>
        <w:rPr>
          <w:rFonts w:ascii="Arial" w:cs="Arial" w:eastAsia="Arial" w:hAnsi="Arial"/>
          <w:sz w:val="16"/>
          <w:szCs w:val="16"/>
          <w:color w:val="auto"/>
        </w:rPr>
        <w:t>The undistributed earnings of Kodak’s foreign subsidiaries are not considered permanently reinvested. Kodak has recognized a deferred tax liability (net of related foreign tax credits) on the foreign subsidiaries’ undistributed earnings.</w:t>
      </w:r>
    </w:p>
    <w:p>
      <w:pPr>
        <w:spacing w:after="0" w:line="171"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RECENTLY ADOPTED ACCOUNTING PRONOUNCEMENTS</w:t>
      </w:r>
    </w:p>
    <w:p>
      <w:pPr>
        <w:spacing w:after="0" w:line="231" w:lineRule="exact"/>
        <w:rPr>
          <w:sz w:val="20"/>
          <w:szCs w:val="20"/>
          <w:color w:val="auto"/>
        </w:rPr>
      </w:pPr>
    </w:p>
    <w:p>
      <w:pPr>
        <w:ind w:left="3"/>
        <w:spacing w:after="0"/>
        <w:rPr>
          <w:sz w:val="20"/>
          <w:szCs w:val="20"/>
          <w:color w:val="auto"/>
        </w:rPr>
      </w:pPr>
      <w:r>
        <w:rPr>
          <w:rFonts w:ascii="Arial" w:cs="Arial" w:eastAsia="Arial" w:hAnsi="Arial"/>
          <w:sz w:val="15"/>
          <w:szCs w:val="15"/>
          <w:color w:val="auto"/>
        </w:rPr>
        <w:t>In May 2017, the Financial Accounting Standards Board (“FASB”) issued Accounting Standards Update (“ASU”) No 2017-09, Compensation—Stock Compensation (Topic</w:t>
      </w:r>
    </w:p>
    <w:p>
      <w:pPr>
        <w:spacing w:after="0" w:line="33" w:lineRule="exact"/>
        <w:rPr>
          <w:sz w:val="20"/>
          <w:szCs w:val="20"/>
          <w:color w:val="auto"/>
        </w:rPr>
      </w:pPr>
    </w:p>
    <w:p>
      <w:pPr>
        <w:ind w:left="3" w:right="20" w:hanging="3"/>
        <w:spacing w:after="0" w:line="255" w:lineRule="auto"/>
        <w:tabs>
          <w:tab w:leader="none" w:pos="339" w:val="left"/>
        </w:tabs>
        <w:numPr>
          <w:ilvl w:val="0"/>
          <w:numId w:val="34"/>
        </w:numPr>
        <w:rPr>
          <w:rFonts w:ascii="Arial" w:cs="Arial" w:eastAsia="Arial" w:hAnsi="Arial"/>
          <w:sz w:val="16"/>
          <w:szCs w:val="16"/>
          <w:color w:val="auto"/>
        </w:rPr>
      </w:pPr>
      <w:r>
        <w:rPr>
          <w:rFonts w:ascii="Arial" w:cs="Arial" w:eastAsia="Arial" w:hAnsi="Arial"/>
          <w:sz w:val="16"/>
          <w:szCs w:val="16"/>
          <w:color w:val="auto"/>
        </w:rPr>
        <w:t>— Scope of Modification Accounting, to clarify when to account for a change to the terms or conditions of a share-based payment award as a modification. Under the new standard, modification is required only if the fair value, the vesting conditions, or the classification of an award as equity or liability changes as a result of the change in terms or conditions. The ASU is effective prospectively for annual and interim periods beginning after December 15, 2017 (January 1, 2018 for Kodak). Early adoption is permitted, including adoption in any interim period, for reporting periods for which financial statements have not yet been issued. Kodak early adopted ASU 2017-09 effective April 1, 2017. The adoption of this guidance had no impact on Kodak’s Consolidated Financial Statements.</w:t>
      </w:r>
    </w:p>
    <w:p>
      <w:pPr>
        <w:spacing w:after="0" w:line="195" w:lineRule="exact"/>
        <w:rPr>
          <w:sz w:val="20"/>
          <w:szCs w:val="20"/>
          <w:color w:val="auto"/>
        </w:rPr>
      </w:pPr>
    </w:p>
    <w:p>
      <w:pPr>
        <w:ind w:left="3"/>
        <w:spacing w:after="0" w:line="275" w:lineRule="auto"/>
        <w:rPr>
          <w:sz w:val="20"/>
          <w:szCs w:val="20"/>
          <w:color w:val="auto"/>
        </w:rPr>
      </w:pPr>
      <w:r>
        <w:rPr>
          <w:rFonts w:ascii="Arial" w:cs="Arial" w:eastAsia="Arial" w:hAnsi="Arial"/>
          <w:sz w:val="15"/>
          <w:szCs w:val="15"/>
          <w:color w:val="auto"/>
        </w:rPr>
        <w:t>In January 2017, the FASB issued ASU No: 2017-04, Intangibles – Goodwill and Other (Topic 350): Simplifying the Accounting for Goodwill Impairment. The ASU simplifies the accounting for goodwill impairment by removing Step 2 of the goodwill impairment test, which required a hypothetical purchase price allocation. The ASU requires entities to calculate a goodwill impairment as the amount by which a reporting unit’s carrying value exceeds its fair value, not to exceed the carrying amount of goodwill. The same one-step impairment test applies to goodwill at all reporting units, even those with zero or negative carrying amounts. The ASU requires entities to disclose the amount of goodwill at reporting units with zero or negative carrying amounts. The ASU is effective prospectively for annual periods beginning after December 15, 2019, (January 1, 2020 for Kodak) with early adoption permitted for goodwill impairment tests performed after January 1, 2017. Kodak early adopted ASU 2017-04 effective January 1, 2017. The adoption of this guidance had no impact on Kodak’s Consolidated Financial Statements. As of December 31, 2017, the Unified Workflow Solutions reporting unit had a negative carrying value. Total goodwill assigned to the Unified Workflow Solutions reporting unit is $6 million.</w:t>
      </w:r>
    </w:p>
    <w:p>
      <w:pPr>
        <w:spacing w:after="0" w:line="159" w:lineRule="exact"/>
        <w:rPr>
          <w:sz w:val="20"/>
          <w:szCs w:val="20"/>
          <w:color w:val="auto"/>
        </w:rPr>
      </w:pPr>
    </w:p>
    <w:p>
      <w:pPr>
        <w:ind w:left="3" w:right="40"/>
        <w:spacing w:after="0" w:line="274" w:lineRule="auto"/>
        <w:rPr>
          <w:sz w:val="20"/>
          <w:szCs w:val="20"/>
          <w:color w:val="auto"/>
        </w:rPr>
      </w:pPr>
      <w:r>
        <w:rPr>
          <w:rFonts w:ascii="Arial" w:cs="Arial" w:eastAsia="Arial" w:hAnsi="Arial"/>
          <w:sz w:val="15"/>
          <w:szCs w:val="15"/>
          <w:color w:val="auto"/>
        </w:rPr>
        <w:t>In November 2016, the FASB issued ASU 2016-18 Statement of Cash Flows (Topic 230): Restricted Cash. ASU 2016-18 requires entities to show the changes in the total of cash, cash equivalents, restricted cash and restricted cash equivalents in the statement of cash flows. As a result, entities will no longer present transfers between cash and cash equivalents and restricted cash and restricted cash equivalents in the statement of cash flows. The ASU requires changes in the Company’s restricted cash to be classified as either operating activities, investing activities or financing activities in the Consolidated Statement of Cash Flows, depending on the nature of the activities that gave rise to the restriction. The new standard is effective for annual reporting periods beginning after December 15, 2017, (January 1, 2018 for Kodak) including interim reporting periods within those annual reporting periods. Early adoption in an interim period is permitted, but any adjustments must be reflected as of the beginning of the fiscal year that includes that interim period. Kodak early adopted ASU 2016-18 effective January 1, 2017. The adoption resulted in a decrease of $8 million in net cash flows used by investing activities and a decrease of $1 million in the effect of exchange rate changes on cash, cash equivalents and restricted cash from what was previously reported for the year ended December 31, 2016 and an increase of $10 million in net cash flows used by investing activities and a $3 million decrease in the effect of exchange rate changes on cash, cash equivalents and restricted cash from what was previously reported for the year ended December 31, 2015.</w:t>
      </w:r>
    </w:p>
    <w:p>
      <w:pPr>
        <w:spacing w:after="0" w:line="158" w:lineRule="exact"/>
        <w:rPr>
          <w:sz w:val="20"/>
          <w:szCs w:val="20"/>
          <w:color w:val="auto"/>
        </w:rPr>
      </w:pPr>
    </w:p>
    <w:p>
      <w:pPr>
        <w:jc w:val="center"/>
        <w:ind w:right="-22"/>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62865</wp:posOffset>
            </wp:positionV>
            <wp:extent cx="7301865" cy="406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301865" cy="40640"/>
                    </a:xfrm>
                    <a:prstGeom prst="rect">
                      <a:avLst/>
                    </a:prstGeom>
                    <a:noFill/>
                  </pic:spPr>
                </pic:pic>
              </a:graphicData>
            </a:graphic>
          </wp:anchor>
        </w:drawing>
      </w:r>
    </w:p>
    <w:p>
      <w:pPr>
        <w:sectPr>
          <w:pgSz w:w="11900" w:h="16838" w:orient="portrait"/>
          <w:cols w:equalWidth="0" w:num="1">
            <w:col w:w="11403"/>
          </w:cols>
          <w:pgMar w:left="237" w:top="316" w:right="259" w:bottom="1440" w:gutter="0" w:footer="0" w:header="0"/>
        </w:sectPr>
      </w:pPr>
    </w:p>
    <w:bookmarkStart w:id="63" w:name="page64"/>
    <w:bookmarkEnd w:id="63"/>
    <w:p>
      <w:pPr>
        <w:spacing w:after="0" w:line="257" w:lineRule="auto"/>
        <w:rPr>
          <w:sz w:val="20"/>
          <w:szCs w:val="20"/>
          <w:color w:val="auto"/>
        </w:rPr>
      </w:pPr>
      <w:r>
        <w:rPr>
          <w:rFonts w:ascii="Arial" w:cs="Arial" w:eastAsia="Arial" w:hAnsi="Arial"/>
          <w:sz w:val="16"/>
          <w:szCs w:val="16"/>
          <w:color w:val="auto"/>
        </w:rPr>
        <w:t>In October 2016, the FASB issued ASU 2016-16, Income Taxes (Topic 740): Intra-Entity Transfers of Assets Other than Inventory. ASU 2016-16 requires the recognition of the income tax consequences of intra-entity transfers of assets other than inventory when the transfer occurs. The new standard is effective on a modified retrospective basis for annual reporting periods beginning after December 15, 2017, (January 1, 2018 for Kodak) including interim reporting periods within those annual reporting periods. Early adoption is permitted as of the beginning of an annual reporting period for which financial statements (interim or annual) have not been issued or made available for issuance (January 1, 2017 for Kodak). Kodak early adopted ASU 2016-16 on a modified retrospective basis during the first quarter of 2017. The adoption of this guidance had no impact on Kodak’s Consolidated Financial Statements.</w:t>
      </w:r>
    </w:p>
    <w:p>
      <w:pPr>
        <w:spacing w:after="0" w:line="196" w:lineRule="exact"/>
        <w:rPr>
          <w:sz w:val="20"/>
          <w:szCs w:val="20"/>
          <w:color w:val="auto"/>
        </w:rPr>
      </w:pPr>
    </w:p>
    <w:p>
      <w:pPr>
        <w:ind w:right="240"/>
        <w:spacing w:after="0" w:line="259" w:lineRule="auto"/>
        <w:rPr>
          <w:sz w:val="20"/>
          <w:szCs w:val="20"/>
          <w:color w:val="auto"/>
        </w:rPr>
      </w:pPr>
      <w:r>
        <w:rPr>
          <w:rFonts w:ascii="Arial" w:cs="Arial" w:eastAsia="Arial" w:hAnsi="Arial"/>
          <w:sz w:val="16"/>
          <w:szCs w:val="16"/>
          <w:color w:val="auto"/>
        </w:rPr>
        <w:t>In August 2016, the FASB issued ASU 2016-15, Statement of Cash Flows (Topic 230): Classification of Certain Cash Receipts and Cash Payments. ASU 2016-15 provides clarification with respect to classification of several cash flow issues on the Statement of Cash Flows including debt prepayment or extinguishment costs, proceeds from the settlement of insurance claims, and distributions received from equity method investees. The new standard is effective for fiscal years, and for interim periods within those fiscal years, beginning after December 15, 2017 (January 1, 2018 for Kodak). Kodak early adopted ASU 2016-15 retrospectively effective January 1, 2017. The adoption of this guidance had no impact on Kodak’s Consolidated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RECENTLY ISSUED ACCOUNTING PRONOUNCEMENTS</w:t>
      </w:r>
    </w:p>
    <w:p>
      <w:pPr>
        <w:spacing w:after="0" w:line="231"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In February 2018, the FASB issued ASU 2018-02, “Income Statement—Reporting Comprehensive Income (Topic 220): Reclassification of Certain Tax Effects from Accumulated Other Comprehensive Income”. The ASU addresses certain stranded income tax effects in accumulated other comprehensive income (AOCI) resulting from the 2017 Tax Act. The ASU provides an option to reclassify stranded tax effects within AOCI to retained earnings in each period in which the effect of the change in the U.S. federal corporate income tax rate in the 2017 Tax Act (or portion thereof) is recorded and requires additional disclosures. The ASU is effective for fiscal years beginning after December 15, 2018 (January 1, 2019 for Kodak) and interim periods within those fiscal years. Early adoption is permitted and may be applied either in the period of adoption or retrospectively to each period (or periods) in which the effect of the change in the U.S. federal corporate income tax rate in the 2017 Tax Act is recognized. Kodak is currently evaluating the impact of this ASU.</w:t>
      </w:r>
    </w:p>
    <w:p>
      <w:pPr>
        <w:spacing w:after="0" w:line="198" w:lineRule="exact"/>
        <w:rPr>
          <w:sz w:val="20"/>
          <w:szCs w:val="20"/>
          <w:color w:val="auto"/>
        </w:rPr>
      </w:pPr>
    </w:p>
    <w:p>
      <w:pPr>
        <w:spacing w:after="0" w:line="273" w:lineRule="auto"/>
        <w:rPr>
          <w:sz w:val="20"/>
          <w:szCs w:val="20"/>
          <w:color w:val="auto"/>
        </w:rPr>
      </w:pPr>
      <w:r>
        <w:rPr>
          <w:rFonts w:ascii="Arial" w:cs="Arial" w:eastAsia="Arial" w:hAnsi="Arial"/>
          <w:sz w:val="15"/>
          <w:szCs w:val="15"/>
          <w:color w:val="auto"/>
        </w:rPr>
        <w:t>In March 2017, the FASB issued ASU 2017-07, Compensation—Retirement Benefits (Topic 715): Improving the Presentation of Net Periodic Pension Cost and Net Periodic Postretirement Benefit Cost. ASU 2017-07 requires entities to report the service cost component in the same line item(s) as other compensation costs arising from services rendered during the period and to report all other components of net benefit costs outside a subtotal of income from operations. In addition, the ASU allows only the service cost component to be eligible for capitalization when applicable. ASU 2017-07 is effective for fiscal years, and interim periods within those years, beginning after December 15, 2017 (January 1, 2018 for Kodak). Retrospective application is required for the presentation of the service cost and other cost components however the restrictions on the capitalization eligibility will be applied prospectively from the date of adoption. The components of net benefit cost are shown in Note 17, “Retirement Plans and Note 18 “Other Postretirement Benefits”. The guidance will impact presentation in the Consolidated Financial Statements and the capitalization of costs to inventory. The current presentation of the service cost component is consistent with the requirements of the new standard. Upon adoption, the other components (which are currently being presented within Cost of revenues, Selling and general administrative expenses and Research and development costs) are expected to be presented separately on the face of the Consolidated Statement of Operations. The segment measure of profit and loss currently includes only the service cost and amortization of prior service credits components of net periodic pension and postretirement benefit costs (refer to Note 24, “Segment Information”). Effective January 1, 2018, the segment measure of profit and loss only includes the service cost component of net periodic pension and postretirement benefit costs.</w:t>
      </w:r>
    </w:p>
    <w:p>
      <w:pPr>
        <w:spacing w:after="0" w:line="184" w:lineRule="exact"/>
        <w:rPr>
          <w:sz w:val="20"/>
          <w:szCs w:val="20"/>
          <w:color w:val="auto"/>
        </w:rPr>
      </w:pPr>
    </w:p>
    <w:p>
      <w:pPr>
        <w:ind w:right="20"/>
        <w:spacing w:after="0" w:line="276" w:lineRule="auto"/>
        <w:rPr>
          <w:sz w:val="20"/>
          <w:szCs w:val="20"/>
          <w:color w:val="auto"/>
        </w:rPr>
      </w:pPr>
      <w:r>
        <w:rPr>
          <w:rFonts w:ascii="Arial" w:cs="Arial" w:eastAsia="Arial" w:hAnsi="Arial"/>
          <w:sz w:val="15"/>
          <w:szCs w:val="15"/>
          <w:color w:val="auto"/>
        </w:rPr>
        <w:t>In February 2017, the FASB issued ASU 2017-05, Other Income—Gains and Losses from the Derecognition of Nonfinancial Assets (Subtopic 610-20): Clarifying the Scope of Asset Derecognition Guidance and Accounting for Partial Sales of Nonfinancial Assets. ASU 2017-05 defines in-substance nonfinancial assets, provides guidance with respect to accounting for partial sales of nonfinancial assets and conforms the derecognition guidance on nonfinancial assets with the model for transactions in the new revenue standard (Topic 606 as described below). ASU 2017-05 is effective for fiscal years, and interim periods within those years, beginning after December 15, 2017 (January 1, 2018 for Kodak) and allows either a full retrospective adoption to all periods presented or a modified retrospective adoption approach with the cumulative effect of initial application recognized at the date of initial application. Kodak is adopting ASU 2017-05 using the modified retrospective adoption approach and expects that application of this standard will not have a significant impact on its consolidated financial statements.</w:t>
      </w:r>
    </w:p>
    <w:p>
      <w:pPr>
        <w:spacing w:after="0" w:line="183" w:lineRule="exact"/>
        <w:rPr>
          <w:sz w:val="20"/>
          <w:szCs w:val="20"/>
          <w:color w:val="auto"/>
        </w:rPr>
      </w:pPr>
    </w:p>
    <w:p>
      <w:pPr>
        <w:ind w:right="140"/>
        <w:spacing w:after="0" w:line="278" w:lineRule="auto"/>
        <w:rPr>
          <w:sz w:val="20"/>
          <w:szCs w:val="20"/>
          <w:color w:val="auto"/>
        </w:rPr>
      </w:pPr>
      <w:r>
        <w:rPr>
          <w:rFonts w:ascii="Arial" w:cs="Arial" w:eastAsia="Arial" w:hAnsi="Arial"/>
          <w:sz w:val="15"/>
          <w:szCs w:val="15"/>
          <w:color w:val="auto"/>
        </w:rPr>
        <w:t>In June 2016, the FASB issued ASU 2016-13, Financial Instruments—Credit Losses (Topic 326): Measurement of Credit Losses on Financial Instruments. ASU 2016-13 requires a financial asset (or a group of financial assets) measured at amortized cost basis to be presented at the net amount expected to be collected. In addition, the ASU requires credit losses relating to available-for-sale debt securities to be recorded through an allowance for credit losses. The amendments in this ASU broaden the information that an entity must consider in developing its expected credit loss estimate for assets measured either collectively or individually. The new standard is effective for fiscal years, and for interim periods within those fiscal years, beginning after December 15, 2019 (January 1, 2020 for Kodak). Early adoption is permitted for fiscal years, and interim periods within those years, beginning after December 15, 2018 (January 1, 2019 for Kodak). Kodak is currently evaluating the impact of this ASU.</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62865</wp:posOffset>
            </wp:positionV>
            <wp:extent cx="7301865" cy="406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301865" cy="40640"/>
                    </a:xfrm>
                    <a:prstGeom prst="rect">
                      <a:avLst/>
                    </a:prstGeom>
                    <a:noFill/>
                  </pic:spPr>
                </pic:pic>
              </a:graphicData>
            </a:graphic>
          </wp:anchor>
        </w:drawing>
      </w:r>
    </w:p>
    <w:p>
      <w:pPr>
        <w:sectPr>
          <w:pgSz w:w="11900" w:h="16838" w:orient="portrait"/>
          <w:cols w:equalWidth="0" w:num="1">
            <w:col w:w="11420"/>
          </w:cols>
          <w:pgMar w:left="240" w:top="345" w:right="239" w:bottom="1440" w:gutter="0" w:footer="0" w:header="0"/>
        </w:sectPr>
      </w:pPr>
    </w:p>
    <w:bookmarkStart w:id="64" w:name="page65"/>
    <w:bookmarkEnd w:id="64"/>
    <w:p>
      <w:pPr>
        <w:ind w:right="20"/>
        <w:spacing w:after="0" w:line="259" w:lineRule="auto"/>
        <w:rPr>
          <w:sz w:val="20"/>
          <w:szCs w:val="20"/>
          <w:color w:val="auto"/>
        </w:rPr>
      </w:pPr>
      <w:r>
        <w:rPr>
          <w:rFonts w:ascii="Arial" w:cs="Arial" w:eastAsia="Arial" w:hAnsi="Arial"/>
          <w:sz w:val="16"/>
          <w:szCs w:val="16"/>
          <w:color w:val="auto"/>
        </w:rPr>
        <w:t>In February 2016, the FASB issued ASU 2016-02, Leases (Topic 842). ASU 2016-02 requires lessees to recognize most leases on their balance sheets as lease liabilities with corresponding right-of-use assets and eliminates certain real estate-specific provisions. The new leasing standard is effective for fiscal years, and for interim periods within those fiscal years, beginning after December 15, 2018 (January 1, 2019 for Kodak). Early adoption is permitted. Kodak plans to adopt the new standard on the effective date and is currently evaluating the impact of this ASU on its financial statements. Kodak anticipates that the adoption of the amended lease guidance will materially affect its consolidated balance sheet and will require certain changes to its systems and processes.</w:t>
      </w:r>
    </w:p>
    <w:p>
      <w:pPr>
        <w:spacing w:after="0" w:line="192" w:lineRule="exact"/>
        <w:rPr>
          <w:sz w:val="20"/>
          <w:szCs w:val="20"/>
          <w:color w:val="auto"/>
        </w:rPr>
      </w:pPr>
    </w:p>
    <w:p>
      <w:pPr>
        <w:ind w:right="100"/>
        <w:spacing w:after="0" w:line="278" w:lineRule="auto"/>
        <w:rPr>
          <w:sz w:val="20"/>
          <w:szCs w:val="20"/>
          <w:color w:val="auto"/>
        </w:rPr>
      </w:pPr>
      <w:r>
        <w:rPr>
          <w:rFonts w:ascii="Arial" w:cs="Arial" w:eastAsia="Arial" w:hAnsi="Arial"/>
          <w:sz w:val="15"/>
          <w:szCs w:val="15"/>
          <w:color w:val="auto"/>
        </w:rPr>
        <w:t>In January 2016, the FASB issued ASU 2016-01, Financial Instruments—Overall (Topic 825): Recognition and Measurement of Financial Assets and Financial Liabilities. ASU 2016-01 primarily affects the accounting for equity investments, financial liabilities under the fair value option, and the presentation and disclosure requirements for financial instruments. Under the ASU all equity investments in unconsolidated entities (other than those accounted for using the equity method of accounting) will generally be measured at fair value through earnings. In addition, the FASB clarified guidance related to the valuation allowance assessment when recognizing deferred tax assets resulting from unrealized losses on available-for-sale debt securities. The classification and measurement guidance is effective for Kodak beginning January 1, 2018, including interim periods within those fiscal years. The adoption of this guidance will not have a material impact on its Consolidated Financial Statements.</w:t>
      </w:r>
    </w:p>
    <w:p>
      <w:pPr>
        <w:spacing w:after="0" w:line="373" w:lineRule="exact"/>
        <w:rPr>
          <w:sz w:val="20"/>
          <w:szCs w:val="20"/>
          <w:color w:val="auto"/>
        </w:rPr>
      </w:pPr>
    </w:p>
    <w:p>
      <w:pPr>
        <w:spacing w:after="0" w:line="272" w:lineRule="auto"/>
        <w:rPr>
          <w:sz w:val="20"/>
          <w:szCs w:val="20"/>
          <w:color w:val="auto"/>
        </w:rPr>
      </w:pPr>
      <w:r>
        <w:rPr>
          <w:rFonts w:ascii="Arial" w:cs="Arial" w:eastAsia="Arial" w:hAnsi="Arial"/>
          <w:sz w:val="15"/>
          <w:szCs w:val="15"/>
          <w:color w:val="auto"/>
        </w:rPr>
        <w:t>In May 2014, the FASB issued ASU 2014-09, “Revenue from Contracts with Customers (Topic 606).” ASU 2014-09 supersedes the revenue recognition requirements in Topic 605, “Revenue Recognition” and most industry-specific guidance. The core principle of ASU 2014-09 is that a company will recognize revenue when it transfers promised goods or services to customers in an amount that reflects the consideration to which the company expects to be entitled in exchange for those goods or services. In addition, the standard requires disclosure of the nature, amount, timing, and uncertainty of revenue and cash flows arising from contracts with customers. In July 2015, the FASB deferred the effective date of ASU 2014-09. In 2016 the FASB issued ASU 2016-08, ASUs 2016-10 through 12 and ASU 2016-20 clarifying guidance regarding principle vs agent considerations, identification of performance obligations, analysis of licensing transactions, impairment considerations and disclosures. The new revenue standards are collectively effective for fiscal years, and interim periods within those years, beginning after December 15, 2017 (January 1, 2018 for Kodak) and allow either a full retrospective adoption to all periods presented or a modified retrospective adoption approach with the cumulative effect of initial application recognized at the date of initial application. Kodak is adopting the provisions of the new standards using the modified retrospective method which allows companies to record a one-time adjustment to opening retained earnings for the cumulative effect the standards will have on open contracts at the time of adoption. Kodak derives revenue from various brand licensing arrangements which may include upfront payments and/or sales based royalties subject to minimum annual guaranteed amounts. Kodak expects to record a cumulative effect adjustment of approximately $10 million as a decrease to the opening balance of retained earnings related to these arrangements. With the exception of brand license revenue, Kodak has not identified any changes in the timing of revenue recognition which will result in a material transition adjustment. Kodak has implemented appropriate changes to the business processes and systems to support recognition and disclosure under the new standard.</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 CASH, CASH EQUIVALENTS AND RESTRICTED CASH</w:t>
      </w:r>
    </w:p>
    <w:p>
      <w:pPr>
        <w:spacing w:after="0" w:line="231" w:lineRule="exact"/>
        <w:rPr>
          <w:sz w:val="20"/>
          <w:szCs w:val="20"/>
          <w:color w:val="auto"/>
        </w:rPr>
      </w:pPr>
    </w:p>
    <w:p>
      <w:pPr>
        <w:ind w:right="420"/>
        <w:spacing w:after="0" w:line="280" w:lineRule="auto"/>
        <w:rPr>
          <w:sz w:val="20"/>
          <w:szCs w:val="20"/>
          <w:color w:val="auto"/>
        </w:rPr>
      </w:pPr>
      <w:r>
        <w:rPr>
          <w:rFonts w:ascii="Arial" w:cs="Arial" w:eastAsia="Arial" w:hAnsi="Arial"/>
          <w:sz w:val="16"/>
          <w:szCs w:val="16"/>
          <w:color w:val="auto"/>
        </w:rPr>
        <w:t>The following table provides a reconciliation of cash, cash equivalents and restricted cash reported within the Statement of Financial Position that sums to the total of such amounts shown in the Statement of Cash Flows:</w:t>
      </w:r>
    </w:p>
    <w:p>
      <w:pPr>
        <w:spacing w:after="0" w:line="175"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6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80" w:type="dxa"/>
            <w:vAlign w:val="bottom"/>
            <w:gridSpan w:val="3"/>
          </w:tcPr>
          <w:p>
            <w:pPr>
              <w:jc w:val="right"/>
              <w:spacing w:after="0"/>
              <w:rPr>
                <w:sz w:val="20"/>
                <w:szCs w:val="20"/>
                <w:color w:val="auto"/>
              </w:rPr>
            </w:pPr>
            <w:r>
              <w:rPr>
                <w:rFonts w:ascii="Arial" w:cs="Arial" w:eastAsia="Arial" w:hAnsi="Arial"/>
                <w:sz w:val="13"/>
                <w:szCs w:val="13"/>
                <w:b w:val="1"/>
                <w:bCs w:val="1"/>
                <w:color w:val="auto"/>
              </w:rPr>
              <w:t>As of December 31,</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3"/>
        </w:trPr>
        <w:tc>
          <w:tcPr>
            <w:tcW w:w="6280" w:type="dxa"/>
            <w:vAlign w:val="bottom"/>
            <w:tcBorders>
              <w:bottom w:val="single" w:sz="8" w:color="CFF0FC"/>
            </w:tcBorders>
          </w:tcPr>
          <w:p>
            <w:pPr>
              <w:spacing w:after="0"/>
              <w:rPr>
                <w:sz w:val="20"/>
                <w:szCs w:val="20"/>
                <w:color w:val="auto"/>
              </w:rPr>
            </w:pPr>
            <w:r>
              <w:rPr>
                <w:rFonts w:ascii="Arial" w:cs="Arial" w:eastAsia="Arial" w:hAnsi="Arial"/>
                <w:sz w:val="13"/>
                <w:szCs w:val="13"/>
                <w:color w:val="auto"/>
              </w:rPr>
              <w:t>(in millions)</w:t>
            </w: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25"/>
              <w:spacing w:after="0"/>
              <w:rPr>
                <w:sz w:val="20"/>
                <w:szCs w:val="20"/>
                <w:color w:val="auto"/>
              </w:rPr>
            </w:pPr>
            <w:r>
              <w:rPr>
                <w:rFonts w:ascii="Arial" w:cs="Arial" w:eastAsia="Arial" w:hAnsi="Arial"/>
                <w:sz w:val="13"/>
                <w:szCs w:val="13"/>
                <w:b w:val="1"/>
                <w:bCs w:val="1"/>
                <w:color w:val="auto"/>
              </w:rPr>
              <w:t>2017</w:t>
            </w:r>
          </w:p>
        </w:tc>
        <w:tc>
          <w:tcPr>
            <w:tcW w:w="240" w:type="dxa"/>
            <w:vAlign w:val="bottom"/>
            <w:tcBorders>
              <w:bottom w:val="single" w:sz="8" w:color="CFF0FC"/>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423"/>
              <w:spacing w:after="0"/>
              <w:rPr>
                <w:sz w:val="20"/>
                <w:szCs w:val="20"/>
                <w:color w:val="auto"/>
              </w:rPr>
            </w:pPr>
            <w:r>
              <w:rPr>
                <w:rFonts w:ascii="Arial" w:cs="Arial" w:eastAsia="Arial" w:hAnsi="Arial"/>
                <w:sz w:val="13"/>
                <w:szCs w:val="13"/>
                <w:b w:val="1"/>
                <w:bCs w:val="1"/>
                <w:color w:val="auto"/>
                <w:w w:val="96"/>
              </w:rPr>
              <w:t>2016</w:t>
            </w:r>
          </w:p>
        </w:tc>
        <w:tc>
          <w:tcPr>
            <w:tcW w:w="100" w:type="dxa"/>
            <w:vAlign w:val="bottom"/>
            <w:tcBorders>
              <w:bottom w:val="single" w:sz="8" w:color="CFF0FC"/>
            </w:tcBorders>
          </w:tcPr>
          <w:p>
            <w:pPr>
              <w:spacing w:after="0"/>
              <w:rPr>
                <w:sz w:val="13"/>
                <w:szCs w:val="13"/>
                <w:color w:val="auto"/>
              </w:rPr>
            </w:pPr>
          </w:p>
        </w:tc>
      </w:tr>
      <w:tr>
        <w:trPr>
          <w:trHeight w:val="198"/>
        </w:trPr>
        <w:tc>
          <w:tcPr>
            <w:tcW w:w="6280" w:type="dxa"/>
            <w:vAlign w:val="bottom"/>
            <w:shd w:val="clear" w:color="auto" w:fill="CFF0FC"/>
          </w:tcPr>
          <w:p>
            <w:pPr>
              <w:spacing w:after="0"/>
              <w:rPr>
                <w:sz w:val="20"/>
                <w:szCs w:val="20"/>
                <w:color w:val="auto"/>
              </w:rPr>
            </w:pPr>
            <w:r>
              <w:rPr>
                <w:rFonts w:ascii="Arial" w:cs="Arial" w:eastAsia="Arial" w:hAnsi="Arial"/>
                <w:sz w:val="16"/>
                <w:szCs w:val="16"/>
                <w:color w:val="auto"/>
              </w:rPr>
              <w:t>Cash and cash equivalents</w:t>
            </w:r>
          </w:p>
        </w:tc>
        <w:tc>
          <w:tcPr>
            <w:tcW w:w="280" w:type="dxa"/>
            <w:vAlign w:val="bottom"/>
            <w:shd w:val="clear" w:color="auto" w:fill="CFF0FC"/>
          </w:tcPr>
          <w:p>
            <w:pPr>
              <w:jc w:val="right"/>
              <w:ind w:right="124"/>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344</w:t>
            </w:r>
          </w:p>
        </w:tc>
        <w:tc>
          <w:tcPr>
            <w:tcW w:w="240" w:type="dxa"/>
            <w:vAlign w:val="bottom"/>
            <w:shd w:val="clear" w:color="auto" w:fill="CFF0FC"/>
          </w:tcPr>
          <w:p>
            <w:pPr>
              <w:spacing w:after="0"/>
              <w:rPr>
                <w:sz w:val="17"/>
                <w:szCs w:val="17"/>
                <w:color w:val="auto"/>
              </w:rPr>
            </w:pPr>
          </w:p>
        </w:tc>
        <w:tc>
          <w:tcPr>
            <w:tcW w:w="460" w:type="dxa"/>
            <w:vAlign w:val="bottom"/>
            <w:shd w:val="clear" w:color="auto" w:fill="CFF0FC"/>
          </w:tcPr>
          <w:p>
            <w:pPr>
              <w:jc w:val="right"/>
              <w:ind w:right="30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434</w:t>
            </w:r>
          </w:p>
        </w:tc>
        <w:tc>
          <w:tcPr>
            <w:tcW w:w="100" w:type="dxa"/>
            <w:vAlign w:val="bottom"/>
            <w:shd w:val="clear" w:color="auto" w:fill="CFF0FC"/>
          </w:tcPr>
          <w:p>
            <w:pPr>
              <w:spacing w:after="0"/>
              <w:rPr>
                <w:sz w:val="17"/>
                <w:szCs w:val="17"/>
                <w:color w:val="auto"/>
              </w:rPr>
            </w:pPr>
          </w:p>
        </w:tc>
      </w:tr>
      <w:tr>
        <w:trPr>
          <w:trHeight w:val="205"/>
        </w:trPr>
        <w:tc>
          <w:tcPr>
            <w:tcW w:w="6280" w:type="dxa"/>
            <w:vAlign w:val="bottom"/>
          </w:tcPr>
          <w:p>
            <w:pPr>
              <w:spacing w:after="0"/>
              <w:rPr>
                <w:sz w:val="20"/>
                <w:szCs w:val="20"/>
                <w:color w:val="auto"/>
              </w:rPr>
            </w:pPr>
            <w:r>
              <w:rPr>
                <w:rFonts w:ascii="Arial" w:cs="Arial" w:eastAsia="Arial" w:hAnsi="Arial"/>
                <w:sz w:val="16"/>
                <w:szCs w:val="16"/>
                <w:color w:val="auto"/>
              </w:rPr>
              <w:t>Restricted cash included in Other current assets</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w:t>
            </w: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7"/>
                <w:szCs w:val="17"/>
                <w:color w:val="auto"/>
              </w:rPr>
            </w:pPr>
          </w:p>
        </w:tc>
      </w:tr>
      <w:tr>
        <w:trPr>
          <w:trHeight w:val="205"/>
        </w:trPr>
        <w:tc>
          <w:tcPr>
            <w:tcW w:w="6280" w:type="dxa"/>
            <w:vAlign w:val="bottom"/>
            <w:shd w:val="clear" w:color="auto" w:fill="CFF0FC"/>
          </w:tcPr>
          <w:p>
            <w:pPr>
              <w:spacing w:after="0"/>
              <w:rPr>
                <w:sz w:val="20"/>
                <w:szCs w:val="20"/>
                <w:color w:val="auto"/>
              </w:rPr>
            </w:pPr>
            <w:r>
              <w:rPr>
                <w:rFonts w:ascii="Arial" w:cs="Arial" w:eastAsia="Arial" w:hAnsi="Arial"/>
                <w:sz w:val="16"/>
                <w:szCs w:val="16"/>
                <w:color w:val="auto"/>
              </w:rPr>
              <w:t>Long-term restricted cash</w:t>
            </w:r>
          </w:p>
        </w:tc>
        <w:tc>
          <w:tcPr>
            <w:tcW w:w="28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w:t>
            </w:r>
          </w:p>
        </w:tc>
        <w:tc>
          <w:tcPr>
            <w:tcW w:w="240" w:type="dxa"/>
            <w:vAlign w:val="bottom"/>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36</w:t>
            </w:r>
          </w:p>
        </w:tc>
        <w:tc>
          <w:tcPr>
            <w:tcW w:w="100" w:type="dxa"/>
            <w:vAlign w:val="bottom"/>
            <w:shd w:val="clear" w:color="auto" w:fill="CFF0FC"/>
          </w:tcPr>
          <w:p>
            <w:pPr>
              <w:spacing w:after="0"/>
              <w:rPr>
                <w:sz w:val="17"/>
                <w:szCs w:val="17"/>
                <w:color w:val="auto"/>
              </w:rPr>
            </w:pPr>
          </w:p>
        </w:tc>
      </w:tr>
      <w:tr>
        <w:trPr>
          <w:trHeight w:val="198"/>
        </w:trPr>
        <w:tc>
          <w:tcPr>
            <w:tcW w:w="6280" w:type="dxa"/>
            <w:vAlign w:val="bottom"/>
          </w:tcPr>
          <w:p>
            <w:pPr>
              <w:spacing w:after="0"/>
              <w:rPr>
                <w:sz w:val="20"/>
                <w:szCs w:val="20"/>
                <w:color w:val="auto"/>
              </w:rPr>
            </w:pPr>
            <w:r>
              <w:rPr>
                <w:rFonts w:ascii="Arial" w:cs="Arial" w:eastAsia="Arial" w:hAnsi="Arial"/>
                <w:sz w:val="16"/>
                <w:szCs w:val="16"/>
                <w:color w:val="auto"/>
              </w:rPr>
              <w:t>Total cash, cash equivalents and restricted cash shown in the Statement of Cash Flows</w:t>
            </w:r>
          </w:p>
        </w:tc>
        <w:tc>
          <w:tcPr>
            <w:tcW w:w="28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369</w:t>
            </w:r>
          </w:p>
        </w:tc>
        <w:tc>
          <w:tcPr>
            <w:tcW w:w="240" w:type="dxa"/>
            <w:vAlign w:val="bottom"/>
          </w:tcPr>
          <w:p>
            <w:pPr>
              <w:spacing w:after="0"/>
              <w:rPr>
                <w:sz w:val="17"/>
                <w:szCs w:val="17"/>
                <w:color w:val="auto"/>
              </w:rPr>
            </w:pPr>
          </w:p>
        </w:tc>
        <w:tc>
          <w:tcPr>
            <w:tcW w:w="460" w:type="dxa"/>
            <w:vAlign w:val="bottom"/>
            <w:tcBorders>
              <w:bottom w:val="single" w:sz="8" w:color="auto"/>
            </w:tcBorders>
          </w:tcPr>
          <w:p>
            <w:pPr>
              <w:jc w:val="right"/>
              <w:ind w:right="304"/>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478</w:t>
            </w:r>
          </w:p>
        </w:tc>
        <w:tc>
          <w:tcPr>
            <w:tcW w:w="100" w:type="dxa"/>
            <w:vAlign w:val="bottom"/>
          </w:tcPr>
          <w:p>
            <w:pPr>
              <w:spacing w:after="0"/>
              <w:rPr>
                <w:sz w:val="17"/>
                <w:szCs w:val="17"/>
                <w:color w:val="auto"/>
              </w:rPr>
            </w:pPr>
          </w:p>
        </w:tc>
      </w:tr>
      <w:tr>
        <w:trPr>
          <w:trHeight w:val="20"/>
        </w:trPr>
        <w:tc>
          <w:tcPr>
            <w:tcW w:w="6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Restricted cash included in Other current assets on the Statement of Financial Position primarily represents amounts which support hedging activities.</w:t>
      </w:r>
    </w:p>
    <w:p>
      <w:pPr>
        <w:spacing w:after="0" w:line="227" w:lineRule="exact"/>
        <w:rPr>
          <w:sz w:val="20"/>
          <w:szCs w:val="20"/>
          <w:color w:val="auto"/>
        </w:rPr>
      </w:pPr>
    </w:p>
    <w:p>
      <w:pPr>
        <w:spacing w:after="0" w:line="280" w:lineRule="auto"/>
        <w:rPr>
          <w:sz w:val="20"/>
          <w:szCs w:val="20"/>
          <w:color w:val="auto"/>
        </w:rPr>
      </w:pPr>
      <w:r>
        <w:rPr>
          <w:rFonts w:ascii="Arial" w:cs="Arial" w:eastAsia="Arial" w:hAnsi="Arial"/>
          <w:sz w:val="15"/>
          <w:szCs w:val="15"/>
          <w:color w:val="auto"/>
        </w:rPr>
        <w:t>Long-term restricted cash as of December 31, 2017 and 2016 includes $6 million and $7 million, respectively, of security posted related to Brazilian legal contingencies. Long-term restricted cash as of December 31, 2017 and 2016 also included $6 million and $25 million, respectively, supporting compliance with the Excess Availability threshold under the Amended and Restated Credit Agreement (“Amended Credit Agreement”). During the second quarter of 2017, the amount of outstanding letters of credit issued under the Amended Credit Agreement was reduced by $20 million, which had a corresponding reduction in the amount of long-term restricted cash necessary to support compliance with the Excess Availability threshold. See Note 8, “Debt and Capital Leases” and Note 10, “Commitments and Contingencies”.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62865</wp:posOffset>
            </wp:positionV>
            <wp:extent cx="7301865" cy="406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301865" cy="4064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65" w:name="page66"/>
    <w:bookmarkEnd w:id="65"/>
    <w:p>
      <w:pPr>
        <w:spacing w:after="0"/>
        <w:rPr>
          <w:sz w:val="20"/>
          <w:szCs w:val="20"/>
          <w:color w:val="auto"/>
        </w:rPr>
      </w:pPr>
      <w:r>
        <w:rPr>
          <w:rFonts w:ascii="Arial" w:cs="Arial" w:eastAsia="Arial" w:hAnsi="Arial"/>
          <w:sz w:val="16"/>
          <w:szCs w:val="16"/>
          <w:b w:val="1"/>
          <w:bCs w:val="1"/>
          <w:color w:val="auto"/>
        </w:rPr>
        <w:t>NOTE 3: INVENTORIES, NET</w:t>
      </w:r>
    </w:p>
    <w:p>
      <w:pPr>
        <w:spacing w:after="0" w:line="292"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5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80" w:type="dxa"/>
            <w:vAlign w:val="bottom"/>
            <w:gridSpan w:val="5"/>
          </w:tcPr>
          <w:p>
            <w:pPr>
              <w:ind w:left="440"/>
              <w:spacing w:after="0"/>
              <w:rPr>
                <w:sz w:val="20"/>
                <w:szCs w:val="20"/>
                <w:color w:val="auto"/>
              </w:rPr>
            </w:pPr>
            <w:r>
              <w:rPr>
                <w:rFonts w:ascii="Arial" w:cs="Arial" w:eastAsia="Arial" w:hAnsi="Arial"/>
                <w:sz w:val="13"/>
                <w:szCs w:val="13"/>
                <w:b w:val="1"/>
                <w:bCs w:val="1"/>
                <w:color w:val="auto"/>
              </w:rPr>
              <w:t>As of December 31,</w:t>
            </w:r>
          </w:p>
        </w:tc>
      </w:tr>
      <w:tr>
        <w:trPr>
          <w:trHeight w:val="153"/>
        </w:trPr>
        <w:tc>
          <w:tcPr>
            <w:tcW w:w="5460" w:type="dxa"/>
            <w:vAlign w:val="bottom"/>
            <w:tcBorders>
              <w:bottom w:val="single" w:sz="8" w:color="CFF0FC"/>
            </w:tcBorders>
          </w:tcPr>
          <w:p>
            <w:pPr>
              <w:spacing w:after="0"/>
              <w:rPr>
                <w:sz w:val="20"/>
                <w:szCs w:val="20"/>
                <w:color w:val="auto"/>
              </w:rPr>
            </w:pPr>
            <w:r>
              <w:rPr>
                <w:rFonts w:ascii="Arial" w:cs="Arial" w:eastAsia="Arial" w:hAnsi="Arial"/>
                <w:sz w:val="13"/>
                <w:szCs w:val="13"/>
                <w:color w:val="auto"/>
              </w:rPr>
              <w:t>(in millions)</w:t>
            </w: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65"/>
              <w:spacing w:after="0"/>
              <w:rPr>
                <w:sz w:val="20"/>
                <w:szCs w:val="20"/>
                <w:color w:val="auto"/>
              </w:rPr>
            </w:pPr>
            <w:r>
              <w:rPr>
                <w:rFonts w:ascii="Arial" w:cs="Arial" w:eastAsia="Arial" w:hAnsi="Arial"/>
                <w:sz w:val="13"/>
                <w:szCs w:val="13"/>
                <w:b w:val="1"/>
                <w:bCs w:val="1"/>
                <w:color w:val="auto"/>
              </w:rPr>
              <w:t>2017</w:t>
            </w:r>
          </w:p>
        </w:tc>
        <w:tc>
          <w:tcPr>
            <w:tcW w:w="18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63"/>
              <w:spacing w:after="0"/>
              <w:rPr>
                <w:sz w:val="20"/>
                <w:szCs w:val="20"/>
                <w:color w:val="auto"/>
              </w:rPr>
            </w:pPr>
            <w:r>
              <w:rPr>
                <w:rFonts w:ascii="Arial" w:cs="Arial" w:eastAsia="Arial" w:hAnsi="Arial"/>
                <w:sz w:val="13"/>
                <w:szCs w:val="13"/>
                <w:b w:val="1"/>
                <w:bCs w:val="1"/>
                <w:color w:val="auto"/>
              </w:rPr>
              <w:t>2016</w:t>
            </w:r>
          </w:p>
        </w:tc>
        <w:tc>
          <w:tcPr>
            <w:tcW w:w="80" w:type="dxa"/>
            <w:vAlign w:val="bottom"/>
            <w:tcBorders>
              <w:bottom w:val="single" w:sz="8" w:color="CFF0FC"/>
            </w:tcBorders>
          </w:tcPr>
          <w:p>
            <w:pPr>
              <w:spacing w:after="0"/>
              <w:rPr>
                <w:sz w:val="13"/>
                <w:szCs w:val="13"/>
                <w:color w:val="auto"/>
              </w:rPr>
            </w:pPr>
          </w:p>
        </w:tc>
      </w:tr>
      <w:tr>
        <w:trPr>
          <w:trHeight w:val="198"/>
        </w:trPr>
        <w:tc>
          <w:tcPr>
            <w:tcW w:w="5460" w:type="dxa"/>
            <w:vAlign w:val="bottom"/>
            <w:shd w:val="clear" w:color="auto" w:fill="CFF0FC"/>
          </w:tcPr>
          <w:p>
            <w:pPr>
              <w:spacing w:after="0"/>
              <w:rPr>
                <w:sz w:val="20"/>
                <w:szCs w:val="20"/>
                <w:color w:val="auto"/>
              </w:rPr>
            </w:pPr>
            <w:r>
              <w:rPr>
                <w:rFonts w:ascii="Arial" w:cs="Arial" w:eastAsia="Arial" w:hAnsi="Arial"/>
                <w:sz w:val="16"/>
                <w:szCs w:val="16"/>
                <w:color w:val="auto"/>
              </w:rPr>
              <w:t>Finished goods</w:t>
            </w:r>
          </w:p>
        </w:tc>
        <w:tc>
          <w:tcPr>
            <w:tcW w:w="260" w:type="dxa"/>
            <w:vAlign w:val="bottom"/>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159</w:t>
            </w:r>
          </w:p>
        </w:tc>
        <w:tc>
          <w:tcPr>
            <w:tcW w:w="18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149</w:t>
            </w:r>
          </w:p>
        </w:tc>
        <w:tc>
          <w:tcPr>
            <w:tcW w:w="80" w:type="dxa"/>
            <w:vAlign w:val="bottom"/>
            <w:shd w:val="clear" w:color="auto" w:fill="CFF0FC"/>
          </w:tcPr>
          <w:p>
            <w:pPr>
              <w:spacing w:after="0"/>
              <w:rPr>
                <w:sz w:val="17"/>
                <w:szCs w:val="17"/>
                <w:color w:val="auto"/>
              </w:rPr>
            </w:pPr>
          </w:p>
        </w:tc>
      </w:tr>
      <w:tr>
        <w:trPr>
          <w:trHeight w:val="205"/>
        </w:trPr>
        <w:tc>
          <w:tcPr>
            <w:tcW w:w="5460" w:type="dxa"/>
            <w:vAlign w:val="bottom"/>
          </w:tcPr>
          <w:p>
            <w:pPr>
              <w:spacing w:after="0"/>
              <w:rPr>
                <w:sz w:val="20"/>
                <w:szCs w:val="20"/>
                <w:color w:val="auto"/>
              </w:rPr>
            </w:pPr>
            <w:r>
              <w:rPr>
                <w:rFonts w:ascii="Arial" w:cs="Arial" w:eastAsia="Arial" w:hAnsi="Arial"/>
                <w:sz w:val="16"/>
                <w:szCs w:val="16"/>
                <w:color w:val="auto"/>
              </w:rPr>
              <w:t>Work in process</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57</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57</w:t>
            </w:r>
          </w:p>
        </w:tc>
        <w:tc>
          <w:tcPr>
            <w:tcW w:w="80" w:type="dxa"/>
            <w:vAlign w:val="bottom"/>
          </w:tcPr>
          <w:p>
            <w:pPr>
              <w:spacing w:after="0"/>
              <w:rPr>
                <w:sz w:val="17"/>
                <w:szCs w:val="17"/>
                <w:color w:val="auto"/>
              </w:rPr>
            </w:pPr>
          </w:p>
        </w:tc>
      </w:tr>
      <w:tr>
        <w:trPr>
          <w:trHeight w:val="205"/>
        </w:trPr>
        <w:tc>
          <w:tcPr>
            <w:tcW w:w="5460" w:type="dxa"/>
            <w:vAlign w:val="bottom"/>
            <w:shd w:val="clear" w:color="auto" w:fill="CFF0FC"/>
          </w:tcPr>
          <w:p>
            <w:pPr>
              <w:spacing w:after="0"/>
              <w:rPr>
                <w:sz w:val="20"/>
                <w:szCs w:val="20"/>
                <w:color w:val="auto"/>
              </w:rPr>
            </w:pPr>
            <w:r>
              <w:rPr>
                <w:rFonts w:ascii="Arial" w:cs="Arial" w:eastAsia="Arial" w:hAnsi="Arial"/>
                <w:sz w:val="16"/>
                <w:szCs w:val="16"/>
                <w:color w:val="auto"/>
              </w:rPr>
              <w:t>Raw materials</w:t>
            </w:r>
          </w:p>
        </w:tc>
        <w:tc>
          <w:tcPr>
            <w:tcW w:w="26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60</w:t>
            </w:r>
          </w:p>
        </w:tc>
        <w:tc>
          <w:tcPr>
            <w:tcW w:w="180" w:type="dxa"/>
            <w:vAlign w:val="bottom"/>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65</w:t>
            </w:r>
          </w:p>
        </w:tc>
        <w:tc>
          <w:tcPr>
            <w:tcW w:w="80" w:type="dxa"/>
            <w:vAlign w:val="bottom"/>
            <w:shd w:val="clear" w:color="auto" w:fill="CFF0FC"/>
          </w:tcPr>
          <w:p>
            <w:pPr>
              <w:spacing w:after="0"/>
              <w:rPr>
                <w:sz w:val="17"/>
                <w:szCs w:val="17"/>
                <w:color w:val="auto"/>
              </w:rPr>
            </w:pPr>
          </w:p>
        </w:tc>
      </w:tr>
      <w:tr>
        <w:trPr>
          <w:trHeight w:val="198"/>
        </w:trPr>
        <w:tc>
          <w:tcPr>
            <w:tcW w:w="5460" w:type="dxa"/>
            <w:vAlign w:val="bottom"/>
          </w:tcPr>
          <w:p>
            <w:pPr>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276</w:t>
            </w:r>
          </w:p>
        </w:tc>
        <w:tc>
          <w:tcPr>
            <w:tcW w:w="180" w:type="dxa"/>
            <w:vAlign w:val="bottom"/>
          </w:tcPr>
          <w:p>
            <w:pPr>
              <w:spacing w:after="0"/>
              <w:rPr>
                <w:sz w:val="17"/>
                <w:szCs w:val="17"/>
                <w:color w:val="auto"/>
              </w:rPr>
            </w:pPr>
          </w:p>
        </w:tc>
        <w:tc>
          <w:tcPr>
            <w:tcW w:w="26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271</w:t>
            </w:r>
          </w:p>
        </w:tc>
        <w:tc>
          <w:tcPr>
            <w:tcW w:w="80" w:type="dxa"/>
            <w:vAlign w:val="bottom"/>
          </w:tcPr>
          <w:p>
            <w:pPr>
              <w:spacing w:after="0"/>
              <w:rPr>
                <w:sz w:val="17"/>
                <w:szCs w:val="17"/>
                <w:color w:val="auto"/>
              </w:rPr>
            </w:pPr>
          </w:p>
        </w:tc>
      </w:tr>
      <w:tr>
        <w:trPr>
          <w:trHeight w:val="20"/>
        </w:trPr>
        <w:tc>
          <w:tcPr>
            <w:tcW w:w="5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4: PROPERTY, PLANT AND EQUIPMENT, NET AND EQUIPMENT SUBJECT TO OPERATING LEASES, NET</w:t>
      </w:r>
    </w:p>
    <w:p>
      <w:pPr>
        <w:spacing w:after="0" w:line="292"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5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80" w:type="dxa"/>
            <w:vAlign w:val="bottom"/>
            <w:gridSpan w:val="5"/>
          </w:tcPr>
          <w:p>
            <w:pPr>
              <w:jc w:val="right"/>
              <w:ind w:right="780"/>
              <w:spacing w:after="0"/>
              <w:rPr>
                <w:sz w:val="20"/>
                <w:szCs w:val="20"/>
                <w:color w:val="auto"/>
              </w:rPr>
            </w:pPr>
            <w:r>
              <w:rPr>
                <w:rFonts w:ascii="Arial" w:cs="Arial" w:eastAsia="Arial" w:hAnsi="Arial"/>
                <w:sz w:val="13"/>
                <w:szCs w:val="13"/>
                <w:b w:val="1"/>
                <w:bCs w:val="1"/>
                <w:color w:val="auto"/>
              </w:rPr>
              <w:t>As of December 31,</w:t>
            </w:r>
          </w:p>
        </w:tc>
      </w:tr>
      <w:tr>
        <w:trPr>
          <w:trHeight w:val="153"/>
        </w:trPr>
        <w:tc>
          <w:tcPr>
            <w:tcW w:w="5460" w:type="dxa"/>
            <w:vAlign w:val="bottom"/>
            <w:tcBorders>
              <w:bottom w:val="single" w:sz="8" w:color="CFF0FC"/>
            </w:tcBorders>
          </w:tcPr>
          <w:p>
            <w:pPr>
              <w:spacing w:after="0"/>
              <w:rPr>
                <w:sz w:val="20"/>
                <w:szCs w:val="20"/>
                <w:color w:val="auto"/>
              </w:rPr>
            </w:pPr>
            <w:r>
              <w:rPr>
                <w:rFonts w:ascii="Arial" w:cs="Arial" w:eastAsia="Arial" w:hAnsi="Arial"/>
                <w:sz w:val="13"/>
                <w:szCs w:val="13"/>
                <w:color w:val="auto"/>
              </w:rPr>
              <w:t>(in millions)</w:t>
            </w: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63"/>
              <w:spacing w:after="0"/>
              <w:rPr>
                <w:sz w:val="20"/>
                <w:szCs w:val="20"/>
                <w:color w:val="auto"/>
              </w:rPr>
            </w:pPr>
            <w:r>
              <w:rPr>
                <w:rFonts w:ascii="Arial" w:cs="Arial" w:eastAsia="Arial" w:hAnsi="Arial"/>
                <w:sz w:val="13"/>
                <w:szCs w:val="13"/>
                <w:b w:val="1"/>
                <w:bCs w:val="1"/>
                <w:color w:val="auto"/>
              </w:rPr>
              <w:t>2017</w:t>
            </w:r>
          </w:p>
        </w:tc>
        <w:tc>
          <w:tcPr>
            <w:tcW w:w="18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61"/>
              <w:spacing w:after="0"/>
              <w:rPr>
                <w:sz w:val="20"/>
                <w:szCs w:val="20"/>
                <w:color w:val="auto"/>
              </w:rPr>
            </w:pPr>
            <w:r>
              <w:rPr>
                <w:rFonts w:ascii="Arial" w:cs="Arial" w:eastAsia="Arial" w:hAnsi="Arial"/>
                <w:sz w:val="13"/>
                <w:szCs w:val="13"/>
                <w:b w:val="1"/>
                <w:bCs w:val="1"/>
                <w:color w:val="auto"/>
              </w:rPr>
              <w:t>2016</w:t>
            </w:r>
          </w:p>
        </w:tc>
        <w:tc>
          <w:tcPr>
            <w:tcW w:w="80" w:type="dxa"/>
            <w:vAlign w:val="bottom"/>
            <w:tcBorders>
              <w:bottom w:val="single" w:sz="8" w:color="CFF0FC"/>
            </w:tcBorders>
          </w:tcPr>
          <w:p>
            <w:pPr>
              <w:spacing w:after="0"/>
              <w:rPr>
                <w:sz w:val="13"/>
                <w:szCs w:val="13"/>
                <w:color w:val="auto"/>
              </w:rPr>
            </w:pPr>
          </w:p>
        </w:tc>
      </w:tr>
      <w:tr>
        <w:trPr>
          <w:trHeight w:val="198"/>
        </w:trPr>
        <w:tc>
          <w:tcPr>
            <w:tcW w:w="5460" w:type="dxa"/>
            <w:vAlign w:val="bottom"/>
            <w:shd w:val="clear" w:color="auto" w:fill="CFF0FC"/>
          </w:tcPr>
          <w:p>
            <w:pPr>
              <w:spacing w:after="0"/>
              <w:rPr>
                <w:sz w:val="20"/>
                <w:szCs w:val="20"/>
                <w:color w:val="auto"/>
              </w:rPr>
            </w:pPr>
            <w:r>
              <w:rPr>
                <w:rFonts w:ascii="Arial" w:cs="Arial" w:eastAsia="Arial" w:hAnsi="Arial"/>
                <w:sz w:val="16"/>
                <w:szCs w:val="16"/>
                <w:color w:val="auto"/>
              </w:rPr>
              <w:t>Land</w:t>
            </w:r>
          </w:p>
        </w:tc>
        <w:tc>
          <w:tcPr>
            <w:tcW w:w="260" w:type="dxa"/>
            <w:vAlign w:val="bottom"/>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w:t>
            </w:r>
          </w:p>
        </w:tc>
        <w:tc>
          <w:tcPr>
            <w:tcW w:w="18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84</w:t>
            </w:r>
          </w:p>
        </w:tc>
        <w:tc>
          <w:tcPr>
            <w:tcW w:w="80" w:type="dxa"/>
            <w:vAlign w:val="bottom"/>
            <w:shd w:val="clear" w:color="auto" w:fill="CFF0FC"/>
          </w:tcPr>
          <w:p>
            <w:pPr>
              <w:spacing w:after="0"/>
              <w:rPr>
                <w:sz w:val="17"/>
                <w:szCs w:val="17"/>
                <w:color w:val="auto"/>
              </w:rPr>
            </w:pPr>
          </w:p>
        </w:tc>
      </w:tr>
      <w:tr>
        <w:trPr>
          <w:trHeight w:val="205"/>
        </w:trPr>
        <w:tc>
          <w:tcPr>
            <w:tcW w:w="5460" w:type="dxa"/>
            <w:vAlign w:val="bottom"/>
          </w:tcPr>
          <w:p>
            <w:pPr>
              <w:spacing w:after="0"/>
              <w:rPr>
                <w:sz w:val="20"/>
                <w:szCs w:val="20"/>
                <w:color w:val="auto"/>
              </w:rPr>
            </w:pPr>
            <w:r>
              <w:rPr>
                <w:rFonts w:ascii="Arial" w:cs="Arial" w:eastAsia="Arial" w:hAnsi="Arial"/>
                <w:sz w:val="16"/>
                <w:szCs w:val="16"/>
                <w:color w:val="auto"/>
              </w:rPr>
              <w:t>Buildings and building improvements</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174</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160</w:t>
            </w:r>
          </w:p>
        </w:tc>
        <w:tc>
          <w:tcPr>
            <w:tcW w:w="80" w:type="dxa"/>
            <w:vAlign w:val="bottom"/>
          </w:tcPr>
          <w:p>
            <w:pPr>
              <w:spacing w:after="0"/>
              <w:rPr>
                <w:sz w:val="17"/>
                <w:szCs w:val="17"/>
                <w:color w:val="auto"/>
              </w:rPr>
            </w:pPr>
          </w:p>
        </w:tc>
      </w:tr>
      <w:tr>
        <w:trPr>
          <w:trHeight w:val="205"/>
        </w:trPr>
        <w:tc>
          <w:tcPr>
            <w:tcW w:w="5460" w:type="dxa"/>
            <w:vAlign w:val="bottom"/>
            <w:shd w:val="clear" w:color="auto" w:fill="CFF0FC"/>
          </w:tcPr>
          <w:p>
            <w:pPr>
              <w:spacing w:after="0"/>
              <w:rPr>
                <w:sz w:val="20"/>
                <w:szCs w:val="20"/>
                <w:color w:val="auto"/>
              </w:rPr>
            </w:pPr>
            <w:r>
              <w:rPr>
                <w:rFonts w:ascii="Arial" w:cs="Arial" w:eastAsia="Arial" w:hAnsi="Arial"/>
                <w:sz w:val="16"/>
                <w:szCs w:val="16"/>
                <w:color w:val="auto"/>
              </w:rPr>
              <w:t>Machinery and equipment</w:t>
            </w: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426</w:t>
            </w:r>
          </w:p>
        </w:tc>
        <w:tc>
          <w:tcPr>
            <w:tcW w:w="1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429</w:t>
            </w:r>
          </w:p>
        </w:tc>
        <w:tc>
          <w:tcPr>
            <w:tcW w:w="80" w:type="dxa"/>
            <w:vAlign w:val="bottom"/>
            <w:shd w:val="clear" w:color="auto" w:fill="CFF0FC"/>
          </w:tcPr>
          <w:p>
            <w:pPr>
              <w:spacing w:after="0"/>
              <w:rPr>
                <w:sz w:val="17"/>
                <w:szCs w:val="17"/>
                <w:color w:val="auto"/>
              </w:rPr>
            </w:pPr>
          </w:p>
        </w:tc>
      </w:tr>
      <w:tr>
        <w:trPr>
          <w:trHeight w:val="205"/>
        </w:trPr>
        <w:tc>
          <w:tcPr>
            <w:tcW w:w="54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Construction in progress</w:t>
            </w: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180" w:type="dxa"/>
            <w:vAlign w:val="bottom"/>
            <w:tcBorders>
              <w:bottom w:val="single" w:sz="8" w:color="CFF0FC"/>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80" w:type="dxa"/>
            <w:vAlign w:val="bottom"/>
            <w:tcBorders>
              <w:bottom w:val="single" w:sz="8" w:color="CFF0FC"/>
            </w:tcBorders>
          </w:tcPr>
          <w:p>
            <w:pPr>
              <w:spacing w:after="0"/>
              <w:rPr>
                <w:sz w:val="17"/>
                <w:szCs w:val="17"/>
                <w:color w:val="auto"/>
              </w:rPr>
            </w:pPr>
          </w:p>
        </w:tc>
      </w:tr>
      <w:tr>
        <w:trPr>
          <w:trHeight w:val="198"/>
        </w:trPr>
        <w:tc>
          <w:tcPr>
            <w:tcW w:w="54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708</w:t>
            </w:r>
          </w:p>
        </w:tc>
        <w:tc>
          <w:tcPr>
            <w:tcW w:w="1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686</w:t>
            </w:r>
          </w:p>
        </w:tc>
        <w:tc>
          <w:tcPr>
            <w:tcW w:w="80" w:type="dxa"/>
            <w:vAlign w:val="bottom"/>
            <w:shd w:val="clear" w:color="auto" w:fill="CFF0FC"/>
          </w:tcPr>
          <w:p>
            <w:pPr>
              <w:spacing w:after="0"/>
              <w:rPr>
                <w:sz w:val="17"/>
                <w:szCs w:val="17"/>
                <w:color w:val="auto"/>
              </w:rPr>
            </w:pPr>
          </w:p>
        </w:tc>
      </w:tr>
      <w:tr>
        <w:trPr>
          <w:trHeight w:val="205"/>
        </w:trPr>
        <w:tc>
          <w:tcPr>
            <w:tcW w:w="5460" w:type="dxa"/>
            <w:vAlign w:val="bottom"/>
          </w:tcPr>
          <w:p>
            <w:pPr>
              <w:spacing w:after="0"/>
              <w:rPr>
                <w:sz w:val="20"/>
                <w:szCs w:val="20"/>
                <w:color w:val="auto"/>
              </w:rPr>
            </w:pPr>
            <w:r>
              <w:rPr>
                <w:rFonts w:ascii="Arial" w:cs="Arial" w:eastAsia="Arial" w:hAnsi="Arial"/>
                <w:sz w:val="16"/>
                <w:szCs w:val="16"/>
                <w:color w:val="auto"/>
              </w:rPr>
              <w:t>Accumulated depreciation</w:t>
            </w:r>
          </w:p>
        </w:tc>
        <w:tc>
          <w:tcPr>
            <w:tcW w:w="26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(394)</w:t>
            </w:r>
          </w:p>
        </w:tc>
        <w:tc>
          <w:tcPr>
            <w:tcW w:w="260" w:type="dxa"/>
            <w:vAlign w:val="bottom"/>
          </w:tcPr>
          <w:p>
            <w:pPr>
              <w:spacing w:after="0"/>
              <w:rPr>
                <w:sz w:val="17"/>
                <w:szCs w:val="17"/>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6"/>
                <w:szCs w:val="16"/>
                <w:color w:val="auto"/>
              </w:rPr>
              <w:t>(344)</w:t>
            </w:r>
          </w:p>
        </w:tc>
      </w:tr>
      <w:tr>
        <w:trPr>
          <w:trHeight w:val="198"/>
        </w:trPr>
        <w:tc>
          <w:tcPr>
            <w:tcW w:w="54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Property, plant and equipment, net</w:t>
            </w:r>
          </w:p>
        </w:tc>
        <w:tc>
          <w:tcPr>
            <w:tcW w:w="260" w:type="dxa"/>
            <w:vAlign w:val="bottom"/>
            <w:tcBorders>
              <w:top w:val="single" w:sz="8" w:color="auto"/>
              <w:bottom w:val="single" w:sz="8" w:color="auto"/>
            </w:tcBorders>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314</w:t>
            </w:r>
          </w:p>
        </w:tc>
        <w:tc>
          <w:tcPr>
            <w:tcW w:w="180" w:type="dxa"/>
            <w:vAlign w:val="bottom"/>
            <w:tcBorders>
              <w:top w:val="single" w:sz="8" w:color="CFF0FC"/>
              <w:bottom w:val="single" w:sz="8" w:color="CFF0FC"/>
            </w:tcBorders>
            <w:shd w:val="clear" w:color="auto" w:fill="CFF0FC"/>
          </w:tcPr>
          <w:p>
            <w:pPr>
              <w:spacing w:after="0"/>
              <w:rPr>
                <w:sz w:val="17"/>
                <w:szCs w:val="17"/>
                <w:color w:val="auto"/>
              </w:rPr>
            </w:pPr>
          </w:p>
        </w:tc>
        <w:tc>
          <w:tcPr>
            <w:tcW w:w="260" w:type="dxa"/>
            <w:vAlign w:val="bottom"/>
            <w:tcBorders>
              <w:top w:val="single" w:sz="8" w:color="auto"/>
              <w:bottom w:val="single" w:sz="8" w:color="auto"/>
            </w:tcBorders>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342</w:t>
            </w: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r>
      <w:tr>
        <w:trPr>
          <w:trHeight w:val="20"/>
        </w:trPr>
        <w:tc>
          <w:tcPr>
            <w:tcW w:w="5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5" w:lineRule="exact"/>
        <w:rPr>
          <w:sz w:val="20"/>
          <w:szCs w:val="20"/>
          <w:color w:val="auto"/>
        </w:rPr>
      </w:pPr>
    </w:p>
    <w:p>
      <w:pPr>
        <w:ind w:right="340"/>
        <w:spacing w:after="0" w:line="266" w:lineRule="auto"/>
        <w:rPr>
          <w:sz w:val="20"/>
          <w:szCs w:val="20"/>
          <w:color w:val="auto"/>
        </w:rPr>
      </w:pPr>
      <w:r>
        <w:rPr>
          <w:rFonts w:ascii="Arial" w:cs="Arial" w:eastAsia="Arial" w:hAnsi="Arial"/>
          <w:sz w:val="16"/>
          <w:szCs w:val="16"/>
          <w:color w:val="auto"/>
        </w:rPr>
        <w:t>Depreciation expense was $62 million, $86 million and $120 million for the years ended December 31, 2017, 2016 and 2015, respectively. Depreciation expense in the year ended December 31, 2015 included approximately $8 million of accelerated depreciation in connection with restructuring actions. There was no accelerated depreciation connected with restructuring actions in the years ended December 31, 2017 and 2016.</w:t>
      </w:r>
    </w:p>
    <w:p>
      <w:pPr>
        <w:spacing w:after="0" w:line="186" w:lineRule="exact"/>
        <w:rPr>
          <w:sz w:val="20"/>
          <w:szCs w:val="20"/>
          <w:color w:val="auto"/>
        </w:rPr>
      </w:pPr>
    </w:p>
    <w:p>
      <w:pPr>
        <w:ind w:right="80"/>
        <w:spacing w:after="0" w:line="354" w:lineRule="auto"/>
        <w:rPr>
          <w:sz w:val="20"/>
          <w:szCs w:val="20"/>
          <w:color w:val="auto"/>
        </w:rPr>
      </w:pPr>
      <w:r>
        <w:rPr>
          <w:rFonts w:ascii="Arial" w:cs="Arial" w:eastAsia="Arial" w:hAnsi="Arial"/>
          <w:sz w:val="14"/>
          <w:szCs w:val="14"/>
          <w:color w:val="auto"/>
        </w:rPr>
        <w:t>During the first quarter of 2017, Kodak recorded a pre-tax charge of $8 million to adjust the Prosper fixed asset carrying value to the amount that would have been recorded had the Prosper fixed assets been continuously classified as held and used. Refer to Note 13, “Other Operating Expense (Income), net” and Note 25, “Discontinued Operations”.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Equipment subject to operating leases and the related accumulated depreciation were as follows:</w:t>
      </w:r>
    </w:p>
    <w:p>
      <w:pPr>
        <w:spacing w:after="0" w:line="288"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5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80" w:type="dxa"/>
            <w:vAlign w:val="bottom"/>
            <w:gridSpan w:val="5"/>
          </w:tcPr>
          <w:p>
            <w:pPr>
              <w:jc w:val="right"/>
              <w:ind w:right="780"/>
              <w:spacing w:after="0"/>
              <w:rPr>
                <w:sz w:val="20"/>
                <w:szCs w:val="20"/>
                <w:color w:val="auto"/>
              </w:rPr>
            </w:pPr>
            <w:r>
              <w:rPr>
                <w:rFonts w:ascii="Arial" w:cs="Arial" w:eastAsia="Arial" w:hAnsi="Arial"/>
                <w:sz w:val="13"/>
                <w:szCs w:val="13"/>
                <w:b w:val="1"/>
                <w:bCs w:val="1"/>
                <w:color w:val="auto"/>
              </w:rPr>
              <w:t>As of December 31,</w:t>
            </w:r>
          </w:p>
        </w:tc>
      </w:tr>
      <w:tr>
        <w:trPr>
          <w:trHeight w:val="153"/>
        </w:trPr>
        <w:tc>
          <w:tcPr>
            <w:tcW w:w="5460" w:type="dxa"/>
            <w:vAlign w:val="bottom"/>
            <w:tcBorders>
              <w:bottom w:val="single" w:sz="8" w:color="CFF0FC"/>
            </w:tcBorders>
          </w:tcPr>
          <w:p>
            <w:pPr>
              <w:spacing w:after="0"/>
              <w:rPr>
                <w:sz w:val="20"/>
                <w:szCs w:val="20"/>
                <w:color w:val="auto"/>
              </w:rPr>
            </w:pPr>
            <w:r>
              <w:rPr>
                <w:rFonts w:ascii="Arial" w:cs="Arial" w:eastAsia="Arial" w:hAnsi="Arial"/>
                <w:sz w:val="13"/>
                <w:szCs w:val="13"/>
                <w:color w:val="auto"/>
              </w:rPr>
              <w:t>(in millions)</w:t>
            </w: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66"/>
              <w:spacing w:after="0"/>
              <w:rPr>
                <w:sz w:val="20"/>
                <w:szCs w:val="20"/>
                <w:color w:val="auto"/>
              </w:rPr>
            </w:pPr>
            <w:r>
              <w:rPr>
                <w:rFonts w:ascii="Arial" w:cs="Arial" w:eastAsia="Arial" w:hAnsi="Arial"/>
                <w:sz w:val="13"/>
                <w:szCs w:val="13"/>
                <w:b w:val="1"/>
                <w:bCs w:val="1"/>
                <w:color w:val="auto"/>
              </w:rPr>
              <w:t>2017</w:t>
            </w:r>
          </w:p>
        </w:tc>
        <w:tc>
          <w:tcPr>
            <w:tcW w:w="18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63"/>
              <w:spacing w:after="0"/>
              <w:rPr>
                <w:sz w:val="20"/>
                <w:szCs w:val="20"/>
                <w:color w:val="auto"/>
              </w:rPr>
            </w:pPr>
            <w:r>
              <w:rPr>
                <w:rFonts w:ascii="Arial" w:cs="Arial" w:eastAsia="Arial" w:hAnsi="Arial"/>
                <w:sz w:val="13"/>
                <w:szCs w:val="13"/>
                <w:b w:val="1"/>
                <w:bCs w:val="1"/>
                <w:color w:val="auto"/>
              </w:rPr>
              <w:t>2016</w:t>
            </w:r>
          </w:p>
        </w:tc>
        <w:tc>
          <w:tcPr>
            <w:tcW w:w="80" w:type="dxa"/>
            <w:vAlign w:val="bottom"/>
            <w:tcBorders>
              <w:bottom w:val="single" w:sz="8" w:color="CFF0FC"/>
            </w:tcBorders>
          </w:tcPr>
          <w:p>
            <w:pPr>
              <w:spacing w:after="0"/>
              <w:rPr>
                <w:sz w:val="13"/>
                <w:szCs w:val="13"/>
                <w:color w:val="auto"/>
              </w:rPr>
            </w:pPr>
          </w:p>
        </w:tc>
      </w:tr>
      <w:tr>
        <w:trPr>
          <w:trHeight w:val="198"/>
        </w:trPr>
        <w:tc>
          <w:tcPr>
            <w:tcW w:w="5460" w:type="dxa"/>
            <w:vAlign w:val="bottom"/>
            <w:shd w:val="clear" w:color="auto" w:fill="CFF0FC"/>
          </w:tcPr>
          <w:p>
            <w:pPr>
              <w:spacing w:after="0"/>
              <w:rPr>
                <w:sz w:val="20"/>
                <w:szCs w:val="20"/>
                <w:color w:val="auto"/>
              </w:rPr>
            </w:pPr>
            <w:r>
              <w:rPr>
                <w:rFonts w:ascii="Arial" w:cs="Arial" w:eastAsia="Arial" w:hAnsi="Arial"/>
                <w:sz w:val="16"/>
                <w:szCs w:val="16"/>
                <w:color w:val="auto"/>
              </w:rPr>
              <w:t>Equipment subject to operating leases</w:t>
            </w:r>
          </w:p>
        </w:tc>
        <w:tc>
          <w:tcPr>
            <w:tcW w:w="260" w:type="dxa"/>
            <w:vAlign w:val="bottom"/>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w:t>
            </w:r>
          </w:p>
        </w:tc>
        <w:tc>
          <w:tcPr>
            <w:tcW w:w="18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w:t>
            </w:r>
          </w:p>
        </w:tc>
        <w:tc>
          <w:tcPr>
            <w:tcW w:w="80" w:type="dxa"/>
            <w:vAlign w:val="bottom"/>
            <w:shd w:val="clear" w:color="auto" w:fill="CFF0FC"/>
          </w:tcPr>
          <w:p>
            <w:pPr>
              <w:spacing w:after="0"/>
              <w:rPr>
                <w:sz w:val="17"/>
                <w:szCs w:val="17"/>
                <w:color w:val="auto"/>
              </w:rPr>
            </w:pPr>
          </w:p>
        </w:tc>
      </w:tr>
      <w:tr>
        <w:trPr>
          <w:trHeight w:val="205"/>
        </w:trPr>
        <w:tc>
          <w:tcPr>
            <w:tcW w:w="5460" w:type="dxa"/>
            <w:vAlign w:val="bottom"/>
          </w:tcPr>
          <w:p>
            <w:pPr>
              <w:spacing w:after="0"/>
              <w:rPr>
                <w:sz w:val="20"/>
                <w:szCs w:val="20"/>
                <w:color w:val="auto"/>
              </w:rPr>
            </w:pPr>
            <w:r>
              <w:rPr>
                <w:rFonts w:ascii="Arial" w:cs="Arial" w:eastAsia="Arial" w:hAnsi="Arial"/>
                <w:sz w:val="16"/>
                <w:szCs w:val="16"/>
                <w:color w:val="auto"/>
              </w:rPr>
              <w:t>Accumulated depreciation</w:t>
            </w:r>
          </w:p>
        </w:tc>
        <w:tc>
          <w:tcPr>
            <w:tcW w:w="26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(21)</w:t>
            </w:r>
          </w:p>
        </w:tc>
        <w:tc>
          <w:tcPr>
            <w:tcW w:w="260" w:type="dxa"/>
            <w:vAlign w:val="bottom"/>
          </w:tcPr>
          <w:p>
            <w:pPr>
              <w:spacing w:after="0"/>
              <w:rPr>
                <w:sz w:val="17"/>
                <w:szCs w:val="17"/>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6"/>
                <w:szCs w:val="16"/>
                <w:color w:val="auto"/>
              </w:rPr>
              <w:t>(18)</w:t>
            </w:r>
          </w:p>
        </w:tc>
      </w:tr>
      <w:tr>
        <w:trPr>
          <w:trHeight w:val="198"/>
        </w:trPr>
        <w:tc>
          <w:tcPr>
            <w:tcW w:w="54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Equipment subject to operating leases, net</w:t>
            </w:r>
          </w:p>
        </w:tc>
        <w:tc>
          <w:tcPr>
            <w:tcW w:w="260" w:type="dxa"/>
            <w:vAlign w:val="bottom"/>
            <w:tcBorders>
              <w:top w:val="single" w:sz="8" w:color="auto"/>
              <w:bottom w:val="single" w:sz="8" w:color="auto"/>
            </w:tcBorders>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w:t>
            </w:r>
          </w:p>
        </w:tc>
        <w:tc>
          <w:tcPr>
            <w:tcW w:w="180" w:type="dxa"/>
            <w:vAlign w:val="bottom"/>
            <w:tcBorders>
              <w:top w:val="single" w:sz="8" w:color="CFF0FC"/>
              <w:bottom w:val="single" w:sz="8" w:color="CFF0FC"/>
            </w:tcBorders>
            <w:shd w:val="clear" w:color="auto" w:fill="CFF0FC"/>
          </w:tcPr>
          <w:p>
            <w:pPr>
              <w:spacing w:after="0"/>
              <w:rPr>
                <w:sz w:val="17"/>
                <w:szCs w:val="17"/>
                <w:color w:val="auto"/>
              </w:rPr>
            </w:pPr>
          </w:p>
        </w:tc>
        <w:tc>
          <w:tcPr>
            <w:tcW w:w="260" w:type="dxa"/>
            <w:vAlign w:val="bottom"/>
            <w:tcBorders>
              <w:top w:val="single" w:sz="8" w:color="auto"/>
              <w:bottom w:val="single" w:sz="8" w:color="auto"/>
            </w:tcBorders>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w:t>
            </w: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r>
      <w:tr>
        <w:trPr>
          <w:trHeight w:val="20"/>
        </w:trPr>
        <w:tc>
          <w:tcPr>
            <w:tcW w:w="5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Minimum future rental revenues on operating leases with original terms of one year or longer are not significant to Kodak.</w:t>
      </w:r>
    </w:p>
    <w:p>
      <w:pPr>
        <w:spacing w:after="0" w:line="3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5: GOODWILL AND OTHER INTANGIBLE ASSETS</w:t>
      </w:r>
    </w:p>
    <w:p>
      <w:pPr>
        <w:spacing w:after="0" w:line="110" w:lineRule="exact"/>
        <w:rPr>
          <w:sz w:val="20"/>
          <w:szCs w:val="20"/>
          <w:color w:val="auto"/>
        </w:rPr>
      </w:pPr>
    </w:p>
    <w:p>
      <w:pPr>
        <w:ind w:right="660"/>
        <w:spacing w:after="0" w:line="280" w:lineRule="auto"/>
        <w:rPr>
          <w:sz w:val="20"/>
          <w:szCs w:val="20"/>
          <w:color w:val="auto"/>
        </w:rPr>
      </w:pPr>
      <w:r>
        <w:rPr>
          <w:rFonts w:ascii="Arial" w:cs="Arial" w:eastAsia="Arial" w:hAnsi="Arial"/>
          <w:sz w:val="16"/>
          <w:szCs w:val="16"/>
          <w:color w:val="auto"/>
        </w:rPr>
        <w:t>The following table presents the changes in the carrying value of goodwill by reportable segment. The Enterprise Inkjet Systems, Advanced Materials and 3D Printing Technology, and Eastman Business Park segments do not have goodwill and are therefore not presented.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0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60" w:type="dxa"/>
            <w:vAlign w:val="bottom"/>
          </w:tcPr>
          <w:p>
            <w:pPr>
              <w:jc w:val="right"/>
              <w:ind w:right="110"/>
              <w:spacing w:after="0"/>
              <w:rPr>
                <w:sz w:val="20"/>
                <w:szCs w:val="20"/>
                <w:color w:val="auto"/>
              </w:rPr>
            </w:pPr>
            <w:r>
              <w:rPr>
                <w:rFonts w:ascii="Arial" w:cs="Arial" w:eastAsia="Arial" w:hAnsi="Arial"/>
                <w:sz w:val="13"/>
                <w:szCs w:val="13"/>
                <w:b w:val="1"/>
                <w:bCs w:val="1"/>
                <w:color w:val="auto"/>
              </w:rPr>
              <w:t>Print</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3"/>
                <w:szCs w:val="13"/>
                <w:b w:val="1"/>
                <w:bCs w:val="1"/>
                <w:color w:val="auto"/>
              </w:rPr>
              <w:t>Flexographic</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3"/>
                <w:szCs w:val="13"/>
                <w:b w:val="1"/>
                <w:bCs w:val="1"/>
                <w:color w:val="auto"/>
              </w:rPr>
              <w:t>Software and</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jc w:val="right"/>
              <w:ind w:right="29"/>
              <w:spacing w:after="0"/>
              <w:rPr>
                <w:sz w:val="20"/>
                <w:szCs w:val="20"/>
                <w:color w:val="auto"/>
              </w:rPr>
            </w:pPr>
            <w:r>
              <w:rPr>
                <w:rFonts w:ascii="Arial" w:cs="Arial" w:eastAsia="Arial" w:hAnsi="Arial"/>
                <w:sz w:val="13"/>
                <w:szCs w:val="13"/>
                <w:b w:val="1"/>
                <w:bCs w:val="1"/>
                <w:color w:val="auto"/>
              </w:rPr>
              <w:t>Consumer</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Consolidated Total</w:t>
            </w:r>
          </w:p>
        </w:tc>
        <w:tc>
          <w:tcPr>
            <w:tcW w:w="0" w:type="dxa"/>
            <w:vAlign w:val="bottom"/>
          </w:tcPr>
          <w:p>
            <w:pPr>
              <w:spacing w:after="0"/>
              <w:rPr>
                <w:sz w:val="1"/>
                <w:szCs w:val="1"/>
                <w:color w:val="auto"/>
              </w:rPr>
            </w:pPr>
          </w:p>
        </w:tc>
      </w:tr>
      <w:tr>
        <w:trPr>
          <w:trHeight w:val="153"/>
        </w:trPr>
        <w:tc>
          <w:tcPr>
            <w:tcW w:w="3020" w:type="dxa"/>
            <w:vAlign w:val="bottom"/>
          </w:tcPr>
          <w:p>
            <w:pPr>
              <w:spacing w:after="0"/>
              <w:rPr>
                <w:sz w:val="20"/>
                <w:szCs w:val="20"/>
                <w:color w:val="auto"/>
              </w:rPr>
            </w:pPr>
            <w:r>
              <w:rPr>
                <w:rFonts w:ascii="Arial" w:cs="Arial" w:eastAsia="Arial" w:hAnsi="Arial"/>
                <w:sz w:val="13"/>
                <w:szCs w:val="13"/>
                <w:color w:val="auto"/>
              </w:rPr>
              <w:t>(in millions)</w:t>
            </w:r>
          </w:p>
        </w:tc>
        <w:tc>
          <w:tcPr>
            <w:tcW w:w="800" w:type="dxa"/>
            <w:vAlign w:val="bottom"/>
          </w:tcPr>
          <w:p>
            <w:pPr>
              <w:spacing w:after="0"/>
              <w:rPr>
                <w:sz w:val="13"/>
                <w:szCs w:val="13"/>
                <w:color w:val="auto"/>
              </w:rPr>
            </w:pPr>
          </w:p>
        </w:tc>
        <w:tc>
          <w:tcPr>
            <w:tcW w:w="960" w:type="dxa"/>
            <w:vAlign w:val="bottom"/>
          </w:tcPr>
          <w:p>
            <w:pPr>
              <w:jc w:val="right"/>
              <w:ind w:right="30"/>
              <w:spacing w:after="0"/>
              <w:rPr>
                <w:sz w:val="20"/>
                <w:szCs w:val="20"/>
                <w:color w:val="auto"/>
              </w:rPr>
            </w:pPr>
            <w:r>
              <w:rPr>
                <w:rFonts w:ascii="Arial" w:cs="Arial" w:eastAsia="Arial" w:hAnsi="Arial"/>
                <w:sz w:val="13"/>
                <w:szCs w:val="13"/>
                <w:b w:val="1"/>
                <w:bCs w:val="1"/>
                <w:color w:val="auto"/>
              </w:rPr>
              <w:t>Systems</w:t>
            </w: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jc w:val="right"/>
              <w:ind w:right="109"/>
              <w:spacing w:after="0"/>
              <w:rPr>
                <w:sz w:val="20"/>
                <w:szCs w:val="20"/>
                <w:color w:val="auto"/>
              </w:rPr>
            </w:pPr>
            <w:r>
              <w:rPr>
                <w:rFonts w:ascii="Arial" w:cs="Arial" w:eastAsia="Arial" w:hAnsi="Arial"/>
                <w:sz w:val="13"/>
                <w:szCs w:val="13"/>
                <w:b w:val="1"/>
                <w:bCs w:val="1"/>
                <w:color w:val="auto"/>
              </w:rPr>
              <w:t>Printing</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jc w:val="right"/>
              <w:ind w:right="109"/>
              <w:spacing w:after="0"/>
              <w:rPr>
                <w:sz w:val="20"/>
                <w:szCs w:val="20"/>
                <w:color w:val="auto"/>
              </w:rPr>
            </w:pPr>
            <w:r>
              <w:rPr>
                <w:rFonts w:ascii="Arial" w:cs="Arial" w:eastAsia="Arial" w:hAnsi="Arial"/>
                <w:sz w:val="13"/>
                <w:szCs w:val="13"/>
                <w:b w:val="1"/>
                <w:bCs w:val="1"/>
                <w:color w:val="auto"/>
              </w:rPr>
              <w:t>Solutions</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Pr>
          <w:p>
            <w:pPr>
              <w:jc w:val="right"/>
              <w:ind w:right="69"/>
              <w:spacing w:after="0"/>
              <w:rPr>
                <w:sz w:val="20"/>
                <w:szCs w:val="20"/>
                <w:color w:val="auto"/>
              </w:rPr>
            </w:pPr>
            <w:r>
              <w:rPr>
                <w:rFonts w:ascii="Arial" w:cs="Arial" w:eastAsia="Arial" w:hAnsi="Arial"/>
                <w:sz w:val="13"/>
                <w:szCs w:val="13"/>
                <w:b w:val="1"/>
                <w:bCs w:val="1"/>
                <w:color w:val="auto"/>
              </w:rPr>
              <w:t>and Film</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30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Balance as of December 31, 2015</w:t>
            </w:r>
          </w:p>
        </w:tc>
        <w:tc>
          <w:tcPr>
            <w:tcW w:w="800" w:type="dxa"/>
            <w:vAlign w:val="bottom"/>
            <w:tcBorders>
              <w:top w:val="single" w:sz="8" w:color="CFF0FC"/>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jc w:val="right"/>
              <w:ind w:right="810"/>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56</w:t>
            </w:r>
          </w:p>
        </w:tc>
        <w:tc>
          <w:tcPr>
            <w:tcW w:w="1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jc w:val="right"/>
              <w:ind w:right="909"/>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w:t>
            </w:r>
          </w:p>
        </w:tc>
        <w:tc>
          <w:tcPr>
            <w:tcW w:w="260" w:type="dxa"/>
            <w:vAlign w:val="bottom"/>
            <w:tcBorders>
              <w:top w:val="single" w:sz="8" w:color="CFF0FC"/>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jc w:val="right"/>
              <w:ind w:right="909"/>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w:t>
            </w:r>
          </w:p>
        </w:tc>
        <w:tc>
          <w:tcPr>
            <w:tcW w:w="260" w:type="dxa"/>
            <w:vAlign w:val="bottom"/>
            <w:tcBorders>
              <w:top w:val="single" w:sz="8" w:color="CFF0FC"/>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jc w:val="right"/>
              <w:ind w:right="869"/>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w:t>
            </w:r>
          </w:p>
        </w:tc>
        <w:tc>
          <w:tcPr>
            <w:tcW w:w="24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88</w:t>
            </w: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020" w:type="dxa"/>
            <w:vAlign w:val="bottom"/>
          </w:tcPr>
          <w:p>
            <w:pPr>
              <w:spacing w:after="0"/>
              <w:rPr>
                <w:sz w:val="20"/>
                <w:szCs w:val="20"/>
                <w:color w:val="auto"/>
              </w:rPr>
            </w:pPr>
            <w:r>
              <w:rPr>
                <w:rFonts w:ascii="Arial" w:cs="Arial" w:eastAsia="Arial" w:hAnsi="Arial"/>
                <w:sz w:val="16"/>
                <w:szCs w:val="16"/>
                <w:color w:val="auto"/>
              </w:rPr>
              <w:t>Impairment</w:t>
            </w:r>
          </w:p>
        </w:tc>
        <w:tc>
          <w:tcPr>
            <w:tcW w:w="8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8"/>
        </w:trPr>
        <w:tc>
          <w:tcPr>
            <w:tcW w:w="30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Balance as of December 31, 2016</w:t>
            </w:r>
          </w:p>
        </w:tc>
        <w:tc>
          <w:tcPr>
            <w:tcW w:w="800" w:type="dxa"/>
            <w:vAlign w:val="bottom"/>
            <w:tcBorders>
              <w:top w:val="single" w:sz="8" w:color="CFF0FC"/>
            </w:tcBorders>
            <w:shd w:val="clear" w:color="auto" w:fill="CFF0FC"/>
          </w:tcPr>
          <w:p>
            <w:pPr>
              <w:spacing w:after="0"/>
              <w:rPr>
                <w:sz w:val="17"/>
                <w:szCs w:val="17"/>
                <w:color w:val="auto"/>
              </w:rPr>
            </w:pPr>
          </w:p>
        </w:tc>
        <w:tc>
          <w:tcPr>
            <w:tcW w:w="960" w:type="dxa"/>
            <w:vAlign w:val="bottom"/>
            <w:tcBorders>
              <w:top w:val="single" w:sz="8" w:color="auto"/>
              <w:bottom w:val="single" w:sz="8" w:color="auto"/>
            </w:tcBorders>
            <w:shd w:val="clear" w:color="auto" w:fill="CFF0FC"/>
          </w:tcPr>
          <w:p>
            <w:pPr>
              <w:jc w:val="right"/>
              <w:ind w:right="810"/>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56</w:t>
            </w:r>
          </w:p>
        </w:tc>
        <w:tc>
          <w:tcPr>
            <w:tcW w:w="1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060" w:type="dxa"/>
            <w:vAlign w:val="bottom"/>
            <w:tcBorders>
              <w:top w:val="single" w:sz="8" w:color="auto"/>
              <w:bottom w:val="single" w:sz="8" w:color="auto"/>
            </w:tcBorders>
            <w:shd w:val="clear" w:color="auto" w:fill="CFF0FC"/>
          </w:tcPr>
          <w:p>
            <w:pPr>
              <w:jc w:val="right"/>
              <w:ind w:right="909"/>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w:t>
            </w:r>
          </w:p>
        </w:tc>
        <w:tc>
          <w:tcPr>
            <w:tcW w:w="260" w:type="dxa"/>
            <w:vAlign w:val="bottom"/>
            <w:tcBorders>
              <w:top w:val="single" w:sz="8" w:color="CFF0FC"/>
            </w:tcBorders>
            <w:shd w:val="clear" w:color="auto" w:fill="CFF0FC"/>
          </w:tcPr>
          <w:p>
            <w:pPr>
              <w:spacing w:after="0"/>
              <w:rPr>
                <w:sz w:val="17"/>
                <w:szCs w:val="17"/>
                <w:color w:val="auto"/>
              </w:rPr>
            </w:pPr>
          </w:p>
        </w:tc>
        <w:tc>
          <w:tcPr>
            <w:tcW w:w="1060" w:type="dxa"/>
            <w:vAlign w:val="bottom"/>
            <w:tcBorders>
              <w:top w:val="single" w:sz="8" w:color="auto"/>
              <w:bottom w:val="single" w:sz="8" w:color="auto"/>
            </w:tcBorders>
            <w:shd w:val="clear" w:color="auto" w:fill="CFF0FC"/>
          </w:tcPr>
          <w:p>
            <w:pPr>
              <w:jc w:val="right"/>
              <w:ind w:right="909"/>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w:t>
            </w:r>
          </w:p>
        </w:tc>
        <w:tc>
          <w:tcPr>
            <w:tcW w:w="260" w:type="dxa"/>
            <w:vAlign w:val="bottom"/>
            <w:tcBorders>
              <w:top w:val="single" w:sz="8" w:color="CFF0FC"/>
            </w:tcBorders>
            <w:shd w:val="clear" w:color="auto" w:fill="CFF0FC"/>
          </w:tcPr>
          <w:p>
            <w:pPr>
              <w:spacing w:after="0"/>
              <w:rPr>
                <w:sz w:val="17"/>
                <w:szCs w:val="17"/>
                <w:color w:val="auto"/>
              </w:rPr>
            </w:pPr>
          </w:p>
        </w:tc>
        <w:tc>
          <w:tcPr>
            <w:tcW w:w="1020" w:type="dxa"/>
            <w:vAlign w:val="bottom"/>
            <w:tcBorders>
              <w:top w:val="single" w:sz="8" w:color="auto"/>
              <w:bottom w:val="single" w:sz="8" w:color="auto"/>
            </w:tcBorders>
            <w:shd w:val="clear" w:color="auto" w:fill="CFF0FC"/>
          </w:tcPr>
          <w:p>
            <w:pPr>
              <w:jc w:val="right"/>
              <w:ind w:right="869"/>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w:t>
            </w:r>
          </w:p>
        </w:tc>
        <w:tc>
          <w:tcPr>
            <w:tcW w:w="24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88</w:t>
            </w: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0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Impairment</w:t>
            </w:r>
          </w:p>
        </w:tc>
        <w:tc>
          <w:tcPr>
            <w:tcW w:w="800" w:type="dxa"/>
            <w:vAlign w:val="bottom"/>
            <w:tcBorders>
              <w:bottom w:val="single" w:sz="8" w:color="CFF0FC"/>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w:t>
            </w:r>
          </w:p>
        </w:tc>
        <w:tc>
          <w:tcPr>
            <w:tcW w:w="16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FF0FC"/>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FF0FC"/>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0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Balance as of December 31, 2017</w:t>
            </w:r>
          </w:p>
        </w:tc>
        <w:tc>
          <w:tcPr>
            <w:tcW w:w="1760" w:type="dxa"/>
            <w:vAlign w:val="bottom"/>
            <w:gridSpan w:val="2"/>
            <w:shd w:val="clear" w:color="auto" w:fill="CFF0FC"/>
          </w:tcPr>
          <w:p>
            <w:pPr>
              <w:jc w:val="right"/>
              <w:ind w:right="810"/>
              <w:spacing w:after="0"/>
              <w:rPr>
                <w:sz w:val="20"/>
                <w:szCs w:val="20"/>
                <w:color w:val="auto"/>
              </w:rPr>
            </w:pPr>
            <w:r>
              <w:rPr>
                <w:rFonts w:ascii="Arial" w:cs="Arial" w:eastAsia="Arial" w:hAnsi="Arial"/>
                <w:sz w:val="15"/>
                <w:szCs w:val="15"/>
                <w:color w:val="auto"/>
              </w:rPr>
              <w:t>$</w:t>
            </w:r>
          </w:p>
        </w:tc>
        <w:tc>
          <w:tcPr>
            <w:tcW w:w="48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909"/>
              <w:spacing w:after="0"/>
              <w:rPr>
                <w:sz w:val="20"/>
                <w:szCs w:val="20"/>
                <w:color w:val="auto"/>
              </w:rPr>
            </w:pPr>
            <w:r>
              <w:rPr>
                <w:rFonts w:ascii="Arial" w:cs="Arial" w:eastAsia="Arial" w:hAnsi="Arial"/>
                <w:sz w:val="15"/>
                <w:szCs w:val="15"/>
                <w:color w:val="auto"/>
                <w:w w:val="71"/>
              </w:rPr>
              <w:t>$</w:t>
            </w:r>
          </w:p>
        </w:tc>
        <w:tc>
          <w:tcPr>
            <w:tcW w:w="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w:t>
            </w:r>
          </w:p>
        </w:tc>
        <w:tc>
          <w:tcPr>
            <w:tcW w:w="26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909"/>
              <w:spacing w:after="0"/>
              <w:rPr>
                <w:sz w:val="20"/>
                <w:szCs w:val="20"/>
                <w:color w:val="auto"/>
              </w:rPr>
            </w:pPr>
            <w:r>
              <w:rPr>
                <w:rFonts w:ascii="Arial" w:cs="Arial" w:eastAsia="Arial" w:hAnsi="Arial"/>
                <w:sz w:val="15"/>
                <w:szCs w:val="15"/>
                <w:color w:val="auto"/>
                <w:w w:val="71"/>
              </w:rPr>
              <w:t>$</w:t>
            </w: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w:t>
            </w:r>
          </w:p>
        </w:tc>
        <w:tc>
          <w:tcPr>
            <w:tcW w:w="26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869"/>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2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ind w:right="40"/>
        <w:spacing w:after="0" w:line="280" w:lineRule="auto"/>
        <w:rPr>
          <w:sz w:val="20"/>
          <w:szCs w:val="20"/>
          <w:color w:val="auto"/>
        </w:rPr>
      </w:pPr>
      <w:r>
        <w:rPr>
          <w:rFonts w:ascii="Arial" w:cs="Arial" w:eastAsia="Arial" w:hAnsi="Arial"/>
          <w:sz w:val="16"/>
          <w:szCs w:val="16"/>
          <w:color w:val="auto"/>
        </w:rPr>
        <w:t>Gross goodwill and accumulated impairment losses were $96 million and $64 million as of December 31, 2017, respectively, and $96 million and $8 million as of December 31, 2016, respectively.</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62865</wp:posOffset>
            </wp:positionV>
            <wp:extent cx="7301865" cy="406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301865" cy="40640"/>
                    </a:xfrm>
                    <a:prstGeom prst="rect">
                      <a:avLst/>
                    </a:prstGeom>
                    <a:noFill/>
                  </pic:spPr>
                </pic:pic>
              </a:graphicData>
            </a:graphic>
          </wp:anchor>
        </w:drawing>
      </w:r>
    </w:p>
    <w:p>
      <w:pPr>
        <w:sectPr>
          <w:pgSz w:w="11900" w:h="16838" w:orient="portrait"/>
          <w:cols w:equalWidth="0" w:num="1">
            <w:col w:w="11440"/>
          </w:cols>
          <w:pgMar w:left="240" w:top="123" w:right="219" w:bottom="1440" w:gutter="0" w:footer="0" w:header="0"/>
        </w:sectPr>
      </w:pPr>
    </w:p>
    <w:bookmarkStart w:id="66" w:name="page67"/>
    <w:bookmarkEnd w:id="66"/>
    <w:p>
      <w:pPr>
        <w:spacing w:after="0" w:line="261" w:lineRule="auto"/>
        <w:rPr>
          <w:sz w:val="20"/>
          <w:szCs w:val="20"/>
          <w:color w:val="auto"/>
        </w:rPr>
      </w:pPr>
      <w:r>
        <w:rPr>
          <w:rFonts w:ascii="Arial" w:cs="Arial" w:eastAsia="Arial" w:hAnsi="Arial"/>
          <w:sz w:val="16"/>
          <w:szCs w:val="16"/>
          <w:color w:val="auto"/>
        </w:rPr>
        <w:t>The Print Systems segment has two goodwill reporting units: Prepress Solutions and Electrophotographic Printing Solutions. The Software and Solutions segment has two goodwill reporting units: Kodak Technology Solutions and Unified Workflow Solutions. The Consumer and Film segment has two goodwill reporting units: Consumer Products and Motion Picture, Industrial Chemicals and Films. The Flexographic Printing segment, Enterprise Inkjet Systems segment, Advanced Materials and 3D Printing segment and the Eastman Business Park segment each have one goodwill reporting unit.</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Based upon the results of Kodak’s December 31, 2017 annual impairment test, no impairment of goodwill is indicated.</w:t>
      </w:r>
    </w:p>
    <w:p>
      <w:pPr>
        <w:spacing w:after="0" w:line="227" w:lineRule="exact"/>
        <w:rPr>
          <w:sz w:val="20"/>
          <w:szCs w:val="20"/>
          <w:color w:val="auto"/>
        </w:rPr>
      </w:pPr>
    </w:p>
    <w:p>
      <w:pPr>
        <w:jc w:val="both"/>
        <w:ind w:right="40"/>
        <w:spacing w:after="0" w:line="284" w:lineRule="auto"/>
        <w:rPr>
          <w:sz w:val="20"/>
          <w:szCs w:val="20"/>
          <w:color w:val="auto"/>
        </w:rPr>
      </w:pPr>
      <w:r>
        <w:rPr>
          <w:rFonts w:ascii="Arial" w:cs="Arial" w:eastAsia="Arial" w:hAnsi="Arial"/>
          <w:sz w:val="15"/>
          <w:szCs w:val="15"/>
          <w:color w:val="auto"/>
        </w:rPr>
        <w:t>Given the decline in Kodak’s financial projections for the year and in its market capitalization from the last goodwill impairment test (December 31, 2016), Kodak performed an interim goodwill impairment test as of September 30, 2017. Kodak utilized the discounted cash flow method and guideline public company method for the reporting units with goodwill. For these reporting units, Kodak selected equal weighting of the guideline public company method and the discounted cash flow method as the valuation approaches produced comparable ranges of fair value. Fair values for the other reporting units were estimated using the discounted cash flow method only.</w:t>
      </w:r>
    </w:p>
    <w:p>
      <w:pPr>
        <w:spacing w:after="0" w:line="175" w:lineRule="exact"/>
        <w:rPr>
          <w:sz w:val="20"/>
          <w:szCs w:val="20"/>
          <w:color w:val="auto"/>
        </w:rPr>
      </w:pPr>
    </w:p>
    <w:p>
      <w:pPr>
        <w:spacing w:after="0" w:line="354" w:lineRule="auto"/>
        <w:rPr>
          <w:sz w:val="20"/>
          <w:szCs w:val="20"/>
          <w:color w:val="auto"/>
        </w:rPr>
      </w:pPr>
      <w:r>
        <w:rPr>
          <w:rFonts w:ascii="Arial" w:cs="Arial" w:eastAsia="Arial" w:hAnsi="Arial"/>
          <w:sz w:val="14"/>
          <w:szCs w:val="14"/>
          <w:color w:val="auto"/>
        </w:rPr>
        <w:t>Based upon the results of Kodak’s September 30, 2017 analysis, Kodak concluded that the Prepress Solutions reporting unit’s carrying value exceeded its fair value and recorded a pre-tax goodwill impairment loss of $56 million in the Consolidated Statement of Operations. No impairment of goodwill was indicated for the other reporting units.</w:t>
      </w:r>
    </w:p>
    <w:p>
      <w:pPr>
        <w:spacing w:after="0" w:line="129"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Due to the change in Kodak’s reporting units as of January 1, 2015 and the delay in commercializing new technologies in the Micro 3D Printing reporting unit, Kodak concluded that the carrying value of the Micro 3D Printing reporting unit exceeded its implied fair value. The fair value of the Micro 3D Printing reporting unit was estimated using the discounted cash flow method in which the future cash flows, including a terminal value at the end of the projection period, were discounted to present value. Kodak recorded a pre-tax impairment charge of $6 million in the first quarter of 2015 that is included in Goodwill impairment loss, net in the Consolidated Statement of Operations representing the entire amount of goodwill for this reporting unit.</w:t>
      </w:r>
    </w:p>
    <w:p>
      <w:pPr>
        <w:spacing w:after="0" w:line="71" w:lineRule="exact"/>
        <w:rPr>
          <w:sz w:val="20"/>
          <w:szCs w:val="20"/>
          <w:color w:val="auto"/>
        </w:rPr>
      </w:pPr>
    </w:p>
    <w:p>
      <w:pPr>
        <w:ind w:right="20"/>
        <w:spacing w:after="0" w:line="321" w:lineRule="auto"/>
        <w:rPr>
          <w:sz w:val="20"/>
          <w:szCs w:val="20"/>
          <w:color w:val="auto"/>
        </w:rPr>
      </w:pPr>
      <w:r>
        <w:rPr>
          <w:rFonts w:ascii="Arial" w:cs="Arial" w:eastAsia="Arial" w:hAnsi="Arial"/>
          <w:sz w:val="14"/>
          <w:szCs w:val="14"/>
          <w:color w:val="auto"/>
        </w:rPr>
        <w:t>Based upon the results of Kodak’s 2015 goodwill impairment analysis, Kodak concluded that the carrying value of the Intellectual Property Solutions reporting unit exceeded its implied fair value and recorded a pre-tax impairment charge of $2 million in the fourth quarter of 2015 that is included in Goodwill impairment loss, net in the Consolidated Statement of Operations representing the entire amount of goodwill for this reporting unit. No impairment of goodwill was indicated for any other reporting units.</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The gross carrying amount and accumulated amortization by major intangible asset category as of December 31, 2017 and 2016 were as follows:</w:t>
      </w:r>
    </w:p>
    <w:p>
      <w:pPr>
        <w:spacing w:after="0" w:line="292" w:lineRule="exact"/>
        <w:rPr>
          <w:sz w:val="20"/>
          <w:szCs w:val="20"/>
          <w:color w:val="auto"/>
        </w:rPr>
      </w:pPr>
    </w:p>
    <w:tbl>
      <w:tblPr>
        <w:tblLayout w:type="fixed"/>
        <w:tblInd w:w="460" w:type="dxa"/>
        <w:tblCellMar>
          <w:top w:w="0" w:type="dxa"/>
          <w:left w:w="0" w:type="dxa"/>
          <w:bottom w:w="0" w:type="dxa"/>
          <w:right w:w="0" w:type="dxa"/>
        </w:tblCellMar>
      </w:tblPr>
      <w:tr>
        <w:trPr>
          <w:trHeight w:val="153"/>
        </w:trPr>
        <w:tc>
          <w:tcPr>
            <w:tcW w:w="12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6"/>
          </w:tcPr>
          <w:p>
            <w:pPr>
              <w:jc w:val="right"/>
              <w:ind w:right="280"/>
              <w:spacing w:after="0"/>
              <w:rPr>
                <w:sz w:val="20"/>
                <w:szCs w:val="20"/>
                <w:color w:val="auto"/>
              </w:rPr>
            </w:pPr>
            <w:r>
              <w:rPr>
                <w:rFonts w:ascii="Arial" w:cs="Arial" w:eastAsia="Arial" w:hAnsi="Arial"/>
                <w:sz w:val="13"/>
                <w:szCs w:val="13"/>
                <w:b w:val="1"/>
                <w:bCs w:val="1"/>
                <w:color w:val="auto"/>
                <w:w w:val="87"/>
              </w:rPr>
              <w:t>As of December 31, 2017</w:t>
            </w:r>
          </w:p>
        </w:tc>
        <w:tc>
          <w:tcPr>
            <w:tcW w:w="2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3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r>
      <w:tr>
        <w:trPr>
          <w:trHeight w:val="129"/>
        </w:trPr>
        <w:tc>
          <w:tcPr>
            <w:tcW w:w="12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jc w:val="right"/>
              <w:spacing w:after="0" w:line="129" w:lineRule="exact"/>
              <w:rPr>
                <w:sz w:val="20"/>
                <w:szCs w:val="20"/>
                <w:color w:val="auto"/>
              </w:rPr>
            </w:pPr>
            <w:r>
              <w:rPr>
                <w:rFonts w:ascii="Arial" w:cs="Arial" w:eastAsia="Arial" w:hAnsi="Arial"/>
                <w:sz w:val="13"/>
                <w:szCs w:val="13"/>
                <w:b w:val="1"/>
                <w:bCs w:val="1"/>
                <w:color w:val="auto"/>
              </w:rPr>
              <w:t>Gross Carrying</w:t>
            </w: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tcPr>
          <w:p>
            <w:pPr>
              <w:ind w:left="300"/>
              <w:spacing w:after="0" w:line="129" w:lineRule="exact"/>
              <w:rPr>
                <w:sz w:val="20"/>
                <w:szCs w:val="20"/>
                <w:color w:val="auto"/>
              </w:rPr>
            </w:pPr>
            <w:r>
              <w:rPr>
                <w:rFonts w:ascii="Arial" w:cs="Arial" w:eastAsia="Arial" w:hAnsi="Arial"/>
                <w:sz w:val="13"/>
                <w:szCs w:val="13"/>
                <w:b w:val="1"/>
                <w:bCs w:val="1"/>
                <w:color w:val="auto"/>
                <w:w w:val="95"/>
              </w:rPr>
              <w:t>Accumulated</w:t>
            </w: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500" w:type="dxa"/>
            <w:vAlign w:val="bottom"/>
            <w:gridSpan w:val="2"/>
          </w:tcPr>
          <w:p>
            <w:pPr>
              <w:jc w:val="center"/>
              <w:ind w:right="20"/>
              <w:spacing w:after="0" w:line="129" w:lineRule="exact"/>
              <w:rPr>
                <w:sz w:val="20"/>
                <w:szCs w:val="20"/>
                <w:color w:val="auto"/>
              </w:rPr>
            </w:pPr>
            <w:r>
              <w:rPr>
                <w:rFonts w:ascii="Arial" w:cs="Arial" w:eastAsia="Arial" w:hAnsi="Arial"/>
                <w:sz w:val="13"/>
                <w:szCs w:val="13"/>
                <w:b w:val="1"/>
                <w:bCs w:val="1"/>
                <w:color w:val="auto"/>
                <w:w w:val="87"/>
              </w:rPr>
              <w:t>Weighted-Average</w:t>
            </w:r>
          </w:p>
        </w:tc>
      </w:tr>
      <w:tr>
        <w:trPr>
          <w:trHeight w:val="153"/>
        </w:trPr>
        <w:tc>
          <w:tcPr>
            <w:tcW w:w="3100" w:type="dxa"/>
            <w:vAlign w:val="bottom"/>
            <w:tcBorders>
              <w:bottom w:val="single" w:sz="8" w:color="CFF0FC"/>
            </w:tcBorders>
            <w:gridSpan w:val="2"/>
          </w:tcPr>
          <w:p>
            <w:pPr>
              <w:spacing w:after="0"/>
              <w:rPr>
                <w:sz w:val="20"/>
                <w:szCs w:val="20"/>
                <w:color w:val="auto"/>
              </w:rPr>
            </w:pPr>
            <w:r>
              <w:rPr>
                <w:rFonts w:ascii="Arial" w:cs="Arial" w:eastAsia="Arial" w:hAnsi="Arial"/>
                <w:sz w:val="13"/>
                <w:szCs w:val="13"/>
                <w:color w:val="auto"/>
              </w:rPr>
              <w:t>(in millions)</w:t>
            </w:r>
          </w:p>
        </w:tc>
        <w:tc>
          <w:tcPr>
            <w:tcW w:w="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160"/>
              <w:spacing w:after="0"/>
              <w:rPr>
                <w:sz w:val="20"/>
                <w:szCs w:val="20"/>
                <w:color w:val="auto"/>
              </w:rPr>
            </w:pPr>
            <w:r>
              <w:rPr>
                <w:rFonts w:ascii="Arial" w:cs="Arial" w:eastAsia="Arial" w:hAnsi="Arial"/>
                <w:sz w:val="13"/>
                <w:szCs w:val="13"/>
                <w:b w:val="1"/>
                <w:bCs w:val="1"/>
                <w:color w:val="auto"/>
              </w:rPr>
              <w:t>Amount</w:t>
            </w:r>
          </w:p>
        </w:tc>
        <w:tc>
          <w:tcPr>
            <w:tcW w:w="260" w:type="dxa"/>
            <w:vAlign w:val="bottom"/>
            <w:tcBorders>
              <w:bottom w:val="single" w:sz="8" w:color="auto"/>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ind w:left="300"/>
              <w:spacing w:after="0"/>
              <w:rPr>
                <w:sz w:val="20"/>
                <w:szCs w:val="20"/>
                <w:color w:val="auto"/>
              </w:rPr>
            </w:pPr>
            <w:r>
              <w:rPr>
                <w:rFonts w:ascii="Arial" w:cs="Arial" w:eastAsia="Arial" w:hAnsi="Arial"/>
                <w:sz w:val="13"/>
                <w:szCs w:val="13"/>
                <w:b w:val="1"/>
                <w:bCs w:val="1"/>
                <w:color w:val="auto"/>
                <w:w w:val="98"/>
              </w:rPr>
              <w:t>Amortization</w:t>
            </w:r>
          </w:p>
        </w:tc>
        <w:tc>
          <w:tcPr>
            <w:tcW w:w="2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1080" w:type="dxa"/>
            <w:vAlign w:val="bottom"/>
            <w:tcBorders>
              <w:bottom w:val="single" w:sz="8" w:color="auto"/>
            </w:tcBorders>
          </w:tcPr>
          <w:p>
            <w:pPr>
              <w:jc w:val="right"/>
              <w:ind w:right="230"/>
              <w:spacing w:after="0"/>
              <w:rPr>
                <w:sz w:val="20"/>
                <w:szCs w:val="20"/>
                <w:color w:val="auto"/>
              </w:rPr>
            </w:pPr>
            <w:r>
              <w:rPr>
                <w:rFonts w:ascii="Arial" w:cs="Arial" w:eastAsia="Arial" w:hAnsi="Arial"/>
                <w:sz w:val="13"/>
                <w:szCs w:val="13"/>
                <w:b w:val="1"/>
                <w:bCs w:val="1"/>
                <w:color w:val="auto"/>
              </w:rPr>
              <w:t>Net</w:t>
            </w:r>
          </w:p>
        </w:tc>
        <w:tc>
          <w:tcPr>
            <w:tcW w:w="2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40" w:type="dxa"/>
            <w:vAlign w:val="bottom"/>
            <w:tcBorders>
              <w:bottom w:val="single" w:sz="8" w:color="CFF0FC"/>
            </w:tcBorders>
          </w:tcPr>
          <w:p>
            <w:pPr>
              <w:spacing w:after="0"/>
              <w:rPr>
                <w:sz w:val="13"/>
                <w:szCs w:val="13"/>
                <w:color w:val="auto"/>
              </w:rPr>
            </w:pPr>
          </w:p>
        </w:tc>
        <w:tc>
          <w:tcPr>
            <w:tcW w:w="250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3"/>
                <w:szCs w:val="13"/>
                <w:b w:val="1"/>
                <w:bCs w:val="1"/>
                <w:color w:val="auto"/>
                <w:w w:val="90"/>
              </w:rPr>
              <w:t>Amortization Period</w:t>
            </w:r>
          </w:p>
        </w:tc>
      </w:tr>
      <w:tr>
        <w:trPr>
          <w:trHeight w:val="198"/>
        </w:trPr>
        <w:tc>
          <w:tcPr>
            <w:tcW w:w="31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Technology-based</w:t>
            </w:r>
          </w:p>
        </w:tc>
        <w:tc>
          <w:tcPr>
            <w:tcW w:w="1120" w:type="dxa"/>
            <w:vAlign w:val="bottom"/>
            <w:gridSpan w:val="2"/>
            <w:shd w:val="clear" w:color="auto" w:fill="CFF0FC"/>
          </w:tcPr>
          <w:p>
            <w:pPr>
              <w:jc w:val="right"/>
              <w:ind w:right="980"/>
              <w:spacing w:after="0"/>
              <w:rPr>
                <w:sz w:val="20"/>
                <w:szCs w:val="20"/>
                <w:color w:val="auto"/>
              </w:rPr>
            </w:pPr>
            <w:r>
              <w:rPr>
                <w:rFonts w:ascii="Arial" w:cs="Arial" w:eastAsia="Arial" w:hAnsi="Arial"/>
                <w:sz w:val="15"/>
                <w:szCs w:val="15"/>
                <w:color w:val="auto"/>
                <w:w w:val="71"/>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2"/>
              </w:rPr>
              <w:t>105</w:t>
            </w:r>
          </w:p>
        </w:tc>
        <w:tc>
          <w:tcPr>
            <w:tcW w:w="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972"/>
              <w:spacing w:after="0"/>
              <w:rPr>
                <w:sz w:val="20"/>
                <w:szCs w:val="20"/>
                <w:color w:val="auto"/>
              </w:rPr>
            </w:pPr>
            <w:r>
              <w:rPr>
                <w:rFonts w:ascii="Arial" w:cs="Arial" w:eastAsia="Arial" w:hAnsi="Arial"/>
                <w:sz w:val="15"/>
                <w:szCs w:val="15"/>
                <w:color w:val="auto"/>
                <w:w w:val="71"/>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w:t>
            </w: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930"/>
              <w:spacing w:after="0"/>
              <w:rPr>
                <w:sz w:val="20"/>
                <w:szCs w:val="20"/>
                <w:color w:val="auto"/>
              </w:rPr>
            </w:pPr>
            <w:r>
              <w:rPr>
                <w:rFonts w:ascii="Arial" w:cs="Arial" w:eastAsia="Arial" w:hAnsi="Arial"/>
                <w:sz w:val="15"/>
                <w:szCs w:val="15"/>
                <w:color w:val="auto"/>
                <w:w w:val="71"/>
              </w:rPr>
              <w:t>$</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41</w:t>
            </w:r>
          </w:p>
        </w:tc>
        <w:tc>
          <w:tcPr>
            <w:tcW w:w="2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500" w:type="dxa"/>
            <w:vAlign w:val="bottom"/>
            <w:gridSpan w:val="2"/>
            <w:shd w:val="clear" w:color="auto" w:fill="CFF0FC"/>
          </w:tcPr>
          <w:p>
            <w:pPr>
              <w:jc w:val="center"/>
              <w:spacing w:after="0"/>
              <w:rPr>
                <w:sz w:val="20"/>
                <w:szCs w:val="20"/>
                <w:color w:val="auto"/>
              </w:rPr>
            </w:pPr>
            <w:r>
              <w:rPr>
                <w:rFonts w:ascii="Arial" w:cs="Arial" w:eastAsia="Arial" w:hAnsi="Arial"/>
                <w:sz w:val="16"/>
                <w:szCs w:val="16"/>
                <w:color w:val="auto"/>
                <w:w w:val="87"/>
              </w:rPr>
              <w:t>6 years</w:t>
            </w:r>
          </w:p>
        </w:tc>
      </w:tr>
      <w:tr>
        <w:trPr>
          <w:trHeight w:val="205"/>
        </w:trPr>
        <w:tc>
          <w:tcPr>
            <w:tcW w:w="3100" w:type="dxa"/>
            <w:vAlign w:val="bottom"/>
            <w:gridSpan w:val="2"/>
          </w:tcPr>
          <w:p>
            <w:pPr>
              <w:spacing w:after="0"/>
              <w:rPr>
                <w:sz w:val="20"/>
                <w:szCs w:val="20"/>
                <w:color w:val="auto"/>
              </w:rPr>
            </w:pPr>
            <w:r>
              <w:rPr>
                <w:rFonts w:ascii="Arial" w:cs="Arial" w:eastAsia="Arial" w:hAnsi="Arial"/>
                <w:sz w:val="16"/>
                <w:szCs w:val="16"/>
                <w:color w:val="auto"/>
              </w:rPr>
              <w:t>Kodak trade name</w:t>
            </w:r>
          </w:p>
        </w:tc>
        <w:tc>
          <w:tcPr>
            <w:tcW w:w="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38</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38</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500" w:type="dxa"/>
            <w:vAlign w:val="bottom"/>
            <w:gridSpan w:val="2"/>
          </w:tcPr>
          <w:p>
            <w:pPr>
              <w:jc w:val="center"/>
              <w:ind w:right="20"/>
              <w:spacing w:after="0"/>
              <w:rPr>
                <w:sz w:val="20"/>
                <w:szCs w:val="20"/>
                <w:color w:val="auto"/>
              </w:rPr>
            </w:pPr>
            <w:r>
              <w:rPr>
                <w:rFonts w:ascii="Arial" w:cs="Arial" w:eastAsia="Arial" w:hAnsi="Arial"/>
                <w:sz w:val="16"/>
                <w:szCs w:val="16"/>
                <w:color w:val="auto"/>
                <w:w w:val="97"/>
              </w:rPr>
              <w:t>Indefinite life</w:t>
            </w:r>
          </w:p>
        </w:tc>
      </w:tr>
      <w:tr>
        <w:trPr>
          <w:trHeight w:val="205"/>
        </w:trPr>
        <w:tc>
          <w:tcPr>
            <w:tcW w:w="31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Customer-related</w:t>
            </w:r>
          </w:p>
        </w:tc>
        <w:tc>
          <w:tcPr>
            <w:tcW w:w="6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w:t>
            </w:r>
          </w:p>
        </w:tc>
        <w:tc>
          <w:tcPr>
            <w:tcW w:w="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w:t>
            </w: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2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500" w:type="dxa"/>
            <w:vAlign w:val="bottom"/>
            <w:gridSpan w:val="2"/>
            <w:shd w:val="clear" w:color="auto" w:fill="CFF0FC"/>
          </w:tcPr>
          <w:p>
            <w:pPr>
              <w:jc w:val="center"/>
              <w:spacing w:after="0"/>
              <w:rPr>
                <w:sz w:val="20"/>
                <w:szCs w:val="20"/>
                <w:color w:val="auto"/>
              </w:rPr>
            </w:pPr>
            <w:r>
              <w:rPr>
                <w:rFonts w:ascii="Arial" w:cs="Arial" w:eastAsia="Arial" w:hAnsi="Arial"/>
                <w:sz w:val="16"/>
                <w:szCs w:val="16"/>
                <w:color w:val="auto"/>
                <w:w w:val="87"/>
              </w:rPr>
              <w:t>6 years</w:t>
            </w:r>
          </w:p>
        </w:tc>
      </w:tr>
      <w:tr>
        <w:trPr>
          <w:trHeight w:val="205"/>
        </w:trPr>
        <w:tc>
          <w:tcPr>
            <w:tcW w:w="3100" w:type="dxa"/>
            <w:vAlign w:val="bottom"/>
            <w:tcBorders>
              <w:bottom w:val="single" w:sz="8" w:color="CFF0FC"/>
            </w:tcBorders>
            <w:gridSpan w:val="2"/>
          </w:tcPr>
          <w:p>
            <w:pPr>
              <w:spacing w:after="0"/>
              <w:rPr>
                <w:sz w:val="20"/>
                <w:szCs w:val="20"/>
                <w:color w:val="auto"/>
              </w:rPr>
            </w:pPr>
            <w:r>
              <w:rPr>
                <w:rFonts w:ascii="Arial" w:cs="Arial" w:eastAsia="Arial" w:hAnsi="Arial"/>
                <w:sz w:val="16"/>
                <w:szCs w:val="16"/>
                <w:color w:val="auto"/>
              </w:rPr>
              <w:t>Other</w:t>
            </w:r>
          </w:p>
        </w:tc>
        <w:tc>
          <w:tcPr>
            <w:tcW w:w="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20" w:type="dxa"/>
            <w:vAlign w:val="bottom"/>
            <w:tcBorders>
              <w:bottom w:val="single" w:sz="8" w:color="CFF0FC"/>
            </w:tcBorders>
          </w:tcPr>
          <w:p>
            <w:pPr>
              <w:spacing w:after="0"/>
              <w:rPr>
                <w:sz w:val="17"/>
                <w:szCs w:val="17"/>
                <w:color w:val="auto"/>
              </w:rPr>
            </w:pPr>
          </w:p>
        </w:tc>
        <w:tc>
          <w:tcPr>
            <w:tcW w:w="240" w:type="dxa"/>
            <w:vAlign w:val="bottom"/>
            <w:tcBorders>
              <w:bottom w:val="single" w:sz="8" w:color="CFF0FC"/>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CFF0FC"/>
            </w:tcBorders>
          </w:tcPr>
          <w:p>
            <w:pPr>
              <w:spacing w:after="0"/>
              <w:rPr>
                <w:sz w:val="17"/>
                <w:szCs w:val="17"/>
                <w:color w:val="auto"/>
              </w:rPr>
            </w:pPr>
          </w:p>
        </w:tc>
        <w:tc>
          <w:tcPr>
            <w:tcW w:w="20" w:type="dxa"/>
            <w:vAlign w:val="bottom"/>
            <w:tcBorders>
              <w:bottom w:val="single" w:sz="8" w:color="CFF0FC"/>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2</w:t>
            </w:r>
          </w:p>
        </w:tc>
        <w:tc>
          <w:tcPr>
            <w:tcW w:w="220" w:type="dxa"/>
            <w:vAlign w:val="bottom"/>
            <w:tcBorders>
              <w:bottom w:val="single" w:sz="8" w:color="CFF0FC"/>
            </w:tcBorders>
          </w:tcPr>
          <w:p>
            <w:pPr>
              <w:spacing w:after="0"/>
              <w:rPr>
                <w:sz w:val="17"/>
                <w:szCs w:val="17"/>
                <w:color w:val="auto"/>
              </w:rPr>
            </w:pPr>
          </w:p>
        </w:tc>
        <w:tc>
          <w:tcPr>
            <w:tcW w:w="40" w:type="dxa"/>
            <w:vAlign w:val="bottom"/>
            <w:tcBorders>
              <w:bottom w:val="single" w:sz="8" w:color="CFF0FC"/>
            </w:tcBorders>
          </w:tcPr>
          <w:p>
            <w:pPr>
              <w:spacing w:after="0"/>
              <w:rPr>
                <w:sz w:val="17"/>
                <w:szCs w:val="17"/>
                <w:color w:val="auto"/>
              </w:rPr>
            </w:pPr>
          </w:p>
        </w:tc>
        <w:tc>
          <w:tcPr>
            <w:tcW w:w="2500" w:type="dxa"/>
            <w:vAlign w:val="bottom"/>
            <w:tcBorders>
              <w:bottom w:val="single" w:sz="8" w:color="CFF0FC"/>
            </w:tcBorders>
            <w:gridSpan w:val="2"/>
          </w:tcPr>
          <w:p>
            <w:pPr>
              <w:jc w:val="center"/>
              <w:spacing w:after="0"/>
              <w:rPr>
                <w:sz w:val="20"/>
                <w:szCs w:val="20"/>
                <w:color w:val="auto"/>
              </w:rPr>
            </w:pPr>
            <w:r>
              <w:rPr>
                <w:rFonts w:ascii="Arial" w:cs="Arial" w:eastAsia="Arial" w:hAnsi="Arial"/>
                <w:sz w:val="16"/>
                <w:szCs w:val="16"/>
                <w:color w:val="auto"/>
                <w:w w:val="87"/>
              </w:rPr>
              <w:t>21 years</w:t>
            </w:r>
          </w:p>
        </w:tc>
      </w:tr>
      <w:tr>
        <w:trPr>
          <w:trHeight w:val="198"/>
        </w:trPr>
        <w:tc>
          <w:tcPr>
            <w:tcW w:w="310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Total</w:t>
            </w:r>
          </w:p>
        </w:tc>
        <w:tc>
          <w:tcPr>
            <w:tcW w:w="1120" w:type="dxa"/>
            <w:vAlign w:val="bottom"/>
            <w:tcBorders>
              <w:bottom w:val="single" w:sz="8" w:color="auto"/>
            </w:tcBorders>
            <w:gridSpan w:val="2"/>
            <w:shd w:val="clear" w:color="auto" w:fill="CFF0FC"/>
          </w:tcPr>
          <w:p>
            <w:pPr>
              <w:jc w:val="right"/>
              <w:ind w:right="980"/>
              <w:spacing w:after="0"/>
              <w:rPr>
                <w:sz w:val="20"/>
                <w:szCs w:val="20"/>
                <w:color w:val="auto"/>
              </w:rPr>
            </w:pPr>
            <w:r>
              <w:rPr>
                <w:rFonts w:ascii="Arial" w:cs="Arial" w:eastAsia="Arial" w:hAnsi="Arial"/>
                <w:sz w:val="15"/>
                <w:szCs w:val="15"/>
                <w:color w:val="auto"/>
                <w:w w:val="71"/>
              </w:rPr>
              <w:t>$</w:t>
            </w: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2"/>
              </w:rPr>
              <w:t>157</w:t>
            </w:r>
          </w:p>
        </w:tc>
        <w:tc>
          <w:tcPr>
            <w:tcW w:w="2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1120" w:type="dxa"/>
            <w:vAlign w:val="bottom"/>
            <w:tcBorders>
              <w:bottom w:val="single" w:sz="8" w:color="auto"/>
            </w:tcBorders>
            <w:gridSpan w:val="2"/>
            <w:shd w:val="clear" w:color="auto" w:fill="CFF0FC"/>
          </w:tcPr>
          <w:p>
            <w:pPr>
              <w:jc w:val="right"/>
              <w:ind w:right="972"/>
              <w:spacing w:after="0"/>
              <w:rPr>
                <w:sz w:val="20"/>
                <w:szCs w:val="20"/>
                <w:color w:val="auto"/>
              </w:rPr>
            </w:pPr>
            <w:r>
              <w:rPr>
                <w:rFonts w:ascii="Arial" w:cs="Arial" w:eastAsia="Arial" w:hAnsi="Arial"/>
                <w:sz w:val="15"/>
                <w:szCs w:val="15"/>
                <w:color w:val="auto"/>
                <w:w w:val="71"/>
              </w:rPr>
              <w:t>$</w:t>
            </w: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71</w:t>
            </w:r>
          </w:p>
        </w:tc>
        <w:tc>
          <w:tcPr>
            <w:tcW w:w="20" w:type="dxa"/>
            <w:vAlign w:val="bottom"/>
            <w:tcBorders>
              <w:bottom w:val="single" w:sz="8" w:color="auto"/>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ind w:right="930"/>
              <w:spacing w:after="0"/>
              <w:rPr>
                <w:sz w:val="20"/>
                <w:szCs w:val="20"/>
                <w:color w:val="auto"/>
              </w:rPr>
            </w:pPr>
            <w:r>
              <w:rPr>
                <w:rFonts w:ascii="Arial" w:cs="Arial" w:eastAsia="Arial" w:hAnsi="Arial"/>
                <w:sz w:val="15"/>
                <w:szCs w:val="15"/>
                <w:color w:val="auto"/>
                <w:w w:val="71"/>
              </w:rPr>
              <w:t>$</w:t>
            </w:r>
          </w:p>
        </w:tc>
        <w:tc>
          <w:tcPr>
            <w:tcW w:w="3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6"/>
                <w:szCs w:val="16"/>
                <w:color w:val="auto"/>
              </w:rPr>
              <w:t>86</w:t>
            </w:r>
          </w:p>
        </w:tc>
        <w:tc>
          <w:tcPr>
            <w:tcW w:w="220" w:type="dxa"/>
            <w:vAlign w:val="bottom"/>
            <w:tcBorders>
              <w:bottom w:val="single" w:sz="8" w:color="CFF0FC"/>
            </w:tcBorders>
            <w:shd w:val="clear" w:color="auto" w:fill="CFF0FC"/>
          </w:tcPr>
          <w:p>
            <w:pPr>
              <w:spacing w:after="0"/>
              <w:rPr>
                <w:sz w:val="17"/>
                <w:szCs w:val="17"/>
                <w:color w:val="auto"/>
              </w:rPr>
            </w:pPr>
          </w:p>
        </w:tc>
        <w:tc>
          <w:tcPr>
            <w:tcW w:w="40" w:type="dxa"/>
            <w:vAlign w:val="bottom"/>
            <w:tcBorders>
              <w:bottom w:val="single" w:sz="8" w:color="CFF0FC"/>
            </w:tcBorders>
            <w:shd w:val="clear" w:color="auto" w:fill="CFF0FC"/>
          </w:tcPr>
          <w:p>
            <w:pPr>
              <w:spacing w:after="0"/>
              <w:rPr>
                <w:sz w:val="17"/>
                <w:szCs w:val="17"/>
                <w:color w:val="auto"/>
              </w:rPr>
            </w:pPr>
          </w:p>
        </w:tc>
        <w:tc>
          <w:tcPr>
            <w:tcW w:w="23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r>
      <w:tr>
        <w:trPr>
          <w:trHeight w:val="20"/>
        </w:trPr>
        <w:tc>
          <w:tcPr>
            <w:tcW w:w="1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99"/>
        </w:trPr>
        <w:tc>
          <w:tcPr>
            <w:tcW w:w="1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5"/>
          </w:tcPr>
          <w:p>
            <w:pPr>
              <w:jc w:val="right"/>
              <w:spacing w:after="0"/>
              <w:rPr>
                <w:sz w:val="20"/>
                <w:szCs w:val="20"/>
                <w:color w:val="auto"/>
              </w:rPr>
            </w:pPr>
            <w:r>
              <w:rPr>
                <w:rFonts w:ascii="Arial" w:cs="Arial" w:eastAsia="Arial" w:hAnsi="Arial"/>
                <w:sz w:val="13"/>
                <w:szCs w:val="13"/>
                <w:b w:val="1"/>
                <w:bCs w:val="1"/>
                <w:color w:val="auto"/>
              </w:rPr>
              <w:t>As of December 31, 2016</w:t>
            </w:r>
          </w:p>
        </w:tc>
        <w:tc>
          <w:tcPr>
            <w:tcW w:w="2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29"/>
        </w:trPr>
        <w:tc>
          <w:tcPr>
            <w:tcW w:w="12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40" w:type="dxa"/>
            <w:vAlign w:val="bottom"/>
            <w:gridSpan w:val="3"/>
          </w:tcPr>
          <w:p>
            <w:pPr>
              <w:jc w:val="right"/>
              <w:ind w:right="260"/>
              <w:spacing w:after="0" w:line="129" w:lineRule="exact"/>
              <w:rPr>
                <w:sz w:val="20"/>
                <w:szCs w:val="20"/>
                <w:color w:val="auto"/>
              </w:rPr>
            </w:pPr>
            <w:r>
              <w:rPr>
                <w:rFonts w:ascii="Arial" w:cs="Arial" w:eastAsia="Arial" w:hAnsi="Arial"/>
                <w:sz w:val="13"/>
                <w:szCs w:val="13"/>
                <w:b w:val="1"/>
                <w:bCs w:val="1"/>
                <w:color w:val="auto"/>
              </w:rPr>
              <w:t>Gross Carrying</w:t>
            </w: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tcPr>
          <w:p>
            <w:pPr>
              <w:ind w:left="300"/>
              <w:spacing w:after="0" w:line="129" w:lineRule="exact"/>
              <w:rPr>
                <w:sz w:val="20"/>
                <w:szCs w:val="20"/>
                <w:color w:val="auto"/>
              </w:rPr>
            </w:pPr>
            <w:r>
              <w:rPr>
                <w:rFonts w:ascii="Arial" w:cs="Arial" w:eastAsia="Arial" w:hAnsi="Arial"/>
                <w:sz w:val="13"/>
                <w:szCs w:val="13"/>
                <w:b w:val="1"/>
                <w:bCs w:val="1"/>
                <w:color w:val="auto"/>
                <w:w w:val="95"/>
              </w:rPr>
              <w:t>Accumulated</w:t>
            </w: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380" w:type="dxa"/>
            <w:vAlign w:val="bottom"/>
          </w:tcPr>
          <w:p>
            <w:pPr>
              <w:jc w:val="center"/>
              <w:ind w:right="5"/>
              <w:spacing w:after="0" w:line="129" w:lineRule="exact"/>
              <w:rPr>
                <w:sz w:val="20"/>
                <w:szCs w:val="20"/>
                <w:color w:val="auto"/>
              </w:rPr>
            </w:pPr>
            <w:r>
              <w:rPr>
                <w:rFonts w:ascii="Arial" w:cs="Arial" w:eastAsia="Arial" w:hAnsi="Arial"/>
                <w:sz w:val="13"/>
                <w:szCs w:val="13"/>
                <w:b w:val="1"/>
                <w:bCs w:val="1"/>
                <w:color w:val="auto"/>
                <w:w w:val="89"/>
              </w:rPr>
              <w:t>Weighted-Average</w:t>
            </w:r>
          </w:p>
        </w:tc>
        <w:tc>
          <w:tcPr>
            <w:tcW w:w="120" w:type="dxa"/>
            <w:vAlign w:val="bottom"/>
          </w:tcPr>
          <w:p>
            <w:pPr>
              <w:spacing w:after="0"/>
              <w:rPr>
                <w:sz w:val="11"/>
                <w:szCs w:val="11"/>
                <w:color w:val="auto"/>
              </w:rPr>
            </w:pPr>
          </w:p>
        </w:tc>
      </w:tr>
      <w:tr>
        <w:trPr>
          <w:trHeight w:val="153"/>
        </w:trPr>
        <w:tc>
          <w:tcPr>
            <w:tcW w:w="3100" w:type="dxa"/>
            <w:vAlign w:val="bottom"/>
            <w:gridSpan w:val="2"/>
          </w:tcPr>
          <w:p>
            <w:pPr>
              <w:ind w:left="120"/>
              <w:spacing w:after="0"/>
              <w:rPr>
                <w:sz w:val="20"/>
                <w:szCs w:val="20"/>
                <w:color w:val="auto"/>
              </w:rPr>
            </w:pPr>
            <w:r>
              <w:rPr>
                <w:rFonts w:ascii="Arial" w:cs="Arial" w:eastAsia="Arial" w:hAnsi="Arial"/>
                <w:sz w:val="13"/>
                <w:szCs w:val="13"/>
                <w:color w:val="auto"/>
              </w:rPr>
              <w:t>(in millions)</w:t>
            </w:r>
          </w:p>
        </w:tc>
        <w:tc>
          <w:tcPr>
            <w:tcW w:w="60" w:type="dxa"/>
            <w:vAlign w:val="bottom"/>
          </w:tcPr>
          <w:p>
            <w:pPr>
              <w:spacing w:after="0"/>
              <w:rPr>
                <w:sz w:val="13"/>
                <w:szCs w:val="13"/>
                <w:color w:val="auto"/>
              </w:rPr>
            </w:pPr>
          </w:p>
        </w:tc>
        <w:tc>
          <w:tcPr>
            <w:tcW w:w="1060" w:type="dxa"/>
            <w:vAlign w:val="bottom"/>
          </w:tcPr>
          <w:p>
            <w:pPr>
              <w:jc w:val="right"/>
              <w:ind w:right="120"/>
              <w:spacing w:after="0"/>
              <w:rPr>
                <w:sz w:val="20"/>
                <w:szCs w:val="20"/>
                <w:color w:val="auto"/>
              </w:rPr>
            </w:pPr>
            <w:r>
              <w:rPr>
                <w:rFonts w:ascii="Arial" w:cs="Arial" w:eastAsia="Arial" w:hAnsi="Arial"/>
                <w:sz w:val="13"/>
                <w:szCs w:val="13"/>
                <w:b w:val="1"/>
                <w:bCs w:val="1"/>
                <w:color w:val="auto"/>
              </w:rPr>
              <w:t>Amount</w:t>
            </w: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0" w:type="dxa"/>
            <w:vAlign w:val="bottom"/>
          </w:tcPr>
          <w:p>
            <w:pPr>
              <w:ind w:left="300"/>
              <w:spacing w:after="0"/>
              <w:rPr>
                <w:sz w:val="20"/>
                <w:szCs w:val="20"/>
                <w:color w:val="auto"/>
              </w:rPr>
            </w:pPr>
            <w:r>
              <w:rPr>
                <w:rFonts w:ascii="Arial" w:cs="Arial" w:eastAsia="Arial" w:hAnsi="Arial"/>
                <w:sz w:val="13"/>
                <w:szCs w:val="13"/>
                <w:b w:val="1"/>
                <w:bCs w:val="1"/>
                <w:color w:val="auto"/>
                <w:w w:val="98"/>
              </w:rPr>
              <w:t>Amortization</w:t>
            </w: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80" w:type="dxa"/>
            <w:vAlign w:val="bottom"/>
          </w:tcPr>
          <w:p>
            <w:pPr>
              <w:jc w:val="right"/>
              <w:ind w:right="270"/>
              <w:spacing w:after="0"/>
              <w:rPr>
                <w:sz w:val="20"/>
                <w:szCs w:val="20"/>
                <w:color w:val="auto"/>
              </w:rPr>
            </w:pPr>
            <w:r>
              <w:rPr>
                <w:rFonts w:ascii="Arial" w:cs="Arial" w:eastAsia="Arial" w:hAnsi="Arial"/>
                <w:sz w:val="13"/>
                <w:szCs w:val="13"/>
                <w:b w:val="1"/>
                <w:bCs w:val="1"/>
                <w:color w:val="auto"/>
              </w:rPr>
              <w:t>Net</w:t>
            </w: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5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2"/>
              </w:rPr>
              <w:t>Amortization Period</w:t>
            </w:r>
          </w:p>
        </w:tc>
      </w:tr>
      <w:tr>
        <w:trPr>
          <w:trHeight w:val="198"/>
        </w:trPr>
        <w:tc>
          <w:tcPr>
            <w:tcW w:w="120" w:type="dxa"/>
            <w:vAlign w:val="bottom"/>
          </w:tcPr>
          <w:p>
            <w:pPr>
              <w:spacing w:after="0"/>
              <w:rPr>
                <w:sz w:val="17"/>
                <w:szCs w:val="17"/>
                <w:color w:val="auto"/>
              </w:rPr>
            </w:pPr>
          </w:p>
        </w:tc>
        <w:tc>
          <w:tcPr>
            <w:tcW w:w="29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Technology-based</w:t>
            </w:r>
          </w:p>
        </w:tc>
        <w:tc>
          <w:tcPr>
            <w:tcW w:w="60" w:type="dxa"/>
            <w:vAlign w:val="bottom"/>
            <w:tcBorders>
              <w:top w:val="single" w:sz="8" w:color="CFF0FC"/>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jc w:val="right"/>
              <w:ind w:right="940"/>
              <w:spacing w:after="0"/>
              <w:rPr>
                <w:sz w:val="20"/>
                <w:szCs w:val="20"/>
                <w:color w:val="auto"/>
              </w:rPr>
            </w:pPr>
            <w:r>
              <w:rPr>
                <w:rFonts w:ascii="Arial" w:cs="Arial" w:eastAsia="Arial" w:hAnsi="Arial"/>
                <w:sz w:val="10"/>
                <w:szCs w:val="10"/>
                <w:color w:val="auto"/>
                <w:w w:val="71"/>
              </w:rPr>
              <w:t>$</w:t>
            </w:r>
          </w:p>
        </w:tc>
        <w:tc>
          <w:tcPr>
            <w:tcW w:w="28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6"/>
                <w:szCs w:val="16"/>
                <w:color w:val="auto"/>
                <w:w w:val="89"/>
              </w:rPr>
              <w:t>122</w:t>
            </w:r>
          </w:p>
        </w:tc>
        <w:tc>
          <w:tcPr>
            <w:tcW w:w="260" w:type="dxa"/>
            <w:vAlign w:val="bottom"/>
            <w:tcBorders>
              <w:top w:val="single" w:sz="8" w:color="CFF0FC"/>
            </w:tcBorders>
            <w:gridSpan w:val="2"/>
            <w:shd w:val="clear" w:color="auto" w:fill="CFF0FC"/>
          </w:tcPr>
          <w:p>
            <w:pPr>
              <w:spacing w:after="0"/>
              <w:rPr>
                <w:sz w:val="17"/>
                <w:szCs w:val="17"/>
                <w:color w:val="auto"/>
              </w:rPr>
            </w:pPr>
          </w:p>
        </w:tc>
        <w:tc>
          <w:tcPr>
            <w:tcW w:w="1100" w:type="dxa"/>
            <w:vAlign w:val="bottom"/>
            <w:tcBorders>
              <w:top w:val="single" w:sz="8" w:color="auto"/>
            </w:tcBorders>
            <w:shd w:val="clear" w:color="auto" w:fill="CFF0FC"/>
          </w:tcPr>
          <w:p>
            <w:pPr>
              <w:jc w:val="right"/>
              <w:ind w:right="952"/>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57</w:t>
            </w:r>
          </w:p>
        </w:tc>
        <w:tc>
          <w:tcPr>
            <w:tcW w:w="240" w:type="dxa"/>
            <w:vAlign w:val="bottom"/>
            <w:tcBorders>
              <w:top w:val="single" w:sz="8" w:color="CFF0FC"/>
            </w:tcBorders>
            <w:gridSpan w:val="2"/>
            <w:shd w:val="clear" w:color="auto" w:fill="CFF0FC"/>
          </w:tcPr>
          <w:p>
            <w:pPr>
              <w:spacing w:after="0"/>
              <w:rPr>
                <w:sz w:val="17"/>
                <w:szCs w:val="17"/>
                <w:color w:val="auto"/>
              </w:rPr>
            </w:pPr>
          </w:p>
        </w:tc>
        <w:tc>
          <w:tcPr>
            <w:tcW w:w="1100" w:type="dxa"/>
            <w:vAlign w:val="bottom"/>
            <w:tcBorders>
              <w:top w:val="single" w:sz="8" w:color="auto"/>
            </w:tcBorders>
            <w:gridSpan w:val="2"/>
            <w:shd w:val="clear" w:color="auto" w:fill="CFF0FC"/>
          </w:tcPr>
          <w:p>
            <w:pPr>
              <w:jc w:val="right"/>
              <w:ind w:right="950"/>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65</w:t>
            </w:r>
          </w:p>
        </w:tc>
        <w:tc>
          <w:tcPr>
            <w:tcW w:w="4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40" w:type="dxa"/>
            <w:vAlign w:val="bottom"/>
            <w:tcBorders>
              <w:top w:val="single" w:sz="8" w:color="auto"/>
            </w:tcBorders>
            <w:shd w:val="clear" w:color="auto" w:fill="CFF0FC"/>
          </w:tcPr>
          <w:p>
            <w:pPr>
              <w:spacing w:after="0"/>
              <w:rPr>
                <w:sz w:val="17"/>
                <w:szCs w:val="17"/>
                <w:color w:val="auto"/>
              </w:rPr>
            </w:pPr>
          </w:p>
        </w:tc>
        <w:tc>
          <w:tcPr>
            <w:tcW w:w="2380" w:type="dxa"/>
            <w:vAlign w:val="bottom"/>
            <w:tcBorders>
              <w:top w:val="single" w:sz="8" w:color="auto"/>
            </w:tcBorders>
            <w:shd w:val="clear" w:color="auto" w:fill="CFF0FC"/>
          </w:tcPr>
          <w:p>
            <w:pPr>
              <w:jc w:val="center"/>
              <w:ind w:right="5"/>
              <w:spacing w:after="0"/>
              <w:rPr>
                <w:sz w:val="20"/>
                <w:szCs w:val="20"/>
                <w:color w:val="auto"/>
              </w:rPr>
            </w:pPr>
            <w:r>
              <w:rPr>
                <w:rFonts w:ascii="Arial" w:cs="Arial" w:eastAsia="Arial" w:hAnsi="Arial"/>
                <w:sz w:val="16"/>
                <w:szCs w:val="16"/>
                <w:color w:val="auto"/>
                <w:w w:val="87"/>
              </w:rPr>
              <w:t>6 years</w:t>
            </w:r>
          </w:p>
        </w:tc>
        <w:tc>
          <w:tcPr>
            <w:tcW w:w="120" w:type="dxa"/>
            <w:vAlign w:val="bottom"/>
          </w:tcPr>
          <w:p>
            <w:pPr>
              <w:spacing w:after="0"/>
              <w:rPr>
                <w:sz w:val="17"/>
                <w:szCs w:val="17"/>
                <w:color w:val="auto"/>
              </w:rPr>
            </w:pPr>
          </w:p>
        </w:tc>
      </w:tr>
      <w:tr>
        <w:trPr>
          <w:trHeight w:val="205"/>
        </w:trPr>
        <w:tc>
          <w:tcPr>
            <w:tcW w:w="120" w:type="dxa"/>
            <w:vAlign w:val="bottom"/>
          </w:tcPr>
          <w:p>
            <w:pPr>
              <w:spacing w:after="0"/>
              <w:rPr>
                <w:sz w:val="17"/>
                <w:szCs w:val="17"/>
                <w:color w:val="auto"/>
              </w:rPr>
            </w:pPr>
          </w:p>
        </w:tc>
        <w:tc>
          <w:tcPr>
            <w:tcW w:w="2980" w:type="dxa"/>
            <w:vAlign w:val="bottom"/>
          </w:tcPr>
          <w:p>
            <w:pPr>
              <w:spacing w:after="0"/>
              <w:rPr>
                <w:sz w:val="20"/>
                <w:szCs w:val="20"/>
                <w:color w:val="auto"/>
              </w:rPr>
            </w:pPr>
            <w:r>
              <w:rPr>
                <w:rFonts w:ascii="Arial" w:cs="Arial" w:eastAsia="Arial" w:hAnsi="Arial"/>
                <w:sz w:val="16"/>
                <w:szCs w:val="16"/>
                <w:color w:val="auto"/>
              </w:rPr>
              <w:t>Kodak trade name</w:t>
            </w:r>
          </w:p>
        </w:tc>
        <w:tc>
          <w:tcPr>
            <w:tcW w:w="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6"/>
                <w:szCs w:val="16"/>
                <w:color w:val="auto"/>
              </w:rPr>
              <w:t>40</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40</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380" w:type="dxa"/>
            <w:vAlign w:val="bottom"/>
          </w:tcPr>
          <w:p>
            <w:pPr>
              <w:jc w:val="center"/>
              <w:spacing w:after="0"/>
              <w:rPr>
                <w:sz w:val="20"/>
                <w:szCs w:val="20"/>
                <w:color w:val="auto"/>
              </w:rPr>
            </w:pPr>
            <w:r>
              <w:rPr>
                <w:rFonts w:ascii="Arial" w:cs="Arial" w:eastAsia="Arial" w:hAnsi="Arial"/>
                <w:sz w:val="16"/>
                <w:szCs w:val="16"/>
                <w:color w:val="auto"/>
                <w:w w:val="97"/>
              </w:rPr>
              <w:t>Indefinite life</w:t>
            </w:r>
          </w:p>
        </w:tc>
        <w:tc>
          <w:tcPr>
            <w:tcW w:w="120" w:type="dxa"/>
            <w:vAlign w:val="bottom"/>
          </w:tcPr>
          <w:p>
            <w:pPr>
              <w:spacing w:after="0"/>
              <w:rPr>
                <w:sz w:val="17"/>
                <w:szCs w:val="17"/>
                <w:color w:val="auto"/>
              </w:rPr>
            </w:pPr>
          </w:p>
        </w:tc>
      </w:tr>
      <w:tr>
        <w:trPr>
          <w:trHeight w:val="205"/>
        </w:trPr>
        <w:tc>
          <w:tcPr>
            <w:tcW w:w="120" w:type="dxa"/>
            <w:vAlign w:val="bottom"/>
          </w:tcPr>
          <w:p>
            <w:pPr>
              <w:spacing w:after="0"/>
              <w:rPr>
                <w:sz w:val="17"/>
                <w:szCs w:val="17"/>
                <w:color w:val="auto"/>
              </w:rPr>
            </w:pPr>
          </w:p>
        </w:tc>
        <w:tc>
          <w:tcPr>
            <w:tcW w:w="2980" w:type="dxa"/>
            <w:vAlign w:val="bottom"/>
            <w:shd w:val="clear" w:color="auto" w:fill="CFF0FC"/>
          </w:tcPr>
          <w:p>
            <w:pPr>
              <w:spacing w:after="0"/>
              <w:rPr>
                <w:sz w:val="20"/>
                <w:szCs w:val="20"/>
                <w:color w:val="auto"/>
              </w:rPr>
            </w:pPr>
            <w:r>
              <w:rPr>
                <w:rFonts w:ascii="Arial" w:cs="Arial" w:eastAsia="Arial" w:hAnsi="Arial"/>
                <w:sz w:val="16"/>
                <w:szCs w:val="16"/>
                <w:color w:val="auto"/>
              </w:rPr>
              <w:t>Customer-related</w:t>
            </w:r>
          </w:p>
        </w:tc>
        <w:tc>
          <w:tcPr>
            <w:tcW w:w="6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26</w:t>
            </w:r>
          </w:p>
        </w:tc>
        <w:tc>
          <w:tcPr>
            <w:tcW w:w="2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w:t>
            </w: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w:t>
            </w:r>
          </w:p>
        </w:tc>
        <w:tc>
          <w:tcPr>
            <w:tcW w:w="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380" w:type="dxa"/>
            <w:vAlign w:val="bottom"/>
            <w:shd w:val="clear" w:color="auto" w:fill="CFF0FC"/>
          </w:tcPr>
          <w:p>
            <w:pPr>
              <w:jc w:val="center"/>
              <w:ind w:right="5"/>
              <w:spacing w:after="0"/>
              <w:rPr>
                <w:sz w:val="20"/>
                <w:szCs w:val="20"/>
                <w:color w:val="auto"/>
              </w:rPr>
            </w:pPr>
            <w:r>
              <w:rPr>
                <w:rFonts w:ascii="Arial" w:cs="Arial" w:eastAsia="Arial" w:hAnsi="Arial"/>
                <w:sz w:val="16"/>
                <w:szCs w:val="16"/>
                <w:color w:val="auto"/>
                <w:w w:val="87"/>
              </w:rPr>
              <w:t>6 years</w:t>
            </w:r>
          </w:p>
        </w:tc>
        <w:tc>
          <w:tcPr>
            <w:tcW w:w="120" w:type="dxa"/>
            <w:vAlign w:val="bottom"/>
          </w:tcPr>
          <w:p>
            <w:pPr>
              <w:spacing w:after="0"/>
              <w:rPr>
                <w:sz w:val="17"/>
                <w:szCs w:val="17"/>
                <w:color w:val="auto"/>
              </w:rPr>
            </w:pPr>
          </w:p>
        </w:tc>
      </w:tr>
      <w:tr>
        <w:trPr>
          <w:trHeight w:val="205"/>
        </w:trPr>
        <w:tc>
          <w:tcPr>
            <w:tcW w:w="120" w:type="dxa"/>
            <w:vAlign w:val="bottom"/>
          </w:tcPr>
          <w:p>
            <w:pPr>
              <w:spacing w:after="0"/>
              <w:rPr>
                <w:sz w:val="17"/>
                <w:szCs w:val="17"/>
                <w:color w:val="auto"/>
              </w:rPr>
            </w:pPr>
          </w:p>
        </w:tc>
        <w:tc>
          <w:tcPr>
            <w:tcW w:w="29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Other</w:t>
            </w:r>
          </w:p>
        </w:tc>
        <w:tc>
          <w:tcPr>
            <w:tcW w:w="60" w:type="dxa"/>
            <w:vAlign w:val="bottom"/>
            <w:tcBorders>
              <w:bottom w:val="single" w:sz="8" w:color="CFF0FC"/>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2</w:t>
            </w:r>
          </w:p>
        </w:tc>
        <w:tc>
          <w:tcPr>
            <w:tcW w:w="240" w:type="dxa"/>
            <w:vAlign w:val="bottom"/>
            <w:tcBorders>
              <w:bottom w:val="single" w:sz="8" w:color="CFF0FC"/>
            </w:tcBorders>
          </w:tcPr>
          <w:p>
            <w:pPr>
              <w:spacing w:after="0"/>
              <w:rPr>
                <w:sz w:val="17"/>
                <w:szCs w:val="17"/>
                <w:color w:val="auto"/>
              </w:rPr>
            </w:pPr>
          </w:p>
        </w:tc>
        <w:tc>
          <w:tcPr>
            <w:tcW w:w="20" w:type="dxa"/>
            <w:vAlign w:val="bottom"/>
            <w:tcBorders>
              <w:bottom w:val="single" w:sz="8" w:color="CFF0FC"/>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FF0FC"/>
            </w:tcBorders>
          </w:tcPr>
          <w:p>
            <w:pPr>
              <w:spacing w:after="0"/>
              <w:rPr>
                <w:sz w:val="17"/>
                <w:szCs w:val="17"/>
                <w:color w:val="auto"/>
              </w:rPr>
            </w:pPr>
          </w:p>
        </w:tc>
        <w:tc>
          <w:tcPr>
            <w:tcW w:w="220" w:type="dxa"/>
            <w:vAlign w:val="bottom"/>
            <w:tcBorders>
              <w:bottom w:val="single" w:sz="8" w:color="CFF0FC"/>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40" w:type="dxa"/>
            <w:vAlign w:val="bottom"/>
            <w:tcBorders>
              <w:bottom w:val="single" w:sz="8" w:color="CFF0FC"/>
            </w:tcBorders>
          </w:tcPr>
          <w:p>
            <w:pPr>
              <w:spacing w:after="0"/>
              <w:rPr>
                <w:sz w:val="17"/>
                <w:szCs w:val="17"/>
                <w:color w:val="auto"/>
              </w:rPr>
            </w:pPr>
          </w:p>
        </w:tc>
        <w:tc>
          <w:tcPr>
            <w:tcW w:w="220" w:type="dxa"/>
            <w:vAlign w:val="bottom"/>
            <w:tcBorders>
              <w:bottom w:val="single" w:sz="8" w:color="CFF0FC"/>
            </w:tcBorders>
          </w:tcPr>
          <w:p>
            <w:pPr>
              <w:spacing w:after="0"/>
              <w:rPr>
                <w:sz w:val="17"/>
                <w:szCs w:val="17"/>
                <w:color w:val="auto"/>
              </w:rPr>
            </w:pPr>
          </w:p>
        </w:tc>
        <w:tc>
          <w:tcPr>
            <w:tcW w:w="40" w:type="dxa"/>
            <w:vAlign w:val="bottom"/>
            <w:tcBorders>
              <w:bottom w:val="single" w:sz="8" w:color="CFF0FC"/>
            </w:tcBorders>
          </w:tcPr>
          <w:p>
            <w:pPr>
              <w:spacing w:after="0"/>
              <w:rPr>
                <w:sz w:val="17"/>
                <w:szCs w:val="17"/>
                <w:color w:val="auto"/>
              </w:rPr>
            </w:pPr>
          </w:p>
        </w:tc>
        <w:tc>
          <w:tcPr>
            <w:tcW w:w="2380" w:type="dxa"/>
            <w:vAlign w:val="bottom"/>
            <w:tcBorders>
              <w:bottom w:val="single" w:sz="8" w:color="CFF0FC"/>
            </w:tcBorders>
          </w:tcPr>
          <w:p>
            <w:pPr>
              <w:jc w:val="center"/>
              <w:ind w:right="5"/>
              <w:spacing w:after="0"/>
              <w:rPr>
                <w:sz w:val="20"/>
                <w:szCs w:val="20"/>
                <w:color w:val="auto"/>
              </w:rPr>
            </w:pPr>
            <w:r>
              <w:rPr>
                <w:rFonts w:ascii="Arial" w:cs="Arial" w:eastAsia="Arial" w:hAnsi="Arial"/>
                <w:sz w:val="16"/>
                <w:szCs w:val="16"/>
                <w:color w:val="auto"/>
                <w:w w:val="87"/>
              </w:rPr>
              <w:t>21 years</w:t>
            </w:r>
          </w:p>
        </w:tc>
        <w:tc>
          <w:tcPr>
            <w:tcW w:w="120" w:type="dxa"/>
            <w:vAlign w:val="bottom"/>
          </w:tcPr>
          <w:p>
            <w:pPr>
              <w:spacing w:after="0"/>
              <w:rPr>
                <w:sz w:val="17"/>
                <w:szCs w:val="17"/>
                <w:color w:val="auto"/>
              </w:rPr>
            </w:pPr>
          </w:p>
        </w:tc>
      </w:tr>
      <w:tr>
        <w:trPr>
          <w:trHeight w:val="198"/>
        </w:trPr>
        <w:tc>
          <w:tcPr>
            <w:tcW w:w="120" w:type="dxa"/>
            <w:vAlign w:val="bottom"/>
          </w:tcPr>
          <w:p>
            <w:pPr>
              <w:spacing w:after="0"/>
              <w:rPr>
                <w:sz w:val="17"/>
                <w:szCs w:val="17"/>
                <w:color w:val="auto"/>
              </w:rPr>
            </w:pPr>
          </w:p>
        </w:tc>
        <w:tc>
          <w:tcPr>
            <w:tcW w:w="29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Total</w:t>
            </w:r>
          </w:p>
        </w:tc>
        <w:tc>
          <w:tcPr>
            <w:tcW w:w="6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ind w:right="940"/>
              <w:spacing w:after="0"/>
              <w:rPr>
                <w:sz w:val="20"/>
                <w:szCs w:val="20"/>
                <w:color w:val="auto"/>
              </w:rPr>
            </w:pPr>
            <w:r>
              <w:rPr>
                <w:rFonts w:ascii="Arial" w:cs="Arial" w:eastAsia="Arial" w:hAnsi="Arial"/>
                <w:sz w:val="10"/>
                <w:szCs w:val="10"/>
                <w:color w:val="auto"/>
                <w:w w:val="71"/>
              </w:rPr>
              <w:t>$</w:t>
            </w:r>
          </w:p>
        </w:tc>
        <w:tc>
          <w:tcPr>
            <w:tcW w:w="28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6"/>
                <w:szCs w:val="16"/>
                <w:color w:val="auto"/>
                <w:w w:val="89"/>
              </w:rPr>
              <w:t>190</w:t>
            </w:r>
          </w:p>
        </w:tc>
        <w:tc>
          <w:tcPr>
            <w:tcW w:w="260" w:type="dxa"/>
            <w:vAlign w:val="bottom"/>
            <w:tcBorders>
              <w:bottom w:val="single" w:sz="8" w:color="CFF0FC"/>
            </w:tcBorders>
            <w:gridSpan w:val="2"/>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ind w:right="952"/>
              <w:spacing w:after="0"/>
              <w:rPr>
                <w:sz w:val="20"/>
                <w:szCs w:val="20"/>
                <w:color w:val="auto"/>
              </w:rPr>
            </w:pPr>
            <w:r>
              <w:rPr>
                <w:rFonts w:ascii="Arial" w:cs="Arial" w:eastAsia="Arial" w:hAnsi="Arial"/>
                <w:sz w:val="15"/>
                <w:szCs w:val="15"/>
                <w:color w:val="auto"/>
                <w:w w:val="71"/>
              </w:rPr>
              <w:t>$</w:t>
            </w: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69</w:t>
            </w:r>
          </w:p>
        </w:tc>
        <w:tc>
          <w:tcPr>
            <w:tcW w:w="240" w:type="dxa"/>
            <w:vAlign w:val="bottom"/>
            <w:tcBorders>
              <w:bottom w:val="single" w:sz="8" w:color="CFF0FC"/>
            </w:tcBorders>
            <w:gridSpan w:val="2"/>
            <w:shd w:val="clear" w:color="auto" w:fill="CFF0FC"/>
          </w:tcPr>
          <w:p>
            <w:pPr>
              <w:spacing w:after="0"/>
              <w:rPr>
                <w:sz w:val="17"/>
                <w:szCs w:val="17"/>
                <w:color w:val="auto"/>
              </w:rPr>
            </w:pPr>
          </w:p>
        </w:tc>
        <w:tc>
          <w:tcPr>
            <w:tcW w:w="1100" w:type="dxa"/>
            <w:vAlign w:val="bottom"/>
            <w:tcBorders>
              <w:bottom w:val="single" w:sz="8" w:color="auto"/>
            </w:tcBorders>
            <w:gridSpan w:val="2"/>
            <w:shd w:val="clear" w:color="auto" w:fill="CFF0FC"/>
          </w:tcPr>
          <w:p>
            <w:pPr>
              <w:jc w:val="right"/>
              <w:ind w:right="950"/>
              <w:spacing w:after="0"/>
              <w:rPr>
                <w:sz w:val="20"/>
                <w:szCs w:val="20"/>
                <w:color w:val="auto"/>
              </w:rPr>
            </w:pPr>
            <w:r>
              <w:rPr>
                <w:rFonts w:ascii="Arial" w:cs="Arial" w:eastAsia="Arial" w:hAnsi="Arial"/>
                <w:sz w:val="15"/>
                <w:szCs w:val="15"/>
                <w:color w:val="auto"/>
                <w:w w:val="71"/>
              </w:rPr>
              <w:t>$</w:t>
            </w: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2"/>
              </w:rPr>
              <w:t>121</w:t>
            </w:r>
          </w:p>
        </w:tc>
        <w:tc>
          <w:tcPr>
            <w:tcW w:w="4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40" w:type="dxa"/>
            <w:vAlign w:val="bottom"/>
            <w:tcBorders>
              <w:bottom w:val="single" w:sz="8" w:color="CFF0FC"/>
            </w:tcBorders>
            <w:shd w:val="clear" w:color="auto" w:fill="CFF0FC"/>
          </w:tcPr>
          <w:p>
            <w:pPr>
              <w:spacing w:after="0"/>
              <w:rPr>
                <w:sz w:val="17"/>
                <w:szCs w:val="17"/>
                <w:color w:val="auto"/>
              </w:rPr>
            </w:pPr>
          </w:p>
        </w:tc>
        <w:tc>
          <w:tcPr>
            <w:tcW w:w="2380" w:type="dxa"/>
            <w:vAlign w:val="bottom"/>
            <w:tcBorders>
              <w:bottom w:val="single" w:sz="8" w:color="CFF0FC"/>
            </w:tcBorders>
            <w:shd w:val="clear" w:color="auto" w:fill="CFF0FC"/>
          </w:tcPr>
          <w:p>
            <w:pPr>
              <w:spacing w:after="0"/>
              <w:rPr>
                <w:sz w:val="17"/>
                <w:szCs w:val="17"/>
                <w:color w:val="auto"/>
              </w:rPr>
            </w:pPr>
          </w:p>
        </w:tc>
        <w:tc>
          <w:tcPr>
            <w:tcW w:w="120" w:type="dxa"/>
            <w:vAlign w:val="bottom"/>
          </w:tcPr>
          <w:p>
            <w:pPr>
              <w:spacing w:after="0"/>
              <w:rPr>
                <w:sz w:val="17"/>
                <w:szCs w:val="17"/>
                <w:color w:val="auto"/>
              </w:rPr>
            </w:pPr>
          </w:p>
        </w:tc>
      </w:tr>
      <w:tr>
        <w:trPr>
          <w:trHeight w:val="20"/>
        </w:trPr>
        <w:tc>
          <w:tcPr>
            <w:tcW w:w="1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5" w:lineRule="exact"/>
        <w:rPr>
          <w:sz w:val="20"/>
          <w:szCs w:val="20"/>
          <w:color w:val="auto"/>
        </w:rPr>
      </w:pPr>
    </w:p>
    <w:p>
      <w:pPr>
        <w:ind w:right="140"/>
        <w:spacing w:after="0" w:line="315" w:lineRule="auto"/>
        <w:rPr>
          <w:sz w:val="20"/>
          <w:szCs w:val="20"/>
          <w:color w:val="auto"/>
        </w:rPr>
      </w:pPr>
      <w:r>
        <w:rPr>
          <w:rFonts w:ascii="Arial" w:cs="Arial" w:eastAsia="Arial" w:hAnsi="Arial"/>
          <w:sz w:val="15"/>
          <w:szCs w:val="15"/>
          <w:color w:val="auto"/>
        </w:rPr>
        <w:t>In the fourth quarter of 2017 and the first quarter of 2016, Kodak concluded the carrying value of the Kodak trade name exceeded its fair value. Pre-tax impairment charges of $2 million and $5 million, respectively, are included in Other operating expense (income), net in the Consolidated Statement of Operations.</w:t>
      </w:r>
    </w:p>
    <w:p>
      <w:pPr>
        <w:spacing w:after="0" w:line="152" w:lineRule="exact"/>
        <w:rPr>
          <w:sz w:val="20"/>
          <w:szCs w:val="20"/>
          <w:color w:val="auto"/>
        </w:rPr>
      </w:pPr>
    </w:p>
    <w:p>
      <w:pPr>
        <w:ind w:right="180"/>
        <w:spacing w:after="0" w:line="280" w:lineRule="auto"/>
        <w:rPr>
          <w:sz w:val="20"/>
          <w:szCs w:val="20"/>
          <w:color w:val="auto"/>
        </w:rPr>
      </w:pPr>
      <w:r>
        <w:rPr>
          <w:rFonts w:ascii="Arial" w:cs="Arial" w:eastAsia="Arial" w:hAnsi="Arial"/>
          <w:sz w:val="16"/>
          <w:szCs w:val="16"/>
          <w:color w:val="auto"/>
        </w:rPr>
        <w:t>In the third quarter of 2017, due to canceling its copper mesh touch screen program, Kodak wrote off related intangible assets with a gross carrying amount of $33 million and accumulated amortization of $21 million and recorded an impairment charge of $12 million.</w:t>
      </w:r>
    </w:p>
    <w:p>
      <w:pPr>
        <w:spacing w:after="0" w:line="175"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During the first quarter of 2017, Kodak recorded a pre-tax charge of $4 million to adjust the Prosper intangible asset carrying value to the amount that would have been recorded had the Prosper intangible assets been continuously classified as held and used. Refer to Note 13, “Other Operating Expense (Income), net” and Note 25, “Discontinued Operations”.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62865</wp:posOffset>
            </wp:positionV>
            <wp:extent cx="7301865" cy="406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301865" cy="4064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67" w:name="page68"/>
    <w:bookmarkEnd w:id="67"/>
    <w:p>
      <w:pPr>
        <w:spacing w:after="0" w:line="280" w:lineRule="auto"/>
        <w:rPr>
          <w:sz w:val="20"/>
          <w:szCs w:val="20"/>
          <w:color w:val="auto"/>
        </w:rPr>
      </w:pPr>
      <w:r>
        <w:rPr>
          <w:rFonts w:ascii="Arial" w:cs="Arial" w:eastAsia="Arial" w:hAnsi="Arial"/>
          <w:sz w:val="16"/>
          <w:szCs w:val="16"/>
          <w:color w:val="auto"/>
        </w:rPr>
        <w:t>In the second quarter of 2016, in two separate transactions, Kodak sold certain assets in the Design2Launch and brand protection businesses. The assets sold included intangible assets with a gross carrying amount of $5 million and accumulated amortization of $2 million.</w:t>
      </w:r>
    </w:p>
    <w:p>
      <w:pPr>
        <w:spacing w:after="0" w:line="175" w:lineRule="exact"/>
        <w:rPr>
          <w:sz w:val="20"/>
          <w:szCs w:val="20"/>
          <w:color w:val="auto"/>
        </w:rPr>
      </w:pPr>
    </w:p>
    <w:p>
      <w:pPr>
        <w:jc w:val="both"/>
        <w:ind w:right="80"/>
        <w:spacing w:after="0" w:line="266" w:lineRule="auto"/>
        <w:rPr>
          <w:sz w:val="20"/>
          <w:szCs w:val="20"/>
          <w:color w:val="auto"/>
        </w:rPr>
      </w:pPr>
      <w:r>
        <w:rPr>
          <w:rFonts w:ascii="Arial" w:cs="Arial" w:eastAsia="Arial" w:hAnsi="Arial"/>
          <w:sz w:val="16"/>
          <w:szCs w:val="16"/>
          <w:color w:val="auto"/>
        </w:rPr>
        <w:t>In the first quarter of 2016, due to the exit of its position in silver metal mesh touch screen development, Kodak wrote off intangible assets with a gross carrying amount of $14 million and accumulated amortization of $6 million. An impairment charge of $8 million was recorded in Other operating expense (income), net in the Consolidated Statement of Operations.</w:t>
      </w:r>
    </w:p>
    <w:p>
      <w:pPr>
        <w:spacing w:after="0" w:line="186" w:lineRule="exact"/>
        <w:rPr>
          <w:sz w:val="20"/>
          <w:szCs w:val="20"/>
          <w:color w:val="auto"/>
        </w:rPr>
      </w:pPr>
    </w:p>
    <w:p>
      <w:pPr>
        <w:spacing w:after="0"/>
        <w:rPr>
          <w:sz w:val="20"/>
          <w:szCs w:val="20"/>
          <w:color w:val="auto"/>
        </w:rPr>
      </w:pPr>
      <w:r>
        <w:rPr>
          <w:rFonts w:ascii="Arial" w:cs="Arial" w:eastAsia="Arial" w:hAnsi="Arial"/>
          <w:sz w:val="15"/>
          <w:szCs w:val="15"/>
          <w:color w:val="auto"/>
        </w:rPr>
        <w:t>Amortization expense related to intangible assets was $18 million, $19 million and $25 million for the years ended December 31, 2017, 2016 and 2015, respectively.</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Estimated future amortization expense related to intangible assets that are currently being amortized as of December 31, 2017 was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20" w:type="dxa"/>
            <w:vAlign w:val="bottom"/>
          </w:tcPr>
          <w:p>
            <w:pPr>
              <w:spacing w:after="0"/>
              <w:rPr>
                <w:sz w:val="13"/>
                <w:szCs w:val="13"/>
                <w:color w:val="auto"/>
              </w:rPr>
            </w:pPr>
          </w:p>
        </w:tc>
        <w:tc>
          <w:tcPr>
            <w:tcW w:w="4240" w:type="dxa"/>
            <w:vAlign w:val="bottom"/>
            <w:gridSpan w:val="2"/>
          </w:tcPr>
          <w:p>
            <w:pPr>
              <w:ind w:left="560"/>
              <w:spacing w:after="0"/>
              <w:rPr>
                <w:sz w:val="20"/>
                <w:szCs w:val="20"/>
                <w:color w:val="auto"/>
              </w:rPr>
            </w:pPr>
            <w:r>
              <w:rPr>
                <w:rFonts w:ascii="Arial" w:cs="Arial" w:eastAsia="Arial" w:hAnsi="Arial"/>
                <w:sz w:val="13"/>
                <w:szCs w:val="13"/>
                <w:color w:val="auto"/>
              </w:rPr>
              <w:t>(in millions)</w:t>
            </w:r>
          </w:p>
        </w:tc>
        <w:tc>
          <w:tcPr>
            <w:tcW w:w="1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17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660" w:type="dxa"/>
            <w:vAlign w:val="bottom"/>
            <w:shd w:val="clear" w:color="auto" w:fill="CFF0FC"/>
          </w:tcPr>
          <w:p>
            <w:pPr>
              <w:spacing w:after="0"/>
              <w:rPr>
                <w:sz w:val="20"/>
                <w:szCs w:val="20"/>
                <w:color w:val="auto"/>
              </w:rPr>
            </w:pPr>
            <w:r>
              <w:rPr>
                <w:rFonts w:ascii="Arial" w:cs="Arial" w:eastAsia="Arial" w:hAnsi="Arial"/>
                <w:sz w:val="16"/>
                <w:szCs w:val="16"/>
                <w:color w:val="auto"/>
              </w:rPr>
              <w:t>2018</w:t>
            </w:r>
          </w:p>
        </w:tc>
        <w:tc>
          <w:tcPr>
            <w:tcW w:w="1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29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4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12</w:t>
            </w: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7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660" w:type="dxa"/>
            <w:vAlign w:val="bottom"/>
          </w:tcPr>
          <w:p>
            <w:pPr>
              <w:spacing w:after="0"/>
              <w:rPr>
                <w:sz w:val="20"/>
                <w:szCs w:val="20"/>
                <w:color w:val="auto"/>
              </w:rPr>
            </w:pPr>
            <w:r>
              <w:rPr>
                <w:rFonts w:ascii="Arial" w:cs="Arial" w:eastAsia="Arial" w:hAnsi="Arial"/>
                <w:sz w:val="16"/>
                <w:szCs w:val="16"/>
                <w:color w:val="auto"/>
              </w:rPr>
              <w:t>2019</w:t>
            </w: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7</w:t>
            </w: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7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660" w:type="dxa"/>
            <w:vAlign w:val="bottom"/>
            <w:shd w:val="clear" w:color="auto" w:fill="CFF0FC"/>
          </w:tcPr>
          <w:p>
            <w:pPr>
              <w:spacing w:after="0"/>
              <w:rPr>
                <w:sz w:val="20"/>
                <w:szCs w:val="20"/>
                <w:color w:val="auto"/>
              </w:rPr>
            </w:pPr>
            <w:r>
              <w:rPr>
                <w:rFonts w:ascii="Arial" w:cs="Arial" w:eastAsia="Arial" w:hAnsi="Arial"/>
                <w:sz w:val="16"/>
                <w:szCs w:val="16"/>
                <w:color w:val="auto"/>
              </w:rPr>
              <w:t>2020</w:t>
            </w:r>
          </w:p>
        </w:tc>
        <w:tc>
          <w:tcPr>
            <w:tcW w:w="1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4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6</w:t>
            </w: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7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660" w:type="dxa"/>
            <w:vAlign w:val="bottom"/>
          </w:tcPr>
          <w:p>
            <w:pPr>
              <w:spacing w:after="0"/>
              <w:rPr>
                <w:sz w:val="20"/>
                <w:szCs w:val="20"/>
                <w:color w:val="auto"/>
              </w:rPr>
            </w:pPr>
            <w:r>
              <w:rPr>
                <w:rFonts w:ascii="Arial" w:cs="Arial" w:eastAsia="Arial" w:hAnsi="Arial"/>
                <w:sz w:val="16"/>
                <w:szCs w:val="16"/>
                <w:color w:val="auto"/>
              </w:rPr>
              <w:t>2021</w:t>
            </w: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5</w:t>
            </w: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7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660" w:type="dxa"/>
            <w:vAlign w:val="bottom"/>
            <w:shd w:val="clear" w:color="auto" w:fill="CFF0FC"/>
          </w:tcPr>
          <w:p>
            <w:pPr>
              <w:spacing w:after="0"/>
              <w:rPr>
                <w:sz w:val="20"/>
                <w:szCs w:val="20"/>
                <w:color w:val="auto"/>
              </w:rPr>
            </w:pPr>
            <w:r>
              <w:rPr>
                <w:rFonts w:ascii="Arial" w:cs="Arial" w:eastAsia="Arial" w:hAnsi="Arial"/>
                <w:sz w:val="16"/>
                <w:szCs w:val="16"/>
                <w:color w:val="auto"/>
              </w:rPr>
              <w:t>2022</w:t>
            </w:r>
          </w:p>
        </w:tc>
        <w:tc>
          <w:tcPr>
            <w:tcW w:w="1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4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7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6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2023 and thereafter</w:t>
            </w:r>
          </w:p>
        </w:tc>
        <w:tc>
          <w:tcPr>
            <w:tcW w:w="1220" w:type="dxa"/>
            <w:vAlign w:val="bottom"/>
            <w:tcBorders>
              <w:bottom w:val="single" w:sz="8" w:color="CFF0FC"/>
            </w:tcBorders>
          </w:tcPr>
          <w:p>
            <w:pPr>
              <w:spacing w:after="0"/>
              <w:rPr>
                <w:sz w:val="17"/>
                <w:szCs w:val="17"/>
                <w:color w:val="auto"/>
              </w:rPr>
            </w:pPr>
          </w:p>
        </w:tc>
        <w:tc>
          <w:tcPr>
            <w:tcW w:w="260" w:type="dxa"/>
            <w:vAlign w:val="bottom"/>
            <w:tcBorders>
              <w:bottom w:val="single" w:sz="8" w:color="CFF0FC"/>
            </w:tcBorders>
          </w:tcPr>
          <w:p>
            <w:pPr>
              <w:spacing w:after="0"/>
              <w:rPr>
                <w:sz w:val="17"/>
                <w:szCs w:val="17"/>
                <w:color w:val="auto"/>
              </w:rPr>
            </w:pPr>
          </w:p>
        </w:tc>
        <w:tc>
          <w:tcPr>
            <w:tcW w:w="480" w:type="dxa"/>
            <w:vAlign w:val="bottom"/>
            <w:tcBorders>
              <w:bottom w:val="single" w:sz="8" w:color="CFF0FC"/>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7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6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Total</w:t>
            </w:r>
          </w:p>
        </w:tc>
        <w:tc>
          <w:tcPr>
            <w:tcW w:w="122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CFF0FC"/>
            </w:tcBorders>
            <w:shd w:val="clear" w:color="auto" w:fill="CFF0FC"/>
          </w:tcPr>
          <w:p>
            <w:pPr>
              <w:spacing w:after="0"/>
              <w:rPr>
                <w:sz w:val="17"/>
                <w:szCs w:val="17"/>
                <w:color w:val="auto"/>
              </w:rPr>
            </w:pPr>
          </w:p>
        </w:tc>
        <w:tc>
          <w:tcPr>
            <w:tcW w:w="480" w:type="dxa"/>
            <w:vAlign w:val="bottom"/>
            <w:tcBorders>
              <w:bottom w:val="single" w:sz="8" w:color="CFF0FC"/>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jc w:val="right"/>
              <w:ind w:right="290"/>
              <w:spacing w:after="0"/>
              <w:rPr>
                <w:sz w:val="20"/>
                <w:szCs w:val="20"/>
                <w:color w:val="auto"/>
              </w:rPr>
            </w:pPr>
            <w:r>
              <w:rPr>
                <w:rFonts w:ascii="Arial" w:cs="Arial" w:eastAsia="Arial" w:hAnsi="Arial"/>
                <w:sz w:val="10"/>
                <w:szCs w:val="10"/>
                <w:color w:val="auto"/>
                <w:w w:val="71"/>
              </w:rPr>
              <w:t>$</w:t>
            </w:r>
          </w:p>
        </w:tc>
        <w:tc>
          <w:tcPr>
            <w:tcW w:w="180" w:type="dxa"/>
            <w:vAlign w:val="bottom"/>
            <w:tcBorders>
              <w:bottom w:val="single" w:sz="8" w:color="auto"/>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40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48</w:t>
            </w: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960" w:type="dxa"/>
            <w:vAlign w:val="bottom"/>
            <w:gridSpan w:val="3"/>
            <w:vMerge w:val="restart"/>
          </w:tcPr>
          <w:p>
            <w:pPr>
              <w:spacing w:after="0"/>
              <w:rPr>
                <w:sz w:val="20"/>
                <w:szCs w:val="20"/>
                <w:color w:val="auto"/>
              </w:rPr>
            </w:pPr>
            <w:r>
              <w:rPr>
                <w:rFonts w:ascii="Arial" w:cs="Arial" w:eastAsia="Arial" w:hAnsi="Arial"/>
                <w:sz w:val="16"/>
                <w:szCs w:val="16"/>
                <w:b w:val="1"/>
                <w:bCs w:val="1"/>
                <w:color w:val="auto"/>
              </w:rPr>
              <w:t>NOTE 6: OTHER CURRENT LIABILITIES</w:t>
            </w:r>
          </w:p>
        </w:tc>
        <w:tc>
          <w:tcPr>
            <w:tcW w:w="1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2"/>
        </w:trPr>
        <w:tc>
          <w:tcPr>
            <w:tcW w:w="5960" w:type="dxa"/>
            <w:vAlign w:val="bottom"/>
            <w:gridSpan w:val="3"/>
            <w:vMerge w:val="continue"/>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1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80" w:type="dxa"/>
            <w:vAlign w:val="bottom"/>
            <w:gridSpan w:val="7"/>
          </w:tcPr>
          <w:p>
            <w:pPr>
              <w:ind w:left="440"/>
              <w:spacing w:after="0"/>
              <w:rPr>
                <w:sz w:val="20"/>
                <w:szCs w:val="20"/>
                <w:color w:val="auto"/>
              </w:rPr>
            </w:pPr>
            <w:r>
              <w:rPr>
                <w:rFonts w:ascii="Arial" w:cs="Arial" w:eastAsia="Arial" w:hAnsi="Arial"/>
                <w:sz w:val="13"/>
                <w:szCs w:val="13"/>
                <w:b w:val="1"/>
                <w:bCs w:val="1"/>
                <w:color w:val="auto"/>
              </w:rPr>
              <w:t>As of December 31,</w:t>
            </w:r>
          </w:p>
        </w:tc>
        <w:tc>
          <w:tcPr>
            <w:tcW w:w="0" w:type="dxa"/>
            <w:vAlign w:val="bottom"/>
          </w:tcPr>
          <w:p>
            <w:pPr>
              <w:spacing w:after="0"/>
              <w:rPr>
                <w:sz w:val="1"/>
                <w:szCs w:val="1"/>
                <w:color w:val="auto"/>
              </w:rPr>
            </w:pPr>
          </w:p>
        </w:tc>
      </w:tr>
      <w:tr>
        <w:trPr>
          <w:trHeight w:val="153"/>
        </w:trPr>
        <w:tc>
          <w:tcPr>
            <w:tcW w:w="5960" w:type="dxa"/>
            <w:vAlign w:val="bottom"/>
            <w:gridSpan w:val="3"/>
          </w:tcPr>
          <w:p>
            <w:pPr>
              <w:ind w:left="1720"/>
              <w:spacing w:after="0"/>
              <w:rPr>
                <w:sz w:val="20"/>
                <w:szCs w:val="20"/>
                <w:color w:val="auto"/>
              </w:rPr>
            </w:pPr>
            <w:r>
              <w:rPr>
                <w:rFonts w:ascii="Arial" w:cs="Arial" w:eastAsia="Arial" w:hAnsi="Arial"/>
                <w:sz w:val="13"/>
                <w:szCs w:val="13"/>
                <w:color w:val="auto"/>
              </w:rPr>
              <w:t>(in millions)</w:t>
            </w:r>
          </w:p>
        </w:tc>
        <w:tc>
          <w:tcPr>
            <w:tcW w:w="1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b w:val="1"/>
                <w:bCs w:val="1"/>
                <w:color w:val="auto"/>
              </w:rPr>
              <w:t>2017</w:t>
            </w: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3"/>
                <w:szCs w:val="13"/>
                <w:b w:val="1"/>
                <w:bCs w:val="1"/>
                <w:color w:val="auto"/>
              </w:rPr>
              <w:t>2016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1720" w:type="dxa"/>
            <w:vAlign w:val="bottom"/>
          </w:tcPr>
          <w:p>
            <w:pPr>
              <w:spacing w:after="0"/>
              <w:rPr>
                <w:sz w:val="17"/>
                <w:szCs w:val="17"/>
                <w:color w:val="auto"/>
              </w:rPr>
            </w:pPr>
          </w:p>
        </w:tc>
        <w:tc>
          <w:tcPr>
            <w:tcW w:w="42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Employment-related liabilities</w:t>
            </w:r>
          </w:p>
        </w:tc>
        <w:tc>
          <w:tcPr>
            <w:tcW w:w="122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6"/>
                <w:szCs w:val="16"/>
                <w:color w:val="auto"/>
              </w:rPr>
              <w:t>47</w:t>
            </w:r>
          </w:p>
        </w:tc>
        <w:tc>
          <w:tcPr>
            <w:tcW w:w="18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49</w:t>
            </w:r>
          </w:p>
        </w:tc>
        <w:tc>
          <w:tcPr>
            <w:tcW w:w="8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720" w:type="dxa"/>
            <w:vAlign w:val="bottom"/>
          </w:tcPr>
          <w:p>
            <w:pPr>
              <w:spacing w:after="0"/>
              <w:rPr>
                <w:sz w:val="17"/>
                <w:szCs w:val="17"/>
                <w:color w:val="auto"/>
              </w:rPr>
            </w:pPr>
          </w:p>
        </w:tc>
        <w:tc>
          <w:tcPr>
            <w:tcW w:w="4240" w:type="dxa"/>
            <w:vAlign w:val="bottom"/>
            <w:gridSpan w:val="2"/>
          </w:tcPr>
          <w:p>
            <w:pPr>
              <w:spacing w:after="0"/>
              <w:rPr>
                <w:sz w:val="20"/>
                <w:szCs w:val="20"/>
                <w:color w:val="auto"/>
              </w:rPr>
            </w:pPr>
            <w:r>
              <w:rPr>
                <w:rFonts w:ascii="Arial" w:cs="Arial" w:eastAsia="Arial" w:hAnsi="Arial"/>
                <w:sz w:val="16"/>
                <w:szCs w:val="16"/>
                <w:color w:val="auto"/>
              </w:rPr>
              <w:t>Deferred revenue</w:t>
            </w: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30</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32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720" w:type="dxa"/>
            <w:vAlign w:val="bottom"/>
          </w:tcPr>
          <w:p>
            <w:pPr>
              <w:spacing w:after="0"/>
              <w:rPr>
                <w:sz w:val="17"/>
                <w:szCs w:val="17"/>
                <w:color w:val="auto"/>
              </w:rPr>
            </w:pPr>
          </w:p>
        </w:tc>
        <w:tc>
          <w:tcPr>
            <w:tcW w:w="42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Customer rebates</w:t>
            </w:r>
          </w:p>
        </w:tc>
        <w:tc>
          <w:tcPr>
            <w:tcW w:w="1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29</w:t>
            </w: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27</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720" w:type="dxa"/>
            <w:vAlign w:val="bottom"/>
          </w:tcPr>
          <w:p>
            <w:pPr>
              <w:spacing w:after="0"/>
              <w:rPr>
                <w:sz w:val="17"/>
                <w:szCs w:val="17"/>
                <w:color w:val="auto"/>
              </w:rPr>
            </w:pPr>
          </w:p>
        </w:tc>
        <w:tc>
          <w:tcPr>
            <w:tcW w:w="4240" w:type="dxa"/>
            <w:vAlign w:val="bottom"/>
            <w:gridSpan w:val="2"/>
          </w:tcPr>
          <w:p>
            <w:pPr>
              <w:spacing w:after="0"/>
              <w:rPr>
                <w:sz w:val="20"/>
                <w:szCs w:val="20"/>
                <w:color w:val="auto"/>
              </w:rPr>
            </w:pPr>
            <w:r>
              <w:rPr>
                <w:rFonts w:ascii="Arial" w:cs="Arial" w:eastAsia="Arial" w:hAnsi="Arial"/>
                <w:sz w:val="16"/>
                <w:szCs w:val="16"/>
                <w:color w:val="auto"/>
              </w:rPr>
              <w:t>Restructuring liabilities</w:t>
            </w: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10</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720" w:type="dxa"/>
            <w:vAlign w:val="bottom"/>
          </w:tcPr>
          <w:p>
            <w:pPr>
              <w:spacing w:after="0"/>
              <w:rPr>
                <w:sz w:val="17"/>
                <w:szCs w:val="17"/>
                <w:color w:val="auto"/>
              </w:rPr>
            </w:pPr>
          </w:p>
        </w:tc>
        <w:tc>
          <w:tcPr>
            <w:tcW w:w="42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Deferred consideration on disposed businesses</w:t>
            </w:r>
          </w:p>
        </w:tc>
        <w:tc>
          <w:tcPr>
            <w:tcW w:w="1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10</w:t>
            </w: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7</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720" w:type="dxa"/>
            <w:vAlign w:val="bottom"/>
          </w:tcPr>
          <w:p>
            <w:pPr>
              <w:spacing w:after="0"/>
              <w:rPr>
                <w:sz w:val="17"/>
                <w:szCs w:val="17"/>
                <w:color w:val="auto"/>
              </w:rPr>
            </w:pPr>
          </w:p>
        </w:tc>
        <w:tc>
          <w:tcPr>
            <w:tcW w:w="4240" w:type="dxa"/>
            <w:vAlign w:val="bottom"/>
            <w:gridSpan w:val="2"/>
          </w:tcPr>
          <w:p>
            <w:pPr>
              <w:spacing w:after="0"/>
              <w:rPr>
                <w:sz w:val="20"/>
                <w:szCs w:val="20"/>
                <w:color w:val="auto"/>
              </w:rPr>
            </w:pPr>
            <w:r>
              <w:rPr>
                <w:rFonts w:ascii="Arial" w:cs="Arial" w:eastAsia="Arial" w:hAnsi="Arial"/>
                <w:sz w:val="16"/>
                <w:szCs w:val="16"/>
                <w:color w:val="auto"/>
              </w:rPr>
              <w:t>Workers' compensation</w:t>
            </w: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10</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720" w:type="dxa"/>
            <w:vAlign w:val="bottom"/>
          </w:tcPr>
          <w:p>
            <w:pPr>
              <w:spacing w:after="0"/>
              <w:rPr>
                <w:sz w:val="17"/>
                <w:szCs w:val="17"/>
                <w:color w:val="auto"/>
              </w:rPr>
            </w:pPr>
          </w:p>
        </w:tc>
        <w:tc>
          <w:tcPr>
            <w:tcW w:w="42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Other</w:t>
            </w:r>
          </w:p>
        </w:tc>
        <w:tc>
          <w:tcPr>
            <w:tcW w:w="1220" w:type="dxa"/>
            <w:vAlign w:val="bottom"/>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6"/>
                <w:szCs w:val="16"/>
                <w:color w:val="auto"/>
              </w:rPr>
              <w:t>81</w:t>
            </w:r>
          </w:p>
        </w:tc>
        <w:tc>
          <w:tcPr>
            <w:tcW w:w="180" w:type="dxa"/>
            <w:vAlign w:val="bottom"/>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80</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720" w:type="dxa"/>
            <w:vAlign w:val="bottom"/>
          </w:tcPr>
          <w:p>
            <w:pPr>
              <w:spacing w:after="0"/>
              <w:rPr>
                <w:sz w:val="17"/>
                <w:szCs w:val="17"/>
                <w:color w:val="auto"/>
              </w:rPr>
            </w:pPr>
          </w:p>
        </w:tc>
        <w:tc>
          <w:tcPr>
            <w:tcW w:w="4240" w:type="dxa"/>
            <w:vAlign w:val="bottom"/>
            <w:gridSpan w:val="2"/>
          </w:tcPr>
          <w:p>
            <w:pPr>
              <w:ind w:left="220"/>
              <w:spacing w:after="0"/>
              <w:rPr>
                <w:sz w:val="20"/>
                <w:szCs w:val="20"/>
                <w:color w:val="auto"/>
              </w:rPr>
            </w:pPr>
            <w:r>
              <w:rPr>
                <w:rFonts w:ascii="Arial" w:cs="Arial" w:eastAsia="Arial" w:hAnsi="Arial"/>
                <w:sz w:val="16"/>
                <w:szCs w:val="16"/>
                <w:color w:val="auto"/>
              </w:rPr>
              <w:t>Total</w:t>
            </w:r>
          </w:p>
        </w:tc>
        <w:tc>
          <w:tcPr>
            <w:tcW w:w="1220" w:type="dxa"/>
            <w:vAlign w:val="bottom"/>
          </w:tcPr>
          <w:p>
            <w:pPr>
              <w:spacing w:after="0"/>
              <w:rPr>
                <w:sz w:val="17"/>
                <w:szCs w:val="17"/>
                <w:color w:val="auto"/>
              </w:rPr>
            </w:pPr>
          </w:p>
        </w:tc>
        <w:tc>
          <w:tcPr>
            <w:tcW w:w="26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217</w:t>
            </w:r>
          </w:p>
        </w:tc>
        <w:tc>
          <w:tcPr>
            <w:tcW w:w="180" w:type="dxa"/>
            <w:vAlign w:val="bottom"/>
          </w:tcPr>
          <w:p>
            <w:pPr>
              <w:spacing w:after="0"/>
              <w:rPr>
                <w:sz w:val="17"/>
                <w:szCs w:val="17"/>
                <w:color w:val="auto"/>
              </w:rPr>
            </w:pPr>
          </w:p>
        </w:tc>
        <w:tc>
          <w:tcPr>
            <w:tcW w:w="2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211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The customer rebate amounts will potentially be settled through customer deductions applied to outstanding trade receivables in lieu of cash payments.</w:t>
      </w:r>
    </w:p>
    <w:p>
      <w:pPr>
        <w:spacing w:after="0" w:line="227" w:lineRule="exact"/>
        <w:rPr>
          <w:sz w:val="20"/>
          <w:szCs w:val="20"/>
          <w:color w:val="auto"/>
        </w:rPr>
      </w:pPr>
    </w:p>
    <w:p>
      <w:pPr>
        <w:ind w:right="680"/>
        <w:spacing w:after="0" w:line="280" w:lineRule="auto"/>
        <w:rPr>
          <w:sz w:val="20"/>
          <w:szCs w:val="20"/>
          <w:color w:val="auto"/>
        </w:rPr>
      </w:pPr>
      <w:r>
        <w:rPr>
          <w:rFonts w:ascii="Arial" w:cs="Arial" w:eastAsia="Arial" w:hAnsi="Arial"/>
          <w:sz w:val="16"/>
          <w:szCs w:val="16"/>
          <w:color w:val="auto"/>
        </w:rPr>
        <w:t>The Other component above consists of other miscellaneous current liabilities that, individually, were less than 5% of the total current liabilities component within the Consolidated Statement of Financial Position, and therefore, have been aggregated in accordance with Regulation S-X.</w:t>
      </w: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7: OTHER LONG-TERM LIABILITIES</w:t>
      </w:r>
    </w:p>
    <w:p>
      <w:pPr>
        <w:spacing w:after="0" w:line="292"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5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80" w:type="dxa"/>
            <w:vAlign w:val="bottom"/>
            <w:gridSpan w:val="5"/>
          </w:tcPr>
          <w:p>
            <w:pPr>
              <w:ind w:left="440"/>
              <w:spacing w:after="0"/>
              <w:rPr>
                <w:sz w:val="20"/>
                <w:szCs w:val="20"/>
                <w:color w:val="auto"/>
              </w:rPr>
            </w:pPr>
            <w:r>
              <w:rPr>
                <w:rFonts w:ascii="Arial" w:cs="Arial" w:eastAsia="Arial" w:hAnsi="Arial"/>
                <w:sz w:val="13"/>
                <w:szCs w:val="13"/>
                <w:b w:val="1"/>
                <w:bCs w:val="1"/>
                <w:color w:val="auto"/>
              </w:rPr>
              <w:t>As of December 31,</w:t>
            </w:r>
          </w:p>
        </w:tc>
      </w:tr>
      <w:tr>
        <w:trPr>
          <w:trHeight w:val="153"/>
        </w:trPr>
        <w:tc>
          <w:tcPr>
            <w:tcW w:w="5460" w:type="dxa"/>
            <w:vAlign w:val="bottom"/>
            <w:tcBorders>
              <w:bottom w:val="single" w:sz="8" w:color="CFF0FC"/>
            </w:tcBorders>
          </w:tcPr>
          <w:p>
            <w:pPr>
              <w:spacing w:after="0"/>
              <w:rPr>
                <w:sz w:val="20"/>
                <w:szCs w:val="20"/>
                <w:color w:val="auto"/>
              </w:rPr>
            </w:pPr>
            <w:r>
              <w:rPr>
                <w:rFonts w:ascii="Arial" w:cs="Arial" w:eastAsia="Arial" w:hAnsi="Arial"/>
                <w:sz w:val="13"/>
                <w:szCs w:val="13"/>
                <w:color w:val="auto"/>
              </w:rPr>
              <w:t>(in millions)</w:t>
            </w: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63"/>
              <w:spacing w:after="0"/>
              <w:rPr>
                <w:sz w:val="20"/>
                <w:szCs w:val="20"/>
                <w:color w:val="auto"/>
              </w:rPr>
            </w:pPr>
            <w:r>
              <w:rPr>
                <w:rFonts w:ascii="Arial" w:cs="Arial" w:eastAsia="Arial" w:hAnsi="Arial"/>
                <w:sz w:val="13"/>
                <w:szCs w:val="13"/>
                <w:b w:val="1"/>
                <w:bCs w:val="1"/>
                <w:color w:val="auto"/>
              </w:rPr>
              <w:t>2017</w:t>
            </w:r>
          </w:p>
        </w:tc>
        <w:tc>
          <w:tcPr>
            <w:tcW w:w="18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61"/>
              <w:spacing w:after="0"/>
              <w:rPr>
                <w:sz w:val="20"/>
                <w:szCs w:val="20"/>
                <w:color w:val="auto"/>
              </w:rPr>
            </w:pPr>
            <w:r>
              <w:rPr>
                <w:rFonts w:ascii="Arial" w:cs="Arial" w:eastAsia="Arial" w:hAnsi="Arial"/>
                <w:sz w:val="13"/>
                <w:szCs w:val="13"/>
                <w:b w:val="1"/>
                <w:bCs w:val="1"/>
                <w:color w:val="auto"/>
              </w:rPr>
              <w:t>2016</w:t>
            </w:r>
          </w:p>
        </w:tc>
        <w:tc>
          <w:tcPr>
            <w:tcW w:w="80" w:type="dxa"/>
            <w:vAlign w:val="bottom"/>
            <w:tcBorders>
              <w:bottom w:val="single" w:sz="8" w:color="CFF0FC"/>
            </w:tcBorders>
          </w:tcPr>
          <w:p>
            <w:pPr>
              <w:spacing w:after="0"/>
              <w:rPr>
                <w:sz w:val="13"/>
                <w:szCs w:val="13"/>
                <w:color w:val="auto"/>
              </w:rPr>
            </w:pPr>
          </w:p>
        </w:tc>
      </w:tr>
      <w:tr>
        <w:trPr>
          <w:trHeight w:val="198"/>
        </w:trPr>
        <w:tc>
          <w:tcPr>
            <w:tcW w:w="5460" w:type="dxa"/>
            <w:vAlign w:val="bottom"/>
            <w:shd w:val="clear" w:color="auto" w:fill="CFF0FC"/>
          </w:tcPr>
          <w:p>
            <w:pPr>
              <w:spacing w:after="0"/>
              <w:rPr>
                <w:sz w:val="20"/>
                <w:szCs w:val="20"/>
                <w:color w:val="auto"/>
              </w:rPr>
            </w:pPr>
            <w:r>
              <w:rPr>
                <w:rFonts w:ascii="Arial" w:cs="Arial" w:eastAsia="Arial" w:hAnsi="Arial"/>
                <w:sz w:val="16"/>
                <w:szCs w:val="16"/>
                <w:color w:val="auto"/>
              </w:rPr>
              <w:t>Workers' compensation</w:t>
            </w:r>
          </w:p>
        </w:tc>
        <w:tc>
          <w:tcPr>
            <w:tcW w:w="260" w:type="dxa"/>
            <w:vAlign w:val="bottom"/>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96</w:t>
            </w:r>
          </w:p>
        </w:tc>
        <w:tc>
          <w:tcPr>
            <w:tcW w:w="18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w:t>
            </w:r>
          </w:p>
        </w:tc>
        <w:tc>
          <w:tcPr>
            <w:tcW w:w="80" w:type="dxa"/>
            <w:vAlign w:val="bottom"/>
            <w:shd w:val="clear" w:color="auto" w:fill="CFF0FC"/>
          </w:tcPr>
          <w:p>
            <w:pPr>
              <w:spacing w:after="0"/>
              <w:rPr>
                <w:sz w:val="17"/>
                <w:szCs w:val="17"/>
                <w:color w:val="auto"/>
              </w:rPr>
            </w:pPr>
          </w:p>
        </w:tc>
      </w:tr>
      <w:tr>
        <w:trPr>
          <w:trHeight w:val="205"/>
        </w:trPr>
        <w:tc>
          <w:tcPr>
            <w:tcW w:w="5460" w:type="dxa"/>
            <w:vAlign w:val="bottom"/>
          </w:tcPr>
          <w:p>
            <w:pPr>
              <w:spacing w:after="0"/>
              <w:rPr>
                <w:sz w:val="20"/>
                <w:szCs w:val="20"/>
                <w:color w:val="auto"/>
              </w:rPr>
            </w:pPr>
            <w:r>
              <w:rPr>
                <w:rFonts w:ascii="Arial" w:cs="Arial" w:eastAsia="Arial" w:hAnsi="Arial"/>
                <w:sz w:val="16"/>
                <w:szCs w:val="16"/>
                <w:color w:val="auto"/>
              </w:rPr>
              <w:t>Asset retirement obligations</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43</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38</w:t>
            </w:r>
          </w:p>
        </w:tc>
        <w:tc>
          <w:tcPr>
            <w:tcW w:w="80" w:type="dxa"/>
            <w:vAlign w:val="bottom"/>
          </w:tcPr>
          <w:p>
            <w:pPr>
              <w:spacing w:after="0"/>
              <w:rPr>
                <w:sz w:val="17"/>
                <w:szCs w:val="17"/>
                <w:color w:val="auto"/>
              </w:rPr>
            </w:pPr>
          </w:p>
        </w:tc>
      </w:tr>
      <w:tr>
        <w:trPr>
          <w:trHeight w:val="205"/>
        </w:trPr>
        <w:tc>
          <w:tcPr>
            <w:tcW w:w="5460" w:type="dxa"/>
            <w:vAlign w:val="bottom"/>
            <w:shd w:val="clear" w:color="auto" w:fill="CFF0FC"/>
          </w:tcPr>
          <w:p>
            <w:pPr>
              <w:spacing w:after="0"/>
              <w:rPr>
                <w:sz w:val="20"/>
                <w:szCs w:val="20"/>
                <w:color w:val="auto"/>
              </w:rPr>
            </w:pPr>
            <w:r>
              <w:rPr>
                <w:rFonts w:ascii="Arial" w:cs="Arial" w:eastAsia="Arial" w:hAnsi="Arial"/>
                <w:sz w:val="16"/>
                <w:szCs w:val="16"/>
                <w:color w:val="auto"/>
              </w:rPr>
              <w:t>Deferred taxes</w:t>
            </w: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w:t>
            </w:r>
          </w:p>
        </w:tc>
        <w:tc>
          <w:tcPr>
            <w:tcW w:w="1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w:t>
            </w:r>
          </w:p>
        </w:tc>
        <w:tc>
          <w:tcPr>
            <w:tcW w:w="80" w:type="dxa"/>
            <w:vAlign w:val="bottom"/>
            <w:shd w:val="clear" w:color="auto" w:fill="CFF0FC"/>
          </w:tcPr>
          <w:p>
            <w:pPr>
              <w:spacing w:after="0"/>
              <w:rPr>
                <w:sz w:val="17"/>
                <w:szCs w:val="17"/>
                <w:color w:val="auto"/>
              </w:rPr>
            </w:pPr>
          </w:p>
        </w:tc>
      </w:tr>
      <w:tr>
        <w:trPr>
          <w:trHeight w:val="205"/>
        </w:trPr>
        <w:tc>
          <w:tcPr>
            <w:tcW w:w="5460" w:type="dxa"/>
            <w:vAlign w:val="bottom"/>
          </w:tcPr>
          <w:p>
            <w:pPr>
              <w:spacing w:after="0"/>
              <w:rPr>
                <w:sz w:val="20"/>
                <w:szCs w:val="20"/>
                <w:color w:val="auto"/>
              </w:rPr>
            </w:pPr>
            <w:r>
              <w:rPr>
                <w:rFonts w:ascii="Arial" w:cs="Arial" w:eastAsia="Arial" w:hAnsi="Arial"/>
                <w:sz w:val="16"/>
                <w:szCs w:val="16"/>
                <w:color w:val="auto"/>
              </w:rPr>
              <w:t>Deferred consideration on disposed businesses</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24</w:t>
            </w:r>
          </w:p>
        </w:tc>
        <w:tc>
          <w:tcPr>
            <w:tcW w:w="80" w:type="dxa"/>
            <w:vAlign w:val="bottom"/>
          </w:tcPr>
          <w:p>
            <w:pPr>
              <w:spacing w:after="0"/>
              <w:rPr>
                <w:sz w:val="17"/>
                <w:szCs w:val="17"/>
                <w:color w:val="auto"/>
              </w:rPr>
            </w:pPr>
          </w:p>
        </w:tc>
      </w:tr>
      <w:tr>
        <w:trPr>
          <w:trHeight w:val="205"/>
        </w:trPr>
        <w:tc>
          <w:tcPr>
            <w:tcW w:w="5460" w:type="dxa"/>
            <w:vAlign w:val="bottom"/>
            <w:shd w:val="clear" w:color="auto" w:fill="CFF0FC"/>
          </w:tcPr>
          <w:p>
            <w:pPr>
              <w:spacing w:after="0"/>
              <w:rPr>
                <w:sz w:val="20"/>
                <w:szCs w:val="20"/>
                <w:color w:val="auto"/>
              </w:rPr>
            </w:pPr>
            <w:r>
              <w:rPr>
                <w:rFonts w:ascii="Arial" w:cs="Arial" w:eastAsia="Arial" w:hAnsi="Arial"/>
                <w:sz w:val="16"/>
                <w:szCs w:val="16"/>
                <w:color w:val="auto"/>
              </w:rPr>
              <w:t>Environmental liabilities</w:t>
            </w: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w:t>
            </w:r>
          </w:p>
        </w:tc>
        <w:tc>
          <w:tcPr>
            <w:tcW w:w="1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w:t>
            </w:r>
          </w:p>
        </w:tc>
        <w:tc>
          <w:tcPr>
            <w:tcW w:w="80" w:type="dxa"/>
            <w:vAlign w:val="bottom"/>
            <w:shd w:val="clear" w:color="auto" w:fill="CFF0FC"/>
          </w:tcPr>
          <w:p>
            <w:pPr>
              <w:spacing w:after="0"/>
              <w:rPr>
                <w:sz w:val="17"/>
                <w:szCs w:val="17"/>
                <w:color w:val="auto"/>
              </w:rPr>
            </w:pPr>
          </w:p>
        </w:tc>
      </w:tr>
      <w:tr>
        <w:trPr>
          <w:trHeight w:val="205"/>
        </w:trPr>
        <w:tc>
          <w:tcPr>
            <w:tcW w:w="5460" w:type="dxa"/>
            <w:vAlign w:val="bottom"/>
          </w:tcPr>
          <w:p>
            <w:pPr>
              <w:spacing w:after="0" w:line="206" w:lineRule="exact"/>
              <w:rPr>
                <w:sz w:val="20"/>
                <w:szCs w:val="20"/>
                <w:color w:val="auto"/>
              </w:rPr>
            </w:pPr>
            <w:r>
              <w:rPr>
                <w:rFonts w:ascii="Arial" w:cs="Arial" w:eastAsia="Arial" w:hAnsi="Arial"/>
                <w:sz w:val="16"/>
                <w:szCs w:val="16"/>
                <w:color w:val="auto"/>
              </w:rPr>
              <w:t xml:space="preserve">Embedded conversion features derivative liability </w:t>
            </w:r>
            <w:r>
              <w:rPr>
                <w:rFonts w:ascii="Arial" w:cs="Arial" w:eastAsia="Arial" w:hAnsi="Arial"/>
                <w:sz w:val="21"/>
                <w:szCs w:val="21"/>
                <w:color w:val="auto"/>
                <w:vertAlign w:val="superscript"/>
              </w:rPr>
              <w:t>(1)</w:t>
            </w:r>
          </w:p>
        </w:tc>
        <w:tc>
          <w:tcPr>
            <w:tcW w:w="260" w:type="dxa"/>
            <w:vAlign w:val="bottom"/>
          </w:tcPr>
          <w:p>
            <w:pPr>
              <w:spacing w:after="0"/>
              <w:rPr>
                <w:sz w:val="17"/>
                <w:szCs w:val="17"/>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43</w:t>
            </w:r>
          </w:p>
        </w:tc>
        <w:tc>
          <w:tcPr>
            <w:tcW w:w="80" w:type="dxa"/>
            <w:vAlign w:val="bottom"/>
          </w:tcPr>
          <w:p>
            <w:pPr>
              <w:spacing w:after="0"/>
              <w:rPr>
                <w:sz w:val="17"/>
                <w:szCs w:val="17"/>
                <w:color w:val="auto"/>
              </w:rPr>
            </w:pPr>
          </w:p>
        </w:tc>
      </w:tr>
      <w:tr>
        <w:trPr>
          <w:trHeight w:val="205"/>
        </w:trPr>
        <w:tc>
          <w:tcPr>
            <w:tcW w:w="5460" w:type="dxa"/>
            <w:vAlign w:val="bottom"/>
            <w:shd w:val="clear" w:color="auto" w:fill="CFF0FC"/>
          </w:tcPr>
          <w:p>
            <w:pPr>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w:t>
            </w:r>
          </w:p>
        </w:tc>
        <w:tc>
          <w:tcPr>
            <w:tcW w:w="180" w:type="dxa"/>
            <w:vAlign w:val="bottom"/>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30</w:t>
            </w:r>
          </w:p>
        </w:tc>
        <w:tc>
          <w:tcPr>
            <w:tcW w:w="80" w:type="dxa"/>
            <w:vAlign w:val="bottom"/>
            <w:shd w:val="clear" w:color="auto" w:fill="CFF0FC"/>
          </w:tcPr>
          <w:p>
            <w:pPr>
              <w:spacing w:after="0"/>
              <w:rPr>
                <w:sz w:val="17"/>
                <w:szCs w:val="17"/>
                <w:color w:val="auto"/>
              </w:rPr>
            </w:pPr>
          </w:p>
        </w:tc>
      </w:tr>
      <w:tr>
        <w:trPr>
          <w:trHeight w:val="198"/>
        </w:trPr>
        <w:tc>
          <w:tcPr>
            <w:tcW w:w="5460" w:type="dxa"/>
            <w:vAlign w:val="bottom"/>
          </w:tcPr>
          <w:p>
            <w:pPr>
              <w:ind w:left="22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w:t>
            </w:r>
          </w:p>
        </w:tc>
        <w:tc>
          <w:tcPr>
            <w:tcW w:w="180" w:type="dxa"/>
            <w:vAlign w:val="bottom"/>
          </w:tcPr>
          <w:p>
            <w:pPr>
              <w:spacing w:after="0"/>
              <w:rPr>
                <w:sz w:val="17"/>
                <w:szCs w:val="17"/>
                <w:color w:val="auto"/>
              </w:rPr>
            </w:pPr>
          </w:p>
        </w:tc>
        <w:tc>
          <w:tcPr>
            <w:tcW w:w="26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268</w:t>
            </w:r>
          </w:p>
        </w:tc>
        <w:tc>
          <w:tcPr>
            <w:tcW w:w="80" w:type="dxa"/>
            <w:vAlign w:val="bottom"/>
          </w:tcPr>
          <w:p>
            <w:pPr>
              <w:spacing w:after="0"/>
              <w:rPr>
                <w:sz w:val="17"/>
                <w:szCs w:val="17"/>
                <w:color w:val="auto"/>
              </w:rPr>
            </w:pPr>
          </w:p>
        </w:tc>
      </w:tr>
      <w:tr>
        <w:trPr>
          <w:trHeight w:val="20"/>
        </w:trPr>
        <w:tc>
          <w:tcPr>
            <w:tcW w:w="5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0" w:lineRule="exact"/>
        <w:rPr>
          <w:sz w:val="20"/>
          <w:szCs w:val="20"/>
          <w:color w:val="auto"/>
        </w:rPr>
      </w:pPr>
    </w:p>
    <w:p>
      <w:pPr>
        <w:ind w:left="380"/>
        <w:spacing w:after="0"/>
        <w:tabs>
          <w:tab w:leader="none" w:pos="720" w:val="left"/>
        </w:tabs>
        <w:rPr>
          <w:sz w:val="20"/>
          <w:szCs w:val="20"/>
          <w:color w:val="auto"/>
        </w:rPr>
      </w:pPr>
      <w:r>
        <w:rPr>
          <w:rFonts w:ascii="Arial" w:cs="Arial" w:eastAsia="Arial" w:hAnsi="Arial"/>
          <w:sz w:val="14"/>
          <w:szCs w:val="14"/>
          <w:color w:val="auto"/>
        </w:rPr>
        <w:t>(1)</w:t>
      </w:r>
      <w:r>
        <w:rPr>
          <w:sz w:val="20"/>
          <w:szCs w:val="20"/>
          <w:color w:val="auto"/>
        </w:rPr>
        <w:tab/>
      </w:r>
      <w:r>
        <w:rPr>
          <w:rFonts w:ascii="Arial" w:cs="Arial" w:eastAsia="Arial" w:hAnsi="Arial"/>
          <w:sz w:val="16"/>
          <w:szCs w:val="16"/>
          <w:color w:val="auto"/>
        </w:rPr>
        <w:t>Refer to Note 12, “Financial Instruments”</w:t>
      </w:r>
    </w:p>
    <w:p>
      <w:pPr>
        <w:spacing w:after="0" w:line="228" w:lineRule="exact"/>
        <w:rPr>
          <w:sz w:val="20"/>
          <w:szCs w:val="20"/>
          <w:color w:val="auto"/>
        </w:rPr>
      </w:pPr>
    </w:p>
    <w:p>
      <w:pPr>
        <w:ind w:right="300"/>
        <w:spacing w:after="0" w:line="280" w:lineRule="auto"/>
        <w:rPr>
          <w:sz w:val="20"/>
          <w:szCs w:val="20"/>
          <w:color w:val="auto"/>
        </w:rPr>
      </w:pPr>
      <w:r>
        <w:rPr>
          <w:rFonts w:ascii="Arial" w:cs="Arial" w:eastAsia="Arial" w:hAnsi="Arial"/>
          <w:sz w:val="16"/>
          <w:szCs w:val="16"/>
          <w:color w:val="auto"/>
        </w:rPr>
        <w:t>The Other component above consists of other miscellaneous long-term liabilities that, individually, were less than 5% of the total liabilities component in the accompanying Consolidated Statement of Financial Position, and therefore, have been aggregated in accordance with Regulation S-X.</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62865</wp:posOffset>
            </wp:positionV>
            <wp:extent cx="7301865" cy="406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301865" cy="40640"/>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68" w:name="page69"/>
    <w:bookmarkEnd w:id="68"/>
    <w:p>
      <w:pPr>
        <w:ind w:left="3"/>
        <w:spacing w:after="0"/>
        <w:rPr>
          <w:sz w:val="20"/>
          <w:szCs w:val="20"/>
          <w:color w:val="auto"/>
        </w:rPr>
      </w:pPr>
      <w:r>
        <w:rPr>
          <w:rFonts w:ascii="Arial" w:cs="Arial" w:eastAsia="Arial" w:hAnsi="Arial"/>
          <w:sz w:val="16"/>
          <w:szCs w:val="16"/>
          <w:b w:val="1"/>
          <w:bCs w:val="1"/>
          <w:color w:val="auto"/>
        </w:rPr>
        <w:t>NOTE 8: DEBT AND CAPITAL LEASES</w:t>
      </w:r>
    </w:p>
    <w:p>
      <w:pPr>
        <w:spacing w:after="0" w:line="110" w:lineRule="exact"/>
        <w:rPr>
          <w:sz w:val="20"/>
          <w:szCs w:val="20"/>
          <w:color w:val="auto"/>
        </w:rPr>
      </w:pPr>
    </w:p>
    <w:p>
      <w:pPr>
        <w:ind w:left="3"/>
        <w:spacing w:after="0"/>
        <w:rPr>
          <w:sz w:val="20"/>
          <w:szCs w:val="20"/>
          <w:color w:val="auto"/>
        </w:rPr>
      </w:pPr>
      <w:r>
        <w:rPr>
          <w:rFonts w:ascii="Arial" w:cs="Arial" w:eastAsia="Arial" w:hAnsi="Arial"/>
          <w:sz w:val="16"/>
          <w:szCs w:val="16"/>
          <w:color w:val="auto"/>
        </w:rPr>
        <w:t>Debt and capital leases and related maturities and interest rates were as follows at December 31, 2017 and 2016 (in millions):</w:t>
      </w:r>
    </w:p>
    <w:p>
      <w:pPr>
        <w:spacing w:after="0" w:line="288" w:lineRule="exact"/>
        <w:rPr>
          <w:sz w:val="20"/>
          <w:szCs w:val="20"/>
          <w:color w:val="auto"/>
        </w:rPr>
      </w:pPr>
    </w:p>
    <w:tbl>
      <w:tblPr>
        <w:tblLayout w:type="fixed"/>
        <w:tblInd w:w="3"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360" w:type="dxa"/>
            <w:vAlign w:val="bottom"/>
            <w:gridSpan w:val="5"/>
          </w:tcPr>
          <w:p>
            <w:pPr>
              <w:ind w:left="960"/>
              <w:spacing w:after="0"/>
              <w:rPr>
                <w:sz w:val="20"/>
                <w:szCs w:val="20"/>
                <w:color w:val="auto"/>
              </w:rPr>
            </w:pPr>
            <w:r>
              <w:rPr>
                <w:rFonts w:ascii="Arial" w:cs="Arial" w:eastAsia="Arial" w:hAnsi="Arial"/>
                <w:sz w:val="13"/>
                <w:szCs w:val="13"/>
                <w:b w:val="1"/>
                <w:bCs w:val="1"/>
                <w:color w:val="auto"/>
              </w:rPr>
              <w:t>As of December 31,</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60" w:type="dxa"/>
            <w:vAlign w:val="bottom"/>
            <w:gridSpan w:val="2"/>
            <w:vMerge w:val="restart"/>
          </w:tcPr>
          <w:p>
            <w:pPr>
              <w:jc w:val="center"/>
              <w:ind w:right="280"/>
              <w:spacing w:after="0"/>
              <w:rPr>
                <w:sz w:val="20"/>
                <w:szCs w:val="20"/>
                <w:color w:val="auto"/>
              </w:rPr>
            </w:pPr>
            <w:r>
              <w:rPr>
                <w:rFonts w:ascii="Arial" w:cs="Arial" w:eastAsia="Arial" w:hAnsi="Arial"/>
                <w:sz w:val="13"/>
                <w:szCs w:val="13"/>
                <w:b w:val="1"/>
                <w:bCs w:val="1"/>
                <w:color w:val="auto"/>
                <w:w w:val="89"/>
              </w:rPr>
              <w:t>Weighted-Average</w:t>
            </w:r>
          </w:p>
        </w:tc>
        <w:tc>
          <w:tcPr>
            <w:tcW w:w="2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583"/>
              <w:spacing w:after="0"/>
              <w:rPr>
                <w:sz w:val="20"/>
                <w:szCs w:val="20"/>
                <w:color w:val="auto"/>
              </w:rPr>
            </w:pPr>
            <w:r>
              <w:rPr>
                <w:rFonts w:ascii="Arial" w:cs="Arial" w:eastAsia="Arial" w:hAnsi="Arial"/>
                <w:sz w:val="13"/>
                <w:szCs w:val="13"/>
                <w:b w:val="1"/>
                <w:bCs w:val="1"/>
                <w:color w:val="auto"/>
              </w:rPr>
              <w:t>2017</w:t>
            </w:r>
          </w:p>
        </w:tc>
        <w:tc>
          <w:tcPr>
            <w:tcW w:w="2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ind w:right="602"/>
              <w:spacing w:after="0"/>
              <w:rPr>
                <w:sz w:val="20"/>
                <w:szCs w:val="20"/>
                <w:color w:val="auto"/>
              </w:rPr>
            </w:pPr>
            <w:r>
              <w:rPr>
                <w:rFonts w:ascii="Arial" w:cs="Arial" w:eastAsia="Arial" w:hAnsi="Arial"/>
                <w:sz w:val="13"/>
                <w:szCs w:val="13"/>
                <w:b w:val="1"/>
                <w:bCs w:val="1"/>
                <w:color w:val="auto"/>
              </w:rPr>
              <w:t>2016</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6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152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w w:val="85"/>
              </w:rPr>
              <w:t>Type</w:t>
            </w:r>
          </w:p>
        </w:tc>
        <w:tc>
          <w:tcPr>
            <w:tcW w:w="154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rPr>
              <w:t>Maturity</w:t>
            </w:r>
          </w:p>
        </w:tc>
        <w:tc>
          <w:tcPr>
            <w:tcW w:w="1860" w:type="dxa"/>
            <w:vAlign w:val="bottom"/>
            <w:gridSpan w:val="2"/>
          </w:tcPr>
          <w:p>
            <w:pPr>
              <w:jc w:val="center"/>
              <w:ind w:right="300"/>
              <w:spacing w:after="0" w:line="133" w:lineRule="exact"/>
              <w:rPr>
                <w:sz w:val="20"/>
                <w:szCs w:val="20"/>
                <w:color w:val="auto"/>
              </w:rPr>
            </w:pPr>
            <w:r>
              <w:rPr>
                <w:rFonts w:ascii="Arial" w:cs="Arial" w:eastAsia="Arial" w:hAnsi="Arial"/>
                <w:sz w:val="13"/>
                <w:szCs w:val="13"/>
                <w:b w:val="1"/>
                <w:bCs w:val="1"/>
                <w:color w:val="auto"/>
                <w:w w:val="88"/>
              </w:rPr>
              <w:t>Effective</w:t>
            </w:r>
          </w:p>
        </w:tc>
        <w:tc>
          <w:tcPr>
            <w:tcW w:w="220" w:type="dxa"/>
            <w:vAlign w:val="bottom"/>
          </w:tcPr>
          <w:p>
            <w:pPr>
              <w:spacing w:after="0"/>
              <w:rPr>
                <w:sz w:val="11"/>
                <w:szCs w:val="11"/>
                <w:color w:val="auto"/>
              </w:rPr>
            </w:pPr>
          </w:p>
        </w:tc>
        <w:tc>
          <w:tcPr>
            <w:tcW w:w="1640" w:type="dxa"/>
            <w:vAlign w:val="bottom"/>
            <w:gridSpan w:val="2"/>
            <w:vMerge w:val="restart"/>
          </w:tcPr>
          <w:p>
            <w:pPr>
              <w:ind w:left="140"/>
              <w:spacing w:after="0"/>
              <w:rPr>
                <w:sz w:val="20"/>
                <w:szCs w:val="20"/>
                <w:color w:val="auto"/>
              </w:rPr>
            </w:pPr>
            <w:r>
              <w:rPr>
                <w:rFonts w:ascii="Arial" w:cs="Arial" w:eastAsia="Arial" w:hAnsi="Arial"/>
                <w:sz w:val="13"/>
                <w:szCs w:val="13"/>
                <w:b w:val="1"/>
                <w:bCs w:val="1"/>
                <w:color w:val="auto"/>
              </w:rPr>
              <w:t>Carrying Value</w:t>
            </w:r>
          </w:p>
        </w:tc>
        <w:tc>
          <w:tcPr>
            <w:tcW w:w="220" w:type="dxa"/>
            <w:vAlign w:val="bottom"/>
          </w:tcPr>
          <w:p>
            <w:pPr>
              <w:spacing w:after="0"/>
              <w:rPr>
                <w:sz w:val="11"/>
                <w:szCs w:val="11"/>
                <w:color w:val="auto"/>
              </w:rPr>
            </w:pPr>
          </w:p>
        </w:tc>
        <w:tc>
          <w:tcPr>
            <w:tcW w:w="1500" w:type="dxa"/>
            <w:vAlign w:val="bottom"/>
            <w:gridSpan w:val="2"/>
            <w:vMerge w:val="restart"/>
          </w:tcPr>
          <w:p>
            <w:pPr>
              <w:ind w:left="140"/>
              <w:spacing w:after="0"/>
              <w:rPr>
                <w:sz w:val="20"/>
                <w:szCs w:val="20"/>
                <w:color w:val="auto"/>
              </w:rPr>
            </w:pPr>
            <w:r>
              <w:rPr>
                <w:rFonts w:ascii="Arial" w:cs="Arial" w:eastAsia="Arial" w:hAnsi="Arial"/>
                <w:sz w:val="13"/>
                <w:szCs w:val="13"/>
                <w:b w:val="1"/>
                <w:bCs w:val="1"/>
                <w:color w:val="auto"/>
              </w:rPr>
              <w:t>Carrying Value</w:t>
            </w:r>
          </w:p>
        </w:tc>
        <w:tc>
          <w:tcPr>
            <w:tcW w:w="0" w:type="dxa"/>
            <w:vAlign w:val="bottom"/>
          </w:tcPr>
          <w:p>
            <w:pPr>
              <w:spacing w:after="0"/>
              <w:rPr>
                <w:sz w:val="1"/>
                <w:szCs w:val="1"/>
                <w:color w:val="auto"/>
              </w:rPr>
            </w:pPr>
          </w:p>
        </w:tc>
      </w:tr>
      <w:tr>
        <w:trPr>
          <w:trHeight w:val="153"/>
        </w:trPr>
        <w:tc>
          <w:tcPr>
            <w:tcW w:w="2940" w:type="dxa"/>
            <w:vAlign w:val="bottom"/>
            <w:gridSpan w:val="2"/>
          </w:tcPr>
          <w:p>
            <w:pPr>
              <w:spacing w:after="0"/>
              <w:rPr>
                <w:sz w:val="20"/>
                <w:szCs w:val="20"/>
                <w:color w:val="auto"/>
              </w:rPr>
            </w:pPr>
            <w:r>
              <w:rPr>
                <w:rFonts w:ascii="Arial" w:cs="Arial" w:eastAsia="Arial" w:hAnsi="Arial"/>
                <w:sz w:val="13"/>
                <w:szCs w:val="13"/>
                <w:color w:val="auto"/>
              </w:rPr>
              <w:t>(in millions)</w:t>
            </w:r>
          </w:p>
        </w:tc>
        <w:tc>
          <w:tcPr>
            <w:tcW w:w="1520" w:type="dxa"/>
            <w:vAlign w:val="bottom"/>
            <w:gridSpan w:val="2"/>
            <w:vMerge w:val="continue"/>
          </w:tcPr>
          <w:p>
            <w:pPr>
              <w:spacing w:after="0"/>
              <w:rPr>
                <w:sz w:val="13"/>
                <w:szCs w:val="13"/>
                <w:color w:val="auto"/>
              </w:rPr>
            </w:pPr>
          </w:p>
        </w:tc>
        <w:tc>
          <w:tcPr>
            <w:tcW w:w="1540" w:type="dxa"/>
            <w:vAlign w:val="bottom"/>
            <w:gridSpan w:val="2"/>
            <w:vMerge w:val="continue"/>
          </w:tcPr>
          <w:p>
            <w:pPr>
              <w:spacing w:after="0"/>
              <w:rPr>
                <w:sz w:val="13"/>
                <w:szCs w:val="13"/>
                <w:color w:val="auto"/>
              </w:rPr>
            </w:pPr>
          </w:p>
        </w:tc>
        <w:tc>
          <w:tcPr>
            <w:tcW w:w="186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1"/>
              </w:rPr>
              <w:t>Interest Rate</w:t>
            </w:r>
          </w:p>
        </w:tc>
        <w:tc>
          <w:tcPr>
            <w:tcW w:w="220" w:type="dxa"/>
            <w:vAlign w:val="bottom"/>
          </w:tcPr>
          <w:p>
            <w:pPr>
              <w:spacing w:after="0"/>
              <w:rPr>
                <w:sz w:val="13"/>
                <w:szCs w:val="13"/>
                <w:color w:val="auto"/>
              </w:rPr>
            </w:pPr>
          </w:p>
        </w:tc>
        <w:tc>
          <w:tcPr>
            <w:tcW w:w="164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9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Current portion:</w:t>
            </w:r>
          </w:p>
        </w:tc>
        <w:tc>
          <w:tcPr>
            <w:tcW w:w="134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136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158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136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138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1520" w:type="dxa"/>
            <w:vAlign w:val="bottom"/>
            <w:gridSpan w:val="2"/>
          </w:tcPr>
          <w:p>
            <w:pPr>
              <w:jc w:val="center"/>
              <w:ind w:right="180"/>
              <w:spacing w:after="0"/>
              <w:rPr>
                <w:sz w:val="20"/>
                <w:szCs w:val="20"/>
                <w:color w:val="auto"/>
              </w:rPr>
            </w:pPr>
            <w:r>
              <w:rPr>
                <w:rFonts w:ascii="Arial" w:cs="Arial" w:eastAsia="Arial" w:hAnsi="Arial"/>
                <w:sz w:val="16"/>
                <w:szCs w:val="16"/>
                <w:color w:val="auto"/>
                <w:w w:val="90"/>
              </w:rPr>
              <w:t>Term note</w:t>
            </w:r>
          </w:p>
        </w:tc>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center"/>
              <w:spacing w:after="0"/>
              <w:rPr>
                <w:sz w:val="20"/>
                <w:szCs w:val="20"/>
                <w:color w:val="auto"/>
              </w:rPr>
            </w:pPr>
            <w:r>
              <w:rPr>
                <w:rFonts w:ascii="Arial" w:cs="Arial" w:eastAsia="Arial" w:hAnsi="Arial"/>
                <w:sz w:val="16"/>
                <w:szCs w:val="16"/>
                <w:color w:val="auto"/>
                <w:w w:val="92"/>
              </w:rPr>
              <w:t>7.61%</w:t>
            </w:r>
          </w:p>
        </w:tc>
        <w:tc>
          <w:tcPr>
            <w:tcW w:w="280" w:type="dxa"/>
            <w:vAlign w:val="bottom"/>
          </w:tcPr>
          <w:p>
            <w:pPr>
              <w:spacing w:after="0"/>
              <w:rPr>
                <w:sz w:val="17"/>
                <w:szCs w:val="17"/>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6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92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center"/>
              <w:ind w:right="200"/>
              <w:spacing w:after="0"/>
              <w:rPr>
                <w:sz w:val="20"/>
                <w:szCs w:val="20"/>
                <w:color w:val="auto"/>
              </w:rPr>
            </w:pPr>
            <w:r>
              <w:rPr>
                <w:rFonts w:ascii="Arial" w:cs="Arial" w:eastAsia="Arial" w:hAnsi="Arial"/>
                <w:sz w:val="16"/>
                <w:szCs w:val="16"/>
                <w:color w:val="auto"/>
                <w:w w:val="87"/>
              </w:rPr>
              <w:t>Capital leases</w:t>
            </w:r>
          </w:p>
        </w:tc>
        <w:tc>
          <w:tcPr>
            <w:tcW w:w="13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860" w:type="dxa"/>
            <w:vAlign w:val="bottom"/>
            <w:gridSpan w:val="2"/>
            <w:shd w:val="clear" w:color="auto" w:fill="CFF0FC"/>
          </w:tcPr>
          <w:p>
            <w:pPr>
              <w:jc w:val="center"/>
              <w:ind w:right="300"/>
              <w:spacing w:after="0"/>
              <w:rPr>
                <w:sz w:val="20"/>
                <w:szCs w:val="20"/>
                <w:color w:val="auto"/>
              </w:rPr>
            </w:pPr>
            <w:r>
              <w:rPr>
                <w:rFonts w:ascii="Arial" w:cs="Arial" w:eastAsia="Arial" w:hAnsi="Arial"/>
                <w:sz w:val="16"/>
                <w:szCs w:val="16"/>
                <w:color w:val="auto"/>
                <w:w w:val="88"/>
              </w:rPr>
              <w:t>Various</w:t>
            </w: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920" w:type="dxa"/>
            <w:vAlign w:val="bottom"/>
            <w:tcBorders>
              <w:bottom w:val="single" w:sz="8" w:color="CFF0FC"/>
            </w:tcBorders>
          </w:tcPr>
          <w:p>
            <w:pPr>
              <w:spacing w:after="0"/>
              <w:rPr>
                <w:sz w:val="17"/>
                <w:szCs w:val="17"/>
                <w:color w:val="auto"/>
              </w:rPr>
            </w:pPr>
          </w:p>
        </w:tc>
        <w:tc>
          <w:tcPr>
            <w:tcW w:w="1520" w:type="dxa"/>
            <w:vAlign w:val="bottom"/>
            <w:tcBorders>
              <w:bottom w:val="single" w:sz="8" w:color="CFF0FC"/>
            </w:tcBorders>
            <w:gridSpan w:val="2"/>
          </w:tcPr>
          <w:p>
            <w:pPr>
              <w:jc w:val="center"/>
              <w:ind w:right="200"/>
              <w:spacing w:after="0"/>
              <w:rPr>
                <w:sz w:val="20"/>
                <w:szCs w:val="20"/>
                <w:color w:val="auto"/>
              </w:rPr>
            </w:pPr>
            <w:r>
              <w:rPr>
                <w:rFonts w:ascii="Arial" w:cs="Arial" w:eastAsia="Arial" w:hAnsi="Arial"/>
                <w:sz w:val="16"/>
                <w:szCs w:val="16"/>
                <w:color w:val="auto"/>
                <w:w w:val="89"/>
              </w:rPr>
              <w:t>Other debt</w:t>
            </w:r>
          </w:p>
        </w:tc>
        <w:tc>
          <w:tcPr>
            <w:tcW w:w="1360" w:type="dxa"/>
            <w:vAlign w:val="bottom"/>
            <w:tcBorders>
              <w:bottom w:val="single" w:sz="8" w:color="CFF0FC"/>
            </w:tcBorders>
          </w:tcPr>
          <w:p>
            <w:pPr>
              <w:spacing w:after="0"/>
              <w:rPr>
                <w:sz w:val="17"/>
                <w:szCs w:val="17"/>
                <w:color w:val="auto"/>
              </w:rPr>
            </w:pPr>
          </w:p>
        </w:tc>
        <w:tc>
          <w:tcPr>
            <w:tcW w:w="180" w:type="dxa"/>
            <w:vAlign w:val="bottom"/>
            <w:tcBorders>
              <w:bottom w:val="single" w:sz="8" w:color="CFF0FC"/>
            </w:tcBorders>
          </w:tcPr>
          <w:p>
            <w:pPr>
              <w:spacing w:after="0"/>
              <w:rPr>
                <w:sz w:val="17"/>
                <w:szCs w:val="17"/>
                <w:color w:val="auto"/>
              </w:rPr>
            </w:pPr>
          </w:p>
        </w:tc>
        <w:tc>
          <w:tcPr>
            <w:tcW w:w="1860" w:type="dxa"/>
            <w:vAlign w:val="bottom"/>
            <w:tcBorders>
              <w:bottom w:val="single" w:sz="8" w:color="CFF0FC"/>
            </w:tcBorders>
            <w:gridSpan w:val="2"/>
          </w:tcPr>
          <w:p>
            <w:pPr>
              <w:jc w:val="center"/>
              <w:ind w:right="300"/>
              <w:spacing w:after="0"/>
              <w:rPr>
                <w:sz w:val="20"/>
                <w:szCs w:val="20"/>
                <w:color w:val="auto"/>
              </w:rPr>
            </w:pPr>
            <w:r>
              <w:rPr>
                <w:rFonts w:ascii="Arial" w:cs="Arial" w:eastAsia="Arial" w:hAnsi="Arial"/>
                <w:sz w:val="16"/>
                <w:szCs w:val="16"/>
                <w:color w:val="auto"/>
                <w:w w:val="88"/>
              </w:rPr>
              <w:t>Various</w:t>
            </w: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28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9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280" w:type="dxa"/>
            <w:vAlign w:val="bottom"/>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29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2920" w:type="dxa"/>
            <w:vAlign w:val="bottom"/>
            <w:shd w:val="clear" w:color="auto" w:fill="CFF0FC"/>
          </w:tcPr>
          <w:p>
            <w:pPr>
              <w:spacing w:after="0"/>
              <w:rPr>
                <w:sz w:val="20"/>
                <w:szCs w:val="20"/>
                <w:color w:val="auto"/>
              </w:rPr>
            </w:pPr>
            <w:r>
              <w:rPr>
                <w:rFonts w:ascii="Arial" w:cs="Arial" w:eastAsia="Arial" w:hAnsi="Arial"/>
                <w:sz w:val="16"/>
                <w:szCs w:val="16"/>
                <w:color w:val="auto"/>
              </w:rPr>
              <w:t>Non-current portion:</w:t>
            </w:r>
          </w:p>
        </w:tc>
        <w:tc>
          <w:tcPr>
            <w:tcW w:w="13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1520" w:type="dxa"/>
            <w:vAlign w:val="bottom"/>
            <w:gridSpan w:val="2"/>
          </w:tcPr>
          <w:p>
            <w:pPr>
              <w:jc w:val="center"/>
              <w:ind w:right="180"/>
              <w:spacing w:after="0"/>
              <w:rPr>
                <w:sz w:val="20"/>
                <w:szCs w:val="20"/>
                <w:color w:val="auto"/>
              </w:rPr>
            </w:pPr>
            <w:r>
              <w:rPr>
                <w:rFonts w:ascii="Arial" w:cs="Arial" w:eastAsia="Arial" w:hAnsi="Arial"/>
                <w:sz w:val="16"/>
                <w:szCs w:val="16"/>
                <w:color w:val="auto"/>
                <w:w w:val="90"/>
              </w:rPr>
              <w:t>Term note</w:t>
            </w:r>
          </w:p>
        </w:tc>
        <w:tc>
          <w:tcPr>
            <w:tcW w:w="1360" w:type="dxa"/>
            <w:vAlign w:val="bottom"/>
          </w:tcPr>
          <w:p>
            <w:pPr>
              <w:jc w:val="center"/>
              <w:spacing w:after="0"/>
              <w:rPr>
                <w:sz w:val="20"/>
                <w:szCs w:val="20"/>
                <w:color w:val="auto"/>
              </w:rPr>
            </w:pPr>
            <w:r>
              <w:rPr>
                <w:rFonts w:ascii="Arial" w:cs="Arial" w:eastAsia="Arial" w:hAnsi="Arial"/>
                <w:sz w:val="16"/>
                <w:szCs w:val="16"/>
                <w:color w:val="auto"/>
                <w:w w:val="89"/>
              </w:rPr>
              <w:t>2019</w:t>
            </w:r>
          </w:p>
        </w:tc>
        <w:tc>
          <w:tcPr>
            <w:tcW w:w="180" w:type="dxa"/>
            <w:vAlign w:val="bottom"/>
          </w:tcPr>
          <w:p>
            <w:pPr>
              <w:spacing w:after="0"/>
              <w:rPr>
                <w:sz w:val="17"/>
                <w:szCs w:val="17"/>
                <w:color w:val="auto"/>
              </w:rPr>
            </w:pPr>
          </w:p>
        </w:tc>
        <w:tc>
          <w:tcPr>
            <w:tcW w:w="1580" w:type="dxa"/>
            <w:vAlign w:val="bottom"/>
          </w:tcPr>
          <w:p>
            <w:pPr>
              <w:jc w:val="center"/>
              <w:spacing w:after="0"/>
              <w:rPr>
                <w:sz w:val="20"/>
                <w:szCs w:val="20"/>
                <w:color w:val="auto"/>
              </w:rPr>
            </w:pPr>
            <w:r>
              <w:rPr>
                <w:rFonts w:ascii="Arial" w:cs="Arial" w:eastAsia="Arial" w:hAnsi="Arial"/>
                <w:sz w:val="16"/>
                <w:szCs w:val="16"/>
                <w:color w:val="auto"/>
                <w:w w:val="92"/>
              </w:rPr>
              <w:t>7.61%</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393</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396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92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center"/>
              <w:ind w:right="200"/>
              <w:spacing w:after="0"/>
              <w:rPr>
                <w:sz w:val="20"/>
                <w:szCs w:val="20"/>
                <w:color w:val="auto"/>
              </w:rPr>
            </w:pPr>
            <w:r>
              <w:rPr>
                <w:rFonts w:ascii="Arial" w:cs="Arial" w:eastAsia="Arial" w:hAnsi="Arial"/>
                <w:sz w:val="16"/>
                <w:szCs w:val="16"/>
                <w:color w:val="auto"/>
                <w:w w:val="87"/>
              </w:rPr>
              <w:t>Capital leases</w:t>
            </w:r>
          </w:p>
        </w:tc>
        <w:tc>
          <w:tcPr>
            <w:tcW w:w="1540" w:type="dxa"/>
            <w:vAlign w:val="bottom"/>
            <w:gridSpan w:val="2"/>
            <w:shd w:val="clear" w:color="auto" w:fill="CFF0FC"/>
          </w:tcPr>
          <w:p>
            <w:pPr>
              <w:jc w:val="center"/>
              <w:ind w:right="180"/>
              <w:spacing w:after="0"/>
              <w:rPr>
                <w:sz w:val="20"/>
                <w:szCs w:val="20"/>
                <w:color w:val="auto"/>
              </w:rPr>
            </w:pPr>
            <w:r>
              <w:rPr>
                <w:rFonts w:ascii="Arial" w:cs="Arial" w:eastAsia="Arial" w:hAnsi="Arial"/>
                <w:sz w:val="16"/>
                <w:szCs w:val="16"/>
                <w:color w:val="auto"/>
                <w:w w:val="88"/>
              </w:rPr>
              <w:t>Various</w:t>
            </w:r>
          </w:p>
        </w:tc>
        <w:tc>
          <w:tcPr>
            <w:tcW w:w="1860" w:type="dxa"/>
            <w:vAlign w:val="bottom"/>
            <w:gridSpan w:val="2"/>
            <w:shd w:val="clear" w:color="auto" w:fill="CFF0FC"/>
          </w:tcPr>
          <w:p>
            <w:pPr>
              <w:jc w:val="center"/>
              <w:ind w:right="300"/>
              <w:spacing w:after="0"/>
              <w:rPr>
                <w:sz w:val="20"/>
                <w:szCs w:val="20"/>
                <w:color w:val="auto"/>
              </w:rPr>
            </w:pPr>
            <w:r>
              <w:rPr>
                <w:rFonts w:ascii="Arial" w:cs="Arial" w:eastAsia="Arial" w:hAnsi="Arial"/>
                <w:sz w:val="16"/>
                <w:szCs w:val="16"/>
                <w:color w:val="auto"/>
                <w:w w:val="88"/>
              </w:rPr>
              <w:t>Various</w:t>
            </w: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920" w:type="dxa"/>
            <w:vAlign w:val="bottom"/>
            <w:tcBorders>
              <w:bottom w:val="single" w:sz="8" w:color="CFF0FC"/>
            </w:tcBorders>
          </w:tcPr>
          <w:p>
            <w:pPr>
              <w:spacing w:after="0"/>
              <w:rPr>
                <w:sz w:val="17"/>
                <w:szCs w:val="17"/>
                <w:color w:val="auto"/>
              </w:rPr>
            </w:pPr>
          </w:p>
        </w:tc>
        <w:tc>
          <w:tcPr>
            <w:tcW w:w="1520" w:type="dxa"/>
            <w:vAlign w:val="bottom"/>
            <w:tcBorders>
              <w:bottom w:val="single" w:sz="8" w:color="CFF0FC"/>
            </w:tcBorders>
            <w:gridSpan w:val="2"/>
          </w:tcPr>
          <w:p>
            <w:pPr>
              <w:jc w:val="center"/>
              <w:ind w:right="200"/>
              <w:spacing w:after="0"/>
              <w:rPr>
                <w:sz w:val="20"/>
                <w:szCs w:val="20"/>
                <w:color w:val="auto"/>
              </w:rPr>
            </w:pPr>
            <w:r>
              <w:rPr>
                <w:rFonts w:ascii="Arial" w:cs="Arial" w:eastAsia="Arial" w:hAnsi="Arial"/>
                <w:sz w:val="16"/>
                <w:szCs w:val="16"/>
                <w:color w:val="auto"/>
                <w:w w:val="89"/>
              </w:rPr>
              <w:t>Other debt</w:t>
            </w:r>
          </w:p>
        </w:tc>
        <w:tc>
          <w:tcPr>
            <w:tcW w:w="1540" w:type="dxa"/>
            <w:vAlign w:val="bottom"/>
            <w:tcBorders>
              <w:bottom w:val="single" w:sz="8" w:color="CFF0FC"/>
            </w:tcBorders>
            <w:gridSpan w:val="2"/>
          </w:tcPr>
          <w:p>
            <w:pPr>
              <w:jc w:val="center"/>
              <w:ind w:right="180"/>
              <w:spacing w:after="0"/>
              <w:rPr>
                <w:sz w:val="20"/>
                <w:szCs w:val="20"/>
                <w:color w:val="auto"/>
              </w:rPr>
            </w:pPr>
            <w:r>
              <w:rPr>
                <w:rFonts w:ascii="Arial" w:cs="Arial" w:eastAsia="Arial" w:hAnsi="Arial"/>
                <w:sz w:val="16"/>
                <w:szCs w:val="16"/>
                <w:color w:val="auto"/>
                <w:w w:val="88"/>
              </w:rPr>
              <w:t>Various</w:t>
            </w:r>
          </w:p>
        </w:tc>
        <w:tc>
          <w:tcPr>
            <w:tcW w:w="1860" w:type="dxa"/>
            <w:vAlign w:val="bottom"/>
            <w:tcBorders>
              <w:bottom w:val="single" w:sz="8" w:color="CFF0FC"/>
            </w:tcBorders>
            <w:gridSpan w:val="2"/>
          </w:tcPr>
          <w:p>
            <w:pPr>
              <w:jc w:val="center"/>
              <w:ind w:right="300"/>
              <w:spacing w:after="0"/>
              <w:rPr>
                <w:sz w:val="20"/>
                <w:szCs w:val="20"/>
                <w:color w:val="auto"/>
              </w:rPr>
            </w:pPr>
            <w:r>
              <w:rPr>
                <w:rFonts w:ascii="Arial" w:cs="Arial" w:eastAsia="Arial" w:hAnsi="Arial"/>
                <w:sz w:val="16"/>
                <w:szCs w:val="16"/>
                <w:color w:val="auto"/>
                <w:w w:val="88"/>
              </w:rPr>
              <w:t>Various</w:t>
            </w: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28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9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399</w:t>
            </w:r>
          </w:p>
        </w:tc>
        <w:tc>
          <w:tcPr>
            <w:tcW w:w="280" w:type="dxa"/>
            <w:vAlign w:val="bottom"/>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405</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403</w:t>
            </w:r>
          </w:p>
        </w:tc>
        <w:tc>
          <w:tcPr>
            <w:tcW w:w="280" w:type="dxa"/>
            <w:vAlign w:val="bottom"/>
          </w:tcPr>
          <w:p>
            <w:pPr>
              <w:spacing w:after="0"/>
              <w:rPr>
                <w:sz w:val="17"/>
                <w:szCs w:val="17"/>
                <w:color w:val="auto"/>
              </w:rPr>
            </w:pPr>
          </w:p>
        </w:tc>
        <w:tc>
          <w:tcPr>
            <w:tcW w:w="2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ind w:left="3"/>
        <w:spacing w:after="0"/>
        <w:rPr>
          <w:sz w:val="20"/>
          <w:szCs w:val="20"/>
          <w:color w:val="auto"/>
        </w:rPr>
      </w:pPr>
      <w:r>
        <w:rPr>
          <w:rFonts w:ascii="Arial" w:cs="Arial" w:eastAsia="Arial" w:hAnsi="Arial"/>
          <w:sz w:val="16"/>
          <w:szCs w:val="16"/>
          <w:color w:val="auto"/>
        </w:rPr>
        <w:t>Annual maturities of debt and capital leases outstanding at December 31, 2017, were as follows (in millions):</w:t>
      </w:r>
    </w:p>
    <w:p>
      <w:pPr>
        <w:spacing w:after="0" w:line="235" w:lineRule="exact"/>
        <w:rPr>
          <w:sz w:val="20"/>
          <w:szCs w:val="20"/>
          <w:color w:val="auto"/>
        </w:rPr>
      </w:pPr>
    </w:p>
    <w:tbl>
      <w:tblPr>
        <w:tblLayout w:type="fixed"/>
        <w:tblInd w:w="1723" w:type="dxa"/>
        <w:tblCellMar>
          <w:top w:w="0" w:type="dxa"/>
          <w:left w:w="0" w:type="dxa"/>
          <w:bottom w:w="0" w:type="dxa"/>
          <w:right w:w="0" w:type="dxa"/>
        </w:tblCellMar>
      </w:tblPr>
      <w:tr>
        <w:trPr>
          <w:trHeight w:val="193"/>
        </w:trPr>
        <w:tc>
          <w:tcPr>
            <w:tcW w:w="5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7"/>
              </w:rPr>
              <w:t>Carrying</w:t>
            </w:r>
          </w:p>
        </w:tc>
        <w:tc>
          <w:tcPr>
            <w:tcW w:w="160" w:type="dxa"/>
            <w:vAlign w:val="bottom"/>
          </w:tcPr>
          <w:p>
            <w:pPr>
              <w:spacing w:after="0"/>
              <w:rPr>
                <w:sz w:val="16"/>
                <w:szCs w:val="16"/>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Maturity</w:t>
            </w:r>
          </w:p>
        </w:tc>
      </w:tr>
      <w:tr>
        <w:trPr>
          <w:trHeight w:val="210"/>
        </w:trPr>
        <w:tc>
          <w:tcPr>
            <w:tcW w:w="5460" w:type="dxa"/>
            <w:vAlign w:val="bottom"/>
          </w:tcPr>
          <w:p>
            <w:pPr>
              <w:spacing w:after="0"/>
              <w:rPr>
                <w:sz w:val="20"/>
                <w:szCs w:val="20"/>
                <w:color w:val="auto"/>
              </w:rPr>
            </w:pPr>
            <w:r>
              <w:rPr>
                <w:rFonts w:ascii="Arial" w:cs="Arial" w:eastAsia="Arial" w:hAnsi="Arial"/>
                <w:sz w:val="16"/>
                <w:szCs w:val="16"/>
                <w:color w:val="auto"/>
              </w:rPr>
              <w:t>(in millions)</w:t>
            </w:r>
          </w:p>
        </w:tc>
        <w:tc>
          <w:tcPr>
            <w:tcW w:w="160" w:type="dxa"/>
            <w:vAlign w:val="bottom"/>
          </w:tcPr>
          <w:p>
            <w:pPr>
              <w:spacing w:after="0"/>
              <w:rPr>
                <w:sz w:val="18"/>
                <w:szCs w:val="18"/>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8"/>
              </w:rPr>
              <w:t>Value</w:t>
            </w:r>
          </w:p>
        </w:tc>
        <w:tc>
          <w:tcPr>
            <w:tcW w:w="16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Value</w:t>
            </w:r>
          </w:p>
        </w:tc>
      </w:tr>
      <w:tr>
        <w:trPr>
          <w:trHeight w:val="198"/>
        </w:trPr>
        <w:tc>
          <w:tcPr>
            <w:tcW w:w="5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2018</w:t>
            </w:r>
          </w:p>
        </w:tc>
        <w:tc>
          <w:tcPr>
            <w:tcW w:w="160" w:type="dxa"/>
            <w:vAlign w:val="bottom"/>
            <w:tcBorders>
              <w:top w:val="single" w:sz="8" w:color="auto"/>
            </w:tcBorders>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18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80" w:type="dxa"/>
            <w:vAlign w:val="bottom"/>
            <w:tcBorders>
              <w:top w:val="single" w:sz="8" w:color="CFF0FC"/>
            </w:tcBorders>
            <w:shd w:val="clear" w:color="auto" w:fill="CFF0FC"/>
          </w:tcPr>
          <w:p>
            <w:pPr>
              <w:spacing w:after="0"/>
              <w:rPr>
                <w:sz w:val="17"/>
                <w:szCs w:val="17"/>
                <w:color w:val="auto"/>
              </w:rPr>
            </w:pPr>
          </w:p>
        </w:tc>
      </w:tr>
      <w:tr>
        <w:trPr>
          <w:trHeight w:val="205"/>
        </w:trPr>
        <w:tc>
          <w:tcPr>
            <w:tcW w:w="5460" w:type="dxa"/>
            <w:vAlign w:val="bottom"/>
          </w:tcPr>
          <w:p>
            <w:pPr>
              <w:spacing w:after="0"/>
              <w:rPr>
                <w:sz w:val="20"/>
                <w:szCs w:val="20"/>
                <w:color w:val="auto"/>
              </w:rPr>
            </w:pPr>
            <w:r>
              <w:rPr>
                <w:rFonts w:ascii="Arial" w:cs="Arial" w:eastAsia="Arial" w:hAnsi="Arial"/>
                <w:sz w:val="16"/>
                <w:szCs w:val="16"/>
                <w:color w:val="auto"/>
              </w:rPr>
              <w:t>2019</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395</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397</w:t>
            </w:r>
          </w:p>
        </w:tc>
        <w:tc>
          <w:tcPr>
            <w:tcW w:w="80" w:type="dxa"/>
            <w:vAlign w:val="bottom"/>
          </w:tcPr>
          <w:p>
            <w:pPr>
              <w:spacing w:after="0"/>
              <w:rPr>
                <w:sz w:val="17"/>
                <w:szCs w:val="17"/>
                <w:color w:val="auto"/>
              </w:rPr>
            </w:pPr>
          </w:p>
        </w:tc>
      </w:tr>
      <w:tr>
        <w:trPr>
          <w:trHeight w:val="205"/>
        </w:trPr>
        <w:tc>
          <w:tcPr>
            <w:tcW w:w="5460" w:type="dxa"/>
            <w:vAlign w:val="bottom"/>
            <w:shd w:val="clear" w:color="auto" w:fill="CFF0FC"/>
          </w:tcPr>
          <w:p>
            <w:pPr>
              <w:spacing w:after="0"/>
              <w:rPr>
                <w:sz w:val="20"/>
                <w:szCs w:val="20"/>
                <w:color w:val="auto"/>
              </w:rPr>
            </w:pPr>
            <w:r>
              <w:rPr>
                <w:rFonts w:ascii="Arial" w:cs="Arial" w:eastAsia="Arial" w:hAnsi="Arial"/>
                <w:sz w:val="16"/>
                <w:szCs w:val="16"/>
                <w:color w:val="auto"/>
              </w:rPr>
              <w:t>2020</w:t>
            </w: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FF0FC"/>
          </w:tcPr>
          <w:p>
            <w:pPr>
              <w:spacing w:after="0"/>
              <w:rPr>
                <w:sz w:val="17"/>
                <w:szCs w:val="17"/>
                <w:color w:val="auto"/>
              </w:rPr>
            </w:pPr>
          </w:p>
        </w:tc>
      </w:tr>
      <w:tr>
        <w:trPr>
          <w:trHeight w:val="205"/>
        </w:trPr>
        <w:tc>
          <w:tcPr>
            <w:tcW w:w="5460" w:type="dxa"/>
            <w:vAlign w:val="bottom"/>
          </w:tcPr>
          <w:p>
            <w:pPr>
              <w:spacing w:after="0"/>
              <w:rPr>
                <w:sz w:val="20"/>
                <w:szCs w:val="20"/>
                <w:color w:val="auto"/>
              </w:rPr>
            </w:pPr>
            <w:r>
              <w:rPr>
                <w:rFonts w:ascii="Arial" w:cs="Arial" w:eastAsia="Arial" w:hAnsi="Arial"/>
                <w:sz w:val="16"/>
                <w:szCs w:val="16"/>
                <w:color w:val="auto"/>
              </w:rPr>
              <w:t>2021</w:t>
            </w:r>
          </w:p>
        </w:tc>
        <w:tc>
          <w:tcPr>
            <w:tcW w:w="160" w:type="dxa"/>
            <w:vAlign w:val="bottom"/>
          </w:tcPr>
          <w:p>
            <w:pPr>
              <w:spacing w:after="0"/>
              <w:rPr>
                <w:sz w:val="17"/>
                <w:szCs w:val="17"/>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05"/>
        </w:trPr>
        <w:tc>
          <w:tcPr>
            <w:tcW w:w="5460" w:type="dxa"/>
            <w:vAlign w:val="bottom"/>
            <w:shd w:val="clear" w:color="auto" w:fill="CFF0FC"/>
          </w:tcPr>
          <w:p>
            <w:pPr>
              <w:spacing w:after="0"/>
              <w:rPr>
                <w:sz w:val="20"/>
                <w:szCs w:val="20"/>
                <w:color w:val="auto"/>
              </w:rPr>
            </w:pPr>
            <w:r>
              <w:rPr>
                <w:rFonts w:ascii="Arial" w:cs="Arial" w:eastAsia="Arial" w:hAnsi="Arial"/>
                <w:sz w:val="16"/>
                <w:szCs w:val="16"/>
                <w:color w:val="auto"/>
              </w:rPr>
              <w:t>2022</w:t>
            </w: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FF0FC"/>
          </w:tcPr>
          <w:p>
            <w:pPr>
              <w:spacing w:after="0"/>
              <w:rPr>
                <w:sz w:val="17"/>
                <w:szCs w:val="17"/>
                <w:color w:val="auto"/>
              </w:rPr>
            </w:pPr>
          </w:p>
        </w:tc>
      </w:tr>
      <w:tr>
        <w:trPr>
          <w:trHeight w:val="205"/>
        </w:trPr>
        <w:tc>
          <w:tcPr>
            <w:tcW w:w="54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2023 and thereafter</w:t>
            </w: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80" w:type="dxa"/>
            <w:vAlign w:val="bottom"/>
            <w:tcBorders>
              <w:bottom w:val="single" w:sz="8" w:color="CFF0FC"/>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80" w:type="dxa"/>
            <w:vAlign w:val="bottom"/>
            <w:tcBorders>
              <w:bottom w:val="single" w:sz="8" w:color="CFF0FC"/>
            </w:tcBorders>
          </w:tcPr>
          <w:p>
            <w:pPr>
              <w:spacing w:after="0"/>
              <w:rPr>
                <w:sz w:val="17"/>
                <w:szCs w:val="17"/>
                <w:color w:val="auto"/>
              </w:rPr>
            </w:pPr>
          </w:p>
        </w:tc>
      </w:tr>
      <w:tr>
        <w:trPr>
          <w:trHeight w:val="198"/>
        </w:trPr>
        <w:tc>
          <w:tcPr>
            <w:tcW w:w="54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403</w:t>
            </w:r>
          </w:p>
        </w:tc>
        <w:tc>
          <w:tcPr>
            <w:tcW w:w="1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405</w:t>
            </w:r>
          </w:p>
        </w:tc>
        <w:tc>
          <w:tcPr>
            <w:tcW w:w="80" w:type="dxa"/>
            <w:vAlign w:val="bottom"/>
            <w:tcBorders>
              <w:bottom w:val="single" w:sz="8" w:color="CFF0FC"/>
            </w:tcBorders>
            <w:shd w:val="clear" w:color="auto" w:fill="CFF0FC"/>
          </w:tcPr>
          <w:p>
            <w:pPr>
              <w:spacing w:after="0"/>
              <w:rPr>
                <w:sz w:val="17"/>
                <w:szCs w:val="17"/>
                <w:color w:val="auto"/>
              </w:rPr>
            </w:pPr>
          </w:p>
        </w:tc>
      </w:tr>
      <w:tr>
        <w:trPr>
          <w:trHeight w:val="20"/>
        </w:trPr>
        <w:tc>
          <w:tcPr>
            <w:tcW w:w="5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5" w:lineRule="exact"/>
        <w:rPr>
          <w:sz w:val="20"/>
          <w:szCs w:val="20"/>
          <w:color w:val="auto"/>
        </w:rPr>
      </w:pPr>
    </w:p>
    <w:p>
      <w:pPr>
        <w:ind w:left="3"/>
        <w:spacing w:after="0" w:line="293" w:lineRule="auto"/>
        <w:rPr>
          <w:sz w:val="20"/>
          <w:szCs w:val="20"/>
          <w:color w:val="auto"/>
        </w:rPr>
      </w:pPr>
      <w:r>
        <w:rPr>
          <w:rFonts w:ascii="Arial" w:cs="Arial" w:eastAsia="Arial" w:hAnsi="Arial"/>
          <w:sz w:val="14"/>
          <w:szCs w:val="14"/>
          <w:color w:val="auto"/>
        </w:rPr>
        <w:t>On September 3, 2013, the Company entered into (i) a Senior Secured First Lien Term Credit Agreement (the “First Lien Term Credit Agreement”) with the lenders party thereto (the “First Lien Lenders”), JPMorgan Chase Bank, N.A. as administrative agent, and J.P. Morgan Securities LLC, Barclays Bank PLC, and Merrill Lynch, Pierce, Fenner &amp; Smith Inc. as joint lead arrangers and joint bookrunners, and (ii) a Senior Secured Second Lien Term Credit Agreement (the “Second Lien Term Credit Agreement,” and together with the First Lien Term Credit Agreement, the “Term Credit Agreements”), with the lenders party thereto (the “Second Lien Lenders,” and together with the First Lien Lenders, the “Term Credit Lenders”), Barclays Bank PLC as administrative agent, and J.P. Morgan Securities LLC, Barclays Bank PLC and Merrill Lynch, Pierce, Fenner &amp; Smith Inc. as joint lead arrangers and joint bookrunners. Additionally, the Company and its U.S. subsidiaries (the “Subsidiary Guarantors”) entered into an Asset Based Revolving Credit Agreement (the “ABL Credit Agreement” and together with the Term Credit Agreements, the “Credit Agreements”) with the lenders party thereto (the “ABL Lenders” and together with the First Lien Lenders and the Second Lien Lenders, the “Lenders”) and Bank of America N.A. as administrative agent and collateral agent, Barclays Bank PLC as syndication agent and Merrill Lynch, Pierce, Fenner &amp; Smith Inc., Barclays Bank PLC and J.P. Morgan Securities LLC as joint lead arrangers and joint bookrunners. Pursuant to the terms of the Credit Agreements, the Term Credit Lenders provided the Company with term loan facilities in an aggregate principal amount of $695 million, consisting of $420 million of first-lien term loans (the “First Lien Loans”) and $275 million of second-lien term loans (the “Second Lien Loans”). Net proceeds from the Term Credit Agreements were $664 million ($695 million aggregate principal less $15 million stated discount and $16 million in debt transaction costs). The loans made under the First Lien Term Credit Agreement become due on the earlier to occur of (i) the maturity date of September 3, 2019 or (ii) the acceleration of such loans following the occurrence of an event of default (as defined in the First Lien Term Credit Agreement). The Second Lien Term Credit Agreement was prepaid and terminated on November 15, 2016.</w:t>
      </w:r>
    </w:p>
    <w:p>
      <w:pPr>
        <w:spacing w:after="0" w:line="173" w:lineRule="exact"/>
        <w:rPr>
          <w:sz w:val="20"/>
          <w:szCs w:val="20"/>
          <w:color w:val="auto"/>
        </w:rPr>
      </w:pPr>
    </w:p>
    <w:p>
      <w:pPr>
        <w:ind w:left="3"/>
        <w:spacing w:after="0"/>
        <w:rPr>
          <w:sz w:val="20"/>
          <w:szCs w:val="20"/>
          <w:color w:val="auto"/>
        </w:rPr>
      </w:pPr>
      <w:r>
        <w:rPr>
          <w:rFonts w:ascii="Arial" w:cs="Arial" w:eastAsia="Arial" w:hAnsi="Arial"/>
          <w:sz w:val="14"/>
          <w:szCs w:val="14"/>
          <w:color w:val="auto"/>
        </w:rPr>
        <w:t>The Credit Agreements limit, among other things, the Company’s and the Subsidiary Guarantors’ ability to (i) incur indebtedness, (ii) incur or create liens, (iii) dispose of assets,</w:t>
      </w:r>
    </w:p>
    <w:p>
      <w:pPr>
        <w:spacing w:after="0" w:line="45" w:lineRule="exact"/>
        <w:rPr>
          <w:sz w:val="20"/>
          <w:szCs w:val="20"/>
          <w:color w:val="auto"/>
        </w:rPr>
      </w:pPr>
    </w:p>
    <w:p>
      <w:pPr>
        <w:ind w:left="3" w:right="80" w:hanging="3"/>
        <w:spacing w:after="0" w:line="255" w:lineRule="auto"/>
        <w:tabs>
          <w:tab w:leader="none" w:pos="276" w:val="left"/>
        </w:tabs>
        <w:numPr>
          <w:ilvl w:val="0"/>
          <w:numId w:val="35"/>
        </w:numPr>
        <w:rPr>
          <w:rFonts w:ascii="Arial" w:cs="Arial" w:eastAsia="Arial" w:hAnsi="Arial"/>
          <w:sz w:val="16"/>
          <w:szCs w:val="16"/>
          <w:color w:val="auto"/>
        </w:rPr>
      </w:pPr>
      <w:r>
        <w:rPr>
          <w:rFonts w:ascii="Arial" w:cs="Arial" w:eastAsia="Arial" w:hAnsi="Arial"/>
          <w:sz w:val="16"/>
          <w:szCs w:val="16"/>
          <w:color w:val="auto"/>
        </w:rPr>
        <w:t>make restricted payments (including dividend payments, et al.) and (v) make investments. In addition to other customary affirmative covenants, the Credit Agreements provide for a periodic delivery by the Company of its various financial statements as set forth in the Credit Agreements. Events of default under the Credit Agreements include, among others, failure to pay any loan, interest or other amount due under the applicable credit agreement, breach of specific covenants and a change of control of the Company. Upon an event of default, the applicable lenders may declare the outstanding obligations under the applicable credit agreement to be immediately due and payable and exercise other rights and remedies provided for in such credit agreement.</w:t>
      </w:r>
    </w:p>
    <w:p>
      <w:pPr>
        <w:spacing w:after="0" w:line="388"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62865</wp:posOffset>
            </wp:positionV>
            <wp:extent cx="7301865" cy="406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301865" cy="40640"/>
                    </a:xfrm>
                    <a:prstGeom prst="rect">
                      <a:avLst/>
                    </a:prstGeom>
                    <a:noFill/>
                  </pic:spPr>
                </pic:pic>
              </a:graphicData>
            </a:graphic>
          </wp:anchor>
        </w:drawing>
      </w:r>
    </w:p>
    <w:p>
      <w:pPr>
        <w:sectPr>
          <w:pgSz w:w="11900" w:h="16838" w:orient="portrait"/>
          <w:cols w:equalWidth="0" w:num="1">
            <w:col w:w="11443"/>
          </w:cols>
          <w:pgMar w:left="237" w:top="123" w:right="219" w:bottom="1440" w:gutter="0" w:footer="0" w:header="0"/>
        </w:sectPr>
      </w:pPr>
    </w:p>
    <w:bookmarkStart w:id="69" w:name="page70"/>
    <w:bookmarkEnd w:id="69"/>
    <w:p>
      <w:pPr>
        <w:spacing w:after="0" w:line="273" w:lineRule="auto"/>
        <w:rPr>
          <w:sz w:val="20"/>
          <w:szCs w:val="20"/>
          <w:color w:val="auto"/>
        </w:rPr>
      </w:pPr>
      <w:r>
        <w:rPr>
          <w:rFonts w:ascii="Arial" w:cs="Arial" w:eastAsia="Arial" w:hAnsi="Arial"/>
          <w:sz w:val="15"/>
          <w:szCs w:val="15"/>
          <w:color w:val="auto"/>
        </w:rPr>
        <w:t>The First Lien Loans bear interest at the rate of LIBOR plus 6.25% per annum, with a LIBOR floor of 1% or Alternate Base Rate (as defined in the First Lien Term Credit Agreement) plus 5.25%. The Second Lien Loans interest was at the rate of LIBOR plus 9.5% per annum, with a LIBOR floor of 1.25% or Alternate Base Rate (as defined in the Second Lien Term Credit Agreement) plus 8.5%. Under the ABL Credit Agreement, the ABL Loans bore interest at the rate of LIBOR plus 2.75%-3.25% per annum or Base Rate (as defined in the ABL Credit Agreement) plus 1.75%-2.25% per annum, based on Excess Availability (as defined in the ABL Credit Agreement) until the ABL Credit Agreement was amended as discussed below. Each existing and future direct or indirect U.S. subsidiary of the Company (other than immaterial subsidiaries, unrestricted subsidiaries and certain other subsidiaries) have agreed to provide unconditional guarantees of the obligations of the Company under the Credit Agreements. Subject to certain exceptions, obligations under the First Lien Term Credit Agreement are secured by: (i) a first lien on all assets of the Company and the Subsidiary Guarantors, other than the ABL Collateral (as defined below), including a first lien on 100% of the stock of material domestic subsidiaries and 65% of the stock of material first-tier foreign subsidiaries (collectively the “Term Collateral”) and (ii) a second lien on the ABL Collateral. Obligations under the Asset Based Revolving Credit Agreement are secured by: (i) a first lien on cash, accounts receivable, inventory, machinery and equipment (the “ABL Collateral”) and (ii) a second lien on the Term Collateral. The aggregate carrying value of the Term Collateral and ABL Collateral as of December 31, 2017 and 2016 was $1,385 million and $1,613 million,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Company may voluntarily prepay the First Lien Loan.</w:t>
      </w:r>
    </w:p>
    <w:p>
      <w:pPr>
        <w:spacing w:after="0" w:line="227" w:lineRule="exact"/>
        <w:rPr>
          <w:sz w:val="20"/>
          <w:szCs w:val="20"/>
          <w:color w:val="auto"/>
        </w:rPr>
      </w:pPr>
    </w:p>
    <w:p>
      <w:pPr>
        <w:ind w:right="160"/>
        <w:spacing w:after="0" w:line="301" w:lineRule="auto"/>
        <w:rPr>
          <w:sz w:val="20"/>
          <w:szCs w:val="20"/>
          <w:color w:val="auto"/>
        </w:rPr>
      </w:pPr>
      <w:r>
        <w:rPr>
          <w:rFonts w:ascii="Arial" w:cs="Arial" w:eastAsia="Arial" w:hAnsi="Arial"/>
          <w:sz w:val="14"/>
          <w:szCs w:val="14"/>
          <w:color w:val="auto"/>
        </w:rPr>
        <w:t>As defined in the First Lien Term Credit Agreement, the Company is required to prepay loans with net proceeds from asset sales, recovery events or issuance of indebtedness, subject to, in the case of net proceeds received from asset sales or recovery events, reinvestment rights by the Company in assets used or usable by the business within certain time limits. On October 2, 2017, Kodak prepaid $6 million of principal under the First Lien Term Credit Agreement from proceeds from a royalty payment. On July 7, 2016, Kodak prepaid $5 million of principal under the First Lien Term Credit Agreement from proceeds received from the sale of a business. Under the terms of the First Lien Term Credit Agreement, the prepayments were applied first to the installment principal payments of $4 million due over the next twelve months, then ratably to the remaining scheduled payments. With the prepayments, Kodak does not owe any future scheduled principal payments until the maturity date of the loan.</w:t>
      </w:r>
    </w:p>
    <w:p>
      <w:pPr>
        <w:spacing w:after="0" w:line="46"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On an annual basis, the Company will prepay on June 30 of the following fiscal year loans in an amount equal to a percentage of Excess Cash Flow (“ECF”) as defined in the First Lien Term Credit Agreement, provided no such prepayment is required if such prepayment would cause U.S. liquidity (as defined in the First Lien Term Credit Agreement) to be less than $100 million or the Secured Leverage ratio is less than 2.25 to 1.00. For the years ended December 31, 2017, and 2015, ECF was a negative amount. For 2016, the Secured Leverage Ratio was below 2.25 to 1.00. Therefore, no prepayments of First Lien term debt have been required. Any mandatory prepayments as described above shall be reduced by any mandatory prepayments of the First Lien Loan.</w:t>
      </w:r>
    </w:p>
    <w:p>
      <w:pPr>
        <w:spacing w:after="0" w:line="192" w:lineRule="exact"/>
        <w:rPr>
          <w:sz w:val="20"/>
          <w:szCs w:val="20"/>
          <w:color w:val="auto"/>
        </w:rPr>
      </w:pPr>
    </w:p>
    <w:p>
      <w:pPr>
        <w:ind w:right="140"/>
        <w:spacing w:after="0" w:line="259" w:lineRule="auto"/>
        <w:rPr>
          <w:sz w:val="20"/>
          <w:szCs w:val="20"/>
          <w:color w:val="auto"/>
        </w:rPr>
      </w:pPr>
      <w:r>
        <w:rPr>
          <w:rFonts w:ascii="Arial" w:cs="Arial" w:eastAsia="Arial" w:hAnsi="Arial"/>
          <w:sz w:val="16"/>
          <w:szCs w:val="16"/>
          <w:color w:val="auto"/>
        </w:rPr>
        <w:t>Under the First Lien Term Credit Agreement, the Company is required to maintain a Secured Leverage Ratio (as defined therein) not to exceed specified levels. The Secured Leverage Ratio under the First Lien Term Credit Agreement is tested at the end of each quarter based on the prior four quarters. The maximum Secured Leverage Ratio permitted under the First Lien Term Credit Agreement declined on June 30, 2015 from 3.75:1 to 3.25:1 and further declined on December 31, 2015 from 3.25:1 to 2.75:1, with no further adjustments for the remainder of the agreement. As of December 31, 2017, Kodak was in compliance with all covenants under the First Lien Term Credit Agreement.</w:t>
      </w:r>
    </w:p>
    <w:p>
      <w:pPr>
        <w:spacing w:after="0" w:line="192"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Subject to Board approval and the terms of the Credit Agreements, the Company may designate Restricted Subsidiaries as Unrestricted Subsidiaries provided the aggregate sales of all Unrestricted Subsidiaries are less than 7.5% of the consolidated sales of Kodak and the aggregate assets of all Unrestricted Subsidiaries are less than 7.5% of Kodak’s consolidated assets. Further, under the Amended Credit Agreement, on a pro forma basis at the time of designation and immediately after giving effect thereto, Excess Availability must be at least $30 million and the pro forma Fixed Charge Coverage Ratio must be no less than 1.0 to 1.0. Upon designation of Unrestricted Subsidiaries, the Company will be required to provide to the Lenders reconciling statements to eliminate all financial information pertaining to Unrestricted Subsidiaries which is included in its annual and quarterly financial statements.</w:t>
      </w:r>
    </w:p>
    <w:p>
      <w:pPr>
        <w:spacing w:after="0" w:line="196"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color w:val="auto"/>
        </w:rPr>
        <w:t>In March, the Company has begun the process of designating five subsidiaries as Unrestricted Subsidiaries, Kodak PE Tech, LLC, Kodak LB Tech, LLC, Kodak Realty, Inc., Kodakit Singapore Pte. Limited and KP Services (Jersey) Ltd. This action will allow the Company to better position assets which may be monetized in the future and address costs related to underutilized properties. Collectively, these subsidiaries have sales of approximately $7 million for the year ended December 31, 2017 and assets of $17 million as of December 31, 2017, which represent 0% and 1%, respectively, of Kodak’s consolidated sales for the year ended December 31, 2017 and consolidated assets as of December 31, 2017. The designation of these subsidiaries as Unrestricted Subsidiaries is expected to increase the amount by which the Company’s EBITDA, as calculated under the Term Credit Agreement and the Amended Credit Agreement, exceeds the amount of EBITDA needed to satisfy the Net Secured Leverage Ratio covenant of 2.75 to 1.0 and the Fixed Charge Coverage Ratio of 1.0 to 1.0, respectively. Each of the capitalized but undefined terms has the meaning ascribed to such term in the Credit Agreements.</w:t>
      </w:r>
    </w:p>
    <w:p>
      <w:pPr>
        <w:spacing w:after="0" w:line="195" w:lineRule="exact"/>
        <w:rPr>
          <w:sz w:val="20"/>
          <w:szCs w:val="20"/>
          <w:color w:val="auto"/>
        </w:rPr>
      </w:pPr>
    </w:p>
    <w:p>
      <w:pPr>
        <w:ind w:right="120"/>
        <w:spacing w:after="0" w:line="266" w:lineRule="auto"/>
        <w:rPr>
          <w:sz w:val="20"/>
          <w:szCs w:val="20"/>
          <w:color w:val="auto"/>
        </w:rPr>
      </w:pPr>
      <w:r>
        <w:rPr>
          <w:rFonts w:ascii="Arial" w:cs="Arial" w:eastAsia="Arial" w:hAnsi="Arial"/>
          <w:sz w:val="16"/>
          <w:szCs w:val="16"/>
          <w:color w:val="auto"/>
        </w:rPr>
        <w:t>Kodak intends to conduct its operations in a manner that will result in continued compliance with the secured leverage ratio covenant; however, future compliance may depend on Kodak undertaking one or more actions, such as the repatriation of cash into the U.S., the management of operating cash outflows, the designation of subsidiaries as Unrestricted Subsidiaries, a monetization of assets, a debt refinancing, the raising of equity capital, or a similar transaction.</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Senior Secured Second Lien Term Credit Agreement Note Repurchase, Prepayment and Termination</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62865</wp:posOffset>
            </wp:positionV>
            <wp:extent cx="7301865" cy="406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301865" cy="4064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70" w:name="page71"/>
    <w:bookmarkEnd w:id="70"/>
    <w:p>
      <w:pPr>
        <w:spacing w:after="0" w:line="284" w:lineRule="auto"/>
        <w:rPr>
          <w:sz w:val="20"/>
          <w:szCs w:val="20"/>
          <w:color w:val="auto"/>
        </w:rPr>
      </w:pPr>
      <w:r>
        <w:rPr>
          <w:rFonts w:ascii="Arial" w:cs="Arial" w:eastAsia="Arial" w:hAnsi="Arial"/>
          <w:sz w:val="15"/>
          <w:szCs w:val="15"/>
          <w:color w:val="auto"/>
        </w:rPr>
        <w:t>In accordance with the modified Dutch auction procedures in the Second Lien Term Credit Agreement, Kodak offered to repurchase up to $25 million of second lien term loans within a price range of 97% to 98.5% of par. As a result of this auction process, on September 14, 2016 Kodak repurchased an aggregate of $13 million of second lien term loans at a price of 98% of par, representing all second lien term loans with respect to which bids were received at prices within the range. The repurchased second lien term loans were automatically cancelled upon the repurchase pursuant to the terms of the Second Lien Term Credit Agreement.</w:t>
      </w:r>
    </w:p>
    <w:p>
      <w:pPr>
        <w:spacing w:after="0" w:line="175" w:lineRule="exact"/>
        <w:rPr>
          <w:sz w:val="20"/>
          <w:szCs w:val="20"/>
          <w:color w:val="auto"/>
        </w:rPr>
      </w:pPr>
    </w:p>
    <w:p>
      <w:pPr>
        <w:ind w:right="60"/>
        <w:spacing w:after="0" w:line="257" w:lineRule="auto"/>
        <w:rPr>
          <w:sz w:val="20"/>
          <w:szCs w:val="20"/>
          <w:color w:val="auto"/>
        </w:rPr>
      </w:pPr>
      <w:r>
        <w:rPr>
          <w:rFonts w:ascii="Arial" w:cs="Arial" w:eastAsia="Arial" w:hAnsi="Arial"/>
          <w:sz w:val="16"/>
          <w:szCs w:val="16"/>
          <w:color w:val="auto"/>
        </w:rPr>
        <w:t>On November 15, 2016, the Company used the net proceeds from the sale of the Series A Preferred Stock, together with cash on hand, to pay an aggregate amount of $263.2 million (the “Prepayment Amount”), comprised of the full principal amount of $262 million plus accrued interest, fees and other expenses owed to the lenders under the Second Lien Term Credit Agreement. Upon the administrative agent’s receipt of the Prepayment Amount, the Second Lien Credit Agreement was terminated and the lenders’ security interest in any of the Company’s or its subsidiaries’ assets or property securing the Second Lien Credit Agreement was released. Kodak recognized $4 million of expense in Loss on early extinguishment of debt in the Consolidated Statement of Operations, representing the balance of Second Lien Term Agreement stated discount remaining at the time of the prepayment.</w:t>
      </w:r>
    </w:p>
    <w:p>
      <w:pPr>
        <w:spacing w:after="0" w:line="19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Amended and Restated Credit Agreement</w:t>
      </w:r>
    </w:p>
    <w:p>
      <w:pPr>
        <w:spacing w:after="0" w:line="15" w:lineRule="exact"/>
        <w:rPr>
          <w:sz w:val="20"/>
          <w:szCs w:val="20"/>
          <w:color w:val="auto"/>
        </w:rPr>
      </w:pPr>
    </w:p>
    <w:p>
      <w:pPr>
        <w:ind w:right="60"/>
        <w:spacing w:after="0" w:line="257" w:lineRule="auto"/>
        <w:rPr>
          <w:sz w:val="20"/>
          <w:szCs w:val="20"/>
          <w:color w:val="auto"/>
        </w:rPr>
      </w:pPr>
      <w:r>
        <w:rPr>
          <w:rFonts w:ascii="Arial" w:cs="Arial" w:eastAsia="Arial" w:hAnsi="Arial"/>
          <w:sz w:val="16"/>
          <w:szCs w:val="16"/>
          <w:color w:val="auto"/>
        </w:rPr>
        <w:t>On May 26, 2016, the Company and certain of its domestic subsidiaries (the “Subsidiary Guarantors”) entered into an Amended and Restated Credit Agreement (the “Amended Credit Agreement” or “ABL Credit Agreement”) with the lenders party thereto (the “Lenders”), Bank of America, N.A., as administrative and collateral agent, and Bank of America, N.A. and JPMorgan Chase Bank, N.A., as joint lead arrangers and joint bookrunners, which amended and restated the existing Asset Based Revolving Credit Agreement, dated as of September 3, 2013 (the “Prior Credit Agreement”). Each of the capitalized but undefined terms used in the context of describing the Amended Credit Agreement has the meaning ascribed to such term in the Amended Credit Agreement.</w:t>
      </w:r>
    </w:p>
    <w:p>
      <w:pPr>
        <w:spacing w:after="0" w:line="193" w:lineRule="exact"/>
        <w:rPr>
          <w:sz w:val="20"/>
          <w:szCs w:val="20"/>
          <w:color w:val="auto"/>
        </w:rPr>
      </w:pPr>
    </w:p>
    <w:p>
      <w:pPr>
        <w:ind w:right="220"/>
        <w:spacing w:after="0" w:line="261" w:lineRule="auto"/>
        <w:rPr>
          <w:sz w:val="20"/>
          <w:szCs w:val="20"/>
          <w:color w:val="auto"/>
        </w:rPr>
      </w:pPr>
      <w:r>
        <w:rPr>
          <w:rFonts w:ascii="Arial" w:cs="Arial" w:eastAsia="Arial" w:hAnsi="Arial"/>
          <w:sz w:val="16"/>
          <w:szCs w:val="16"/>
          <w:color w:val="auto"/>
        </w:rPr>
        <w:t>The Amended Credit Agreement decreased the aggregate amount of commitments from $200 million to $150 million and extended the maturity date to the earlier of May 26, 2021 or the date that is 90 days prior to the earliest scheduled maturity date of any of the Company’s outstanding term loans or refinancings thereof, of which the earliest maturity date is currently September 3, 2019. The Amended Credit Agreement, among other things, lowered reserve requirements by eliminating the Availability Block and removed the ability to use Qualified Cash to support Excess Availability.</w:t>
      </w:r>
    </w:p>
    <w:p>
      <w:pPr>
        <w:spacing w:after="0" w:line="191" w:lineRule="exact"/>
        <w:rPr>
          <w:sz w:val="20"/>
          <w:szCs w:val="20"/>
          <w:color w:val="auto"/>
        </w:rPr>
      </w:pPr>
    </w:p>
    <w:p>
      <w:pPr>
        <w:jc w:val="both"/>
        <w:ind w:right="160"/>
        <w:spacing w:after="0" w:line="354" w:lineRule="auto"/>
        <w:rPr>
          <w:sz w:val="20"/>
          <w:szCs w:val="20"/>
          <w:color w:val="auto"/>
        </w:rPr>
      </w:pPr>
      <w:r>
        <w:rPr>
          <w:rFonts w:ascii="Arial" w:cs="Arial" w:eastAsia="Arial" w:hAnsi="Arial"/>
          <w:sz w:val="14"/>
          <w:szCs w:val="14"/>
          <w:color w:val="auto"/>
        </w:rPr>
        <w:t>Each existing direct or indirect U.S. subsidiary of the Company (other than Immaterial Subsidiaries, Unrestricted Subsidiaries and certain other subsidiaries) has reaffirmed its unconditional guarantee (and any such future subsidiaries must provide an unconditional guarantee) of the obligations of the Company under the Amended Credit Agreement.</w:t>
      </w:r>
    </w:p>
    <w:p>
      <w:pPr>
        <w:spacing w:after="0" w:line="129" w:lineRule="exact"/>
        <w:rPr>
          <w:sz w:val="20"/>
          <w:szCs w:val="20"/>
          <w:color w:val="auto"/>
        </w:rPr>
      </w:pPr>
    </w:p>
    <w:p>
      <w:pPr>
        <w:ind w:right="300"/>
        <w:spacing w:after="0" w:line="261" w:lineRule="auto"/>
        <w:rPr>
          <w:sz w:val="20"/>
          <w:szCs w:val="20"/>
          <w:color w:val="auto"/>
        </w:rPr>
      </w:pPr>
      <w:r>
        <w:rPr>
          <w:rFonts w:ascii="Arial" w:cs="Arial" w:eastAsia="Arial" w:hAnsi="Arial"/>
          <w:sz w:val="16"/>
          <w:szCs w:val="16"/>
          <w:color w:val="auto"/>
        </w:rPr>
        <w:t>The Lenders will make available asset-based revolving loans (the “ABL Loans”) and letters of credit in an aggregate amount of up to $150 million, subject to the Borrowing Base. The Company has issued approximately $96 million of letters of credit under the Amended Credit Agreement as of both December 31, 2017. The Company had approximately $20 million of Excess Availability under the Amended Credit Agreement as of December 31, 2017 and 2016. Availability is subject to the borrowing base calculation, reserves and other limitations.</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The ABL Loans bear interest at the rate of LIBOR plus 2.25% - 2.75% per annum or Base Rate plus 1.25% - 1.75% per annum based on Excess Availability.</w:t>
      </w:r>
    </w:p>
    <w:p>
      <w:pPr>
        <w:spacing w:after="0" w:line="227" w:lineRule="exact"/>
        <w:rPr>
          <w:sz w:val="20"/>
          <w:szCs w:val="20"/>
          <w:color w:val="auto"/>
        </w:rPr>
      </w:pPr>
    </w:p>
    <w:p>
      <w:pPr>
        <w:ind w:right="80"/>
        <w:spacing w:after="0" w:line="292" w:lineRule="auto"/>
        <w:rPr>
          <w:sz w:val="20"/>
          <w:szCs w:val="20"/>
          <w:color w:val="auto"/>
        </w:rPr>
      </w:pPr>
      <w:r>
        <w:rPr>
          <w:rFonts w:ascii="Arial" w:cs="Arial" w:eastAsia="Arial" w:hAnsi="Arial"/>
          <w:sz w:val="15"/>
          <w:szCs w:val="15"/>
          <w:color w:val="auto"/>
        </w:rPr>
        <w:t>Excess Availability is equal to the sum of (i) 85% of the amount of the Eligible Receivables less a Dilution Reserve, (ii) the lesser of 85% of Net Orderly Liquidation Value or 75% of the Eligible Inventory (iii) the lesser of 75% of Orderly Liquidation Value of Eligible Equipment or $15 million, as of December 31, 2017 (which $15 million decreases by $1 million per quarter) and (iv) Eligible Cash less (a) Rent and Charges Reserves, (b) Principal Outstanding and (c) Outstanding Letters of Credit..</w:t>
      </w:r>
    </w:p>
    <w:p>
      <w:pPr>
        <w:spacing w:after="0" w:line="144" w:lineRule="exact"/>
        <w:rPr>
          <w:sz w:val="20"/>
          <w:szCs w:val="20"/>
          <w:color w:val="auto"/>
        </w:rPr>
      </w:pPr>
    </w:p>
    <w:p>
      <w:pPr>
        <w:ind w:right="140"/>
        <w:spacing w:after="0" w:line="280" w:lineRule="auto"/>
        <w:rPr>
          <w:sz w:val="20"/>
          <w:szCs w:val="20"/>
          <w:color w:val="auto"/>
        </w:rPr>
      </w:pPr>
      <w:r>
        <w:rPr>
          <w:rFonts w:ascii="Arial" w:cs="Arial" w:eastAsia="Arial" w:hAnsi="Arial"/>
          <w:sz w:val="16"/>
          <w:szCs w:val="16"/>
          <w:color w:val="auto"/>
        </w:rPr>
        <w:t>Under the Amended Credit Agreement, Kodak is required to maintain a minimum Fixed Charge Coverage Ratio of 1.00 to 1.00 when Excess Availability is less than 12.5% of lender commitments. As of December 31, 2017 and 2016, 12.5% of lender commitments were $18.75 million.</w:t>
      </w:r>
    </w:p>
    <w:p>
      <w:pPr>
        <w:spacing w:after="0" w:line="175" w:lineRule="exact"/>
        <w:rPr>
          <w:sz w:val="20"/>
          <w:szCs w:val="20"/>
          <w:color w:val="auto"/>
        </w:rPr>
      </w:pPr>
    </w:p>
    <w:p>
      <w:pPr>
        <w:ind w:right="40"/>
        <w:spacing w:after="0" w:line="321" w:lineRule="auto"/>
        <w:rPr>
          <w:sz w:val="20"/>
          <w:szCs w:val="20"/>
          <w:color w:val="auto"/>
        </w:rPr>
      </w:pPr>
      <w:r>
        <w:rPr>
          <w:rFonts w:ascii="Arial" w:cs="Arial" w:eastAsia="Arial" w:hAnsi="Arial"/>
          <w:sz w:val="14"/>
          <w:szCs w:val="14"/>
          <w:color w:val="auto"/>
        </w:rPr>
        <w:t>If Excess Availability falls below 12.5% of lender commitments, Kodak may, in addition to the requirement to be in compliance with the minimum Fixed Charge Coverage Ratio, become subject to cash dominion control. Since Excess Availability was greater than 12.5% of lender commitments at December 31, 2017, Kodak is not required to have a minimum Fixed Charges Coverage Ratio of 1.0 to 1.0. As of December 31, 2017 Kodak was in compliance with all the covenants under the Amended Credit Agreement.</w:t>
      </w:r>
    </w:p>
    <w:p>
      <w:pPr>
        <w:spacing w:after="0" w:line="152" w:lineRule="exact"/>
        <w:rPr>
          <w:sz w:val="20"/>
          <w:szCs w:val="20"/>
          <w:color w:val="auto"/>
        </w:rPr>
      </w:pPr>
    </w:p>
    <w:p>
      <w:pPr>
        <w:ind w:right="860"/>
        <w:spacing w:after="0" w:line="280" w:lineRule="auto"/>
        <w:rPr>
          <w:sz w:val="20"/>
          <w:szCs w:val="20"/>
          <w:color w:val="auto"/>
        </w:rPr>
      </w:pPr>
      <w:r>
        <w:rPr>
          <w:rFonts w:ascii="Arial" w:cs="Arial" w:eastAsia="Arial" w:hAnsi="Arial"/>
          <w:sz w:val="16"/>
          <w:szCs w:val="16"/>
          <w:color w:val="auto"/>
        </w:rPr>
        <w:t>As of December 31, 2017 and 2016, Kodak had funded $6 million and $25 million, respectively, to the Eligible Cash account, held with the ABL Credit Agreement Administrative Agent, which is classified as Restricted cash in the Consolidated Statement of Financial Position.</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62865</wp:posOffset>
            </wp:positionV>
            <wp:extent cx="7301865" cy="406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301865" cy="4064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71" w:name="page72"/>
    <w:bookmarkEnd w:id="71"/>
    <w:p>
      <w:pPr>
        <w:spacing w:after="0"/>
        <w:rPr>
          <w:sz w:val="20"/>
          <w:szCs w:val="20"/>
          <w:color w:val="auto"/>
        </w:rPr>
      </w:pPr>
      <w:r>
        <w:rPr>
          <w:rFonts w:ascii="Arial" w:cs="Arial" w:eastAsia="Arial" w:hAnsi="Arial"/>
          <w:sz w:val="16"/>
          <w:szCs w:val="16"/>
          <w:b w:val="1"/>
          <w:bCs w:val="1"/>
          <w:color w:val="auto"/>
        </w:rPr>
        <w:t>NOTE 9: REDEEMABLE, CONVERTIBLE SERIES A PREFERRED STOCK</w:t>
      </w:r>
    </w:p>
    <w:p>
      <w:pPr>
        <w:spacing w:after="0" w:line="231"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auto"/>
        </w:rPr>
        <w:t>On November 15, 2016, the Company issued 2,000,000 shares of 5.50% Series A Convertible Preferred Stock, no par value per share (the “Series A Preferred Stock”), for an aggregate purchase price of $200 million, or $100 per share pursuant to a Series A Preferred Stock Purchase Agreement (the “Purchase Agreement”) with Southeastern Asset Management, Inc. (“Southeastern”) and Longleaf Partners Small-Cap Fund, C2W Partners Master Fund Limited and Deseret Mutual Pension Trust, which are investment funds managed by Southeastern (such investment funds, collectively, the “Purchasers”), dated November 7, 2016. The Company received net proceeds of $198 million after issuance costs.</w:t>
      </w:r>
    </w:p>
    <w:p>
      <w:pPr>
        <w:spacing w:after="0" w:line="192"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The Company has classified the Series A Preferred Stock as temporary equity in the Consolidated Statement of Financial Position. The $2 million in issuance costs originally reduced the carrying value of the Series A Preferred Stock and is being accreted using the effective interest method to Additional paid in capital in the Consolidated Statement of Financial Position as a deemed dividend from the date of issuance through the mandatory redemption date, November 15, 2021.</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Dividend and Other Rights</w:t>
      </w:r>
    </w:p>
    <w:p>
      <w:pPr>
        <w:spacing w:after="0" w:line="26" w:lineRule="exact"/>
        <w:rPr>
          <w:sz w:val="20"/>
          <w:szCs w:val="20"/>
          <w:color w:val="auto"/>
        </w:rPr>
      </w:pPr>
    </w:p>
    <w:p>
      <w:pPr>
        <w:ind w:right="160"/>
        <w:spacing w:after="0" w:line="254" w:lineRule="auto"/>
        <w:rPr>
          <w:sz w:val="20"/>
          <w:szCs w:val="20"/>
          <w:color w:val="auto"/>
        </w:rPr>
      </w:pPr>
      <w:r>
        <w:rPr>
          <w:rFonts w:ascii="Arial" w:cs="Arial" w:eastAsia="Arial" w:hAnsi="Arial"/>
          <w:sz w:val="16"/>
          <w:szCs w:val="16"/>
          <w:color w:val="auto"/>
        </w:rPr>
        <w:t>On November 14, 2016, the Company filed with the Department of Treasury of the State of New Jersey a Certificate of Amendment to the Second Amended and Restated Certificate of Incorporation of the Company (the “Certificate of Designations”) which established the designation, number of shares, rights, preferences and limitations of the Series A Preferred Stock which became effective upon filing. The Series A Preferred Stock ranks senior to the Company’s common stock (“Common Stock”) with respect to dividend rights and rights on liquidation, winding-up and dissolution. The Series A Preferred Stock has a liquidation preference of $100 per share, and the holders of Series A Preferred Stock are entitled to cumulative dividends payable quarterly in cash at a rate of 5.50% per annum. All dividends owed on the Series A Preferred Stock have been declared and paid when due.</w:t>
      </w:r>
    </w:p>
    <w:p>
      <w:pPr>
        <w:spacing w:after="0" w:line="197" w:lineRule="exact"/>
        <w:rPr>
          <w:sz w:val="20"/>
          <w:szCs w:val="20"/>
          <w:color w:val="auto"/>
        </w:rPr>
      </w:pPr>
    </w:p>
    <w:p>
      <w:pPr>
        <w:ind w:right="120"/>
        <w:spacing w:after="0" w:line="266" w:lineRule="auto"/>
        <w:rPr>
          <w:sz w:val="20"/>
          <w:szCs w:val="20"/>
          <w:color w:val="auto"/>
        </w:rPr>
      </w:pPr>
      <w:r>
        <w:rPr>
          <w:rFonts w:ascii="Arial" w:cs="Arial" w:eastAsia="Arial" w:hAnsi="Arial"/>
          <w:sz w:val="16"/>
          <w:szCs w:val="16"/>
          <w:color w:val="auto"/>
        </w:rPr>
        <w:t>Holders of Series A Preferred Stock are entitled to vote together with the holders of the Common Stock as a single class, in each case, on an as-converted basis, except where a separate class vote is required by law. Holders of Series A Preferred Stock have certain limited special approval rights, including with respect to the issuance of pari passu or senior equity securities of the Company.</w:t>
      </w:r>
    </w:p>
    <w:p>
      <w:pPr>
        <w:spacing w:after="0" w:line="186" w:lineRule="exact"/>
        <w:rPr>
          <w:sz w:val="20"/>
          <w:szCs w:val="20"/>
          <w:color w:val="auto"/>
        </w:rPr>
      </w:pPr>
    </w:p>
    <w:p>
      <w:pPr>
        <w:ind w:right="80"/>
        <w:spacing w:after="0" w:line="301" w:lineRule="auto"/>
        <w:rPr>
          <w:sz w:val="20"/>
          <w:szCs w:val="20"/>
          <w:color w:val="auto"/>
        </w:rPr>
      </w:pPr>
      <w:r>
        <w:rPr>
          <w:rFonts w:ascii="Arial" w:cs="Arial" w:eastAsia="Arial" w:hAnsi="Arial"/>
          <w:sz w:val="14"/>
          <w:szCs w:val="14"/>
          <w:color w:val="auto"/>
        </w:rPr>
        <w:t>The Purchasers have the right to nominate members to the Company’s board of directors proportional to their ownership on an as converted basis, which initially allows the Purchasers to nominate two members to the board. If dividends on any Series A Preferred Stock are in arrears for six or more consecutive or non-consecutive dividend periods, the holders of Series A Preferred Stock, voting with holders of all other preferred stock of the Company whose voting rights are then exercisable, will be entitled to vote for the election of two additional directors in the next annual meeting and all subsequent meetings until all accumulated dividends on such Series A Preferred Stock and other voting preferred stock have been paid or set aside. The nomination right of the Purchasers will be reduced by two nominees at any time the holders of Series A Preferred Stock have the right to elect, or participate in the election of, two additional directors. Two of the directors on the Company’s current board of directors were nominated by the Purchasers.</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Conversion Features</w:t>
      </w:r>
    </w:p>
    <w:p>
      <w:pPr>
        <w:spacing w:after="0" w:line="26" w:lineRule="exact"/>
        <w:rPr>
          <w:sz w:val="20"/>
          <w:szCs w:val="20"/>
          <w:color w:val="auto"/>
        </w:rPr>
      </w:pPr>
    </w:p>
    <w:p>
      <w:pPr>
        <w:ind w:right="40"/>
        <w:spacing w:after="0" w:line="254" w:lineRule="auto"/>
        <w:rPr>
          <w:sz w:val="20"/>
          <w:szCs w:val="20"/>
          <w:color w:val="auto"/>
        </w:rPr>
      </w:pPr>
      <w:r>
        <w:rPr>
          <w:rFonts w:ascii="Arial" w:cs="Arial" w:eastAsia="Arial" w:hAnsi="Arial"/>
          <w:sz w:val="16"/>
          <w:szCs w:val="16"/>
          <w:color w:val="auto"/>
        </w:rPr>
        <w:t>Each share of Series A Preferred Stock is convertible, at the option of each holder at any time, into shares of Common Stock at the initial conversion rate of 5.7471 (equivalent to an initial conversion price of $17.40 per share of Common Stock). If a holder elects to convert any shares of Series A Preferred Stock during a specified period in connection with a fundamental change (as defined in the Certificate of Designations), the conversion rate will be adjusted under certain circumstances and such holder will also be entitled to a payment in respect of accumulated dividends. If a holder elects to convert any shares of Series A Preferred Stock during a specified period following a reorganization event (as defined in the Certificate of Designations), such holder can elect to have the conversion rate adjusted. In addition, the Company will have the right to require holders to convert any shares of Series A Preferred Stock in connection with certain reorganization events, in which case the conversion rate will be adjusted under certain circumstances. If shares of Series A Preferred Stock are not converted in connection with a reorganization event, such shares will become convertible into the exchanged property from the reorganization event.</w:t>
      </w:r>
    </w:p>
    <w:p>
      <w:pPr>
        <w:spacing w:after="0" w:line="171" w:lineRule="exact"/>
        <w:rPr>
          <w:sz w:val="20"/>
          <w:szCs w:val="20"/>
          <w:color w:val="auto"/>
        </w:rPr>
      </w:pPr>
    </w:p>
    <w:p>
      <w:pPr>
        <w:ind w:right="140"/>
        <w:spacing w:after="0" w:line="261" w:lineRule="auto"/>
        <w:rPr>
          <w:sz w:val="20"/>
          <w:szCs w:val="20"/>
          <w:color w:val="auto"/>
        </w:rPr>
      </w:pPr>
      <w:r>
        <w:rPr>
          <w:rFonts w:ascii="Arial" w:cs="Arial" w:eastAsia="Arial" w:hAnsi="Arial"/>
          <w:sz w:val="16"/>
          <w:szCs w:val="16"/>
          <w:color w:val="auto"/>
        </w:rPr>
        <w:t>The Company will have the right to convert Series A Preferred Stock into Common Stock at any time after the second anniversary of the initial issuance, if the closing price of the Common Stock has equaled or exceeded 125 percent of the then-effective conversion price for 45 trading days within a period of 60 consecutive trading days, with the last trading day of such 60 day period ending on the trading day immediately preceding the business day on which the Company issues a press release announcing the mandatory conversion.</w:t>
      </w:r>
    </w:p>
    <w:p>
      <w:pPr>
        <w:spacing w:after="0" w:line="167" w:lineRule="exact"/>
        <w:rPr>
          <w:sz w:val="20"/>
          <w:szCs w:val="20"/>
          <w:color w:val="auto"/>
        </w:rPr>
      </w:pPr>
    </w:p>
    <w:p>
      <w:pPr>
        <w:ind w:right="280"/>
        <w:spacing w:after="0" w:line="354" w:lineRule="auto"/>
        <w:rPr>
          <w:sz w:val="20"/>
          <w:szCs w:val="20"/>
          <w:color w:val="auto"/>
        </w:rPr>
      </w:pPr>
      <w:r>
        <w:rPr>
          <w:rFonts w:ascii="Arial" w:cs="Arial" w:eastAsia="Arial" w:hAnsi="Arial"/>
          <w:sz w:val="14"/>
          <w:szCs w:val="14"/>
          <w:color w:val="auto"/>
        </w:rPr>
        <w:t>The initial conversion rate and the corresponding conversion price are subject to customary anti-dilution adjustments as well as an adjustment if the Company is obligated to make a cash payment under the settlement agreement relating to the remediation of historical environmental liabilities at EBP, as discussed in Note 11, “Guarantees”.</w:t>
      </w:r>
    </w:p>
    <w:p>
      <w:pPr>
        <w:spacing w:after="0" w:line="129"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auto"/>
        </w:rPr>
        <w:t>The Company concluded that the Series A Preferred Stock is considered more akin to a debt-type instrument and that the economic characteristics and risks of the embedded conversion features, except where the conversion price is increased to the liquidation preference, were not considered clearly and closely related to the Series A Preferred Stock. Accordingly, these embedded conversion features were bifurcated from the Series A Preferred Stock and separately accounted for on a combined basis at fair value as a single derivative. The Company allocated $43 million of the net proceeds received to the derivative liability based on the aggregate fair value of the embedded conversion features on the date of issuance which</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62865</wp:posOffset>
            </wp:positionV>
            <wp:extent cx="7301865" cy="406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301865" cy="40640"/>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72" w:name="page73"/>
    <w:bookmarkEnd w:id="72"/>
    <w:p>
      <w:pPr>
        <w:ind w:right="160"/>
        <w:spacing w:after="0" w:line="259" w:lineRule="auto"/>
        <w:rPr>
          <w:sz w:val="20"/>
          <w:szCs w:val="20"/>
          <w:color w:val="auto"/>
        </w:rPr>
      </w:pPr>
      <w:r>
        <w:rPr>
          <w:rFonts w:ascii="Arial" w:cs="Arial" w:eastAsia="Arial" w:hAnsi="Arial"/>
          <w:sz w:val="16"/>
          <w:szCs w:val="16"/>
          <w:color w:val="auto"/>
        </w:rPr>
        <w:t>reduced the original carrying value of the Series A Preferred Stock. The derivative is being accounted for at fair value with subsequent changes in the fair value being reported as part of Other (income) charges, net in the Consolidated Statement of Operations. The fair value of the derivative as of December 31, 2017 was an asset of $4 million and is included within Other long-term assets in the accompanying Consolidated Statement of Financial Position. The fair value of the derivative as of December 31, 2016 was a liability of $43 million and is included within Other long-term liabilities in the accompanying Consolidated Statement of Financial Position. Refer to Note 12, “Financial Instruments” for information on the valuation of the derivative.</w:t>
      </w:r>
    </w:p>
    <w:p>
      <w:pPr>
        <w:spacing w:after="0" w:line="192" w:lineRule="exact"/>
        <w:rPr>
          <w:sz w:val="20"/>
          <w:szCs w:val="20"/>
          <w:color w:val="auto"/>
        </w:rPr>
      </w:pPr>
    </w:p>
    <w:p>
      <w:pPr>
        <w:ind w:right="440"/>
        <w:spacing w:after="0" w:line="321" w:lineRule="auto"/>
        <w:rPr>
          <w:sz w:val="20"/>
          <w:szCs w:val="20"/>
          <w:color w:val="auto"/>
        </w:rPr>
      </w:pPr>
      <w:r>
        <w:rPr>
          <w:rFonts w:ascii="Arial" w:cs="Arial" w:eastAsia="Arial" w:hAnsi="Arial"/>
          <w:sz w:val="14"/>
          <w:szCs w:val="14"/>
          <w:color w:val="auto"/>
        </w:rPr>
        <w:t>The carrying value of the Series A Preferred Stock at the time of issuance, $155 million ($200 million aggregate gross proceeds less $43 million allocated to the derivative liability and $2 million in transaction costs) is being accreted to the mandatory redemption amount using the effective interest method to Additional paid in capital in the Consolidated Statement of Financial Position as a deemed dividend from the date of issuance through the mandatory redemption date, November 15, 2021.</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Redemption Features</w:t>
      </w:r>
    </w:p>
    <w:p>
      <w:pPr>
        <w:spacing w:after="0" w:line="26" w:lineRule="exact"/>
        <w:rPr>
          <w:sz w:val="20"/>
          <w:szCs w:val="20"/>
          <w:color w:val="auto"/>
        </w:rPr>
      </w:pPr>
    </w:p>
    <w:p>
      <w:pPr>
        <w:jc w:val="both"/>
        <w:ind w:right="40"/>
        <w:spacing w:after="0" w:line="256" w:lineRule="auto"/>
        <w:rPr>
          <w:sz w:val="20"/>
          <w:szCs w:val="20"/>
          <w:color w:val="auto"/>
        </w:rPr>
      </w:pPr>
      <w:r>
        <w:rPr>
          <w:rFonts w:ascii="Arial" w:cs="Arial" w:eastAsia="Arial" w:hAnsi="Arial"/>
          <w:sz w:val="16"/>
          <w:szCs w:val="16"/>
          <w:color w:val="auto"/>
        </w:rPr>
        <w:t>If any shares of Series A Preferred Stock have not been converted prior to the fifth anniversary of the initial issuance of the Series A Preferred Stock, the Company is required to redeem such shares at $100 per share plus the amount of accrued and unpaid dividends. As the Company concluded that the Series A Preferred Stock is considered more akin to a debt-type instrument, the redemption feature is considered to be clearly and closely related to the host contract and therefore was not required to be separated from the Series A Preferred Stock.</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Series A Registration Rights Agreement</w:t>
      </w:r>
    </w:p>
    <w:p>
      <w:pPr>
        <w:spacing w:after="0" w:line="26" w:lineRule="exact"/>
        <w:rPr>
          <w:sz w:val="20"/>
          <w:szCs w:val="20"/>
          <w:color w:val="auto"/>
        </w:rPr>
      </w:pPr>
    </w:p>
    <w:p>
      <w:pPr>
        <w:ind w:right="120"/>
        <w:spacing w:after="0" w:line="256" w:lineRule="auto"/>
        <w:rPr>
          <w:sz w:val="20"/>
          <w:szCs w:val="20"/>
          <w:color w:val="auto"/>
        </w:rPr>
      </w:pPr>
      <w:r>
        <w:rPr>
          <w:rFonts w:ascii="Arial" w:cs="Arial" w:eastAsia="Arial" w:hAnsi="Arial"/>
          <w:sz w:val="16"/>
          <w:szCs w:val="16"/>
          <w:color w:val="auto"/>
        </w:rPr>
        <w:t>On November 15, 2016, the Company, Southeastern and the Purchasers entered into a Registration Rights Agreement (the “Series A Registration Rights Agreement”), pursuant to which the Company agreed to register under the Securities Act and take certain actions with respect to the offer and sale by the Purchasers of shares of Series A Preferred Stock purchased by the Purchasers and shares of Common Stock issuable upon conversion of the Series A Preferred Stock and issuable pursuant to the terms of the Series A Preferred Stock (the “Series A registrable securities”).</w:t>
      </w:r>
    </w:p>
    <w:p>
      <w:pPr>
        <w:spacing w:after="0" w:line="194" w:lineRule="exact"/>
        <w:rPr>
          <w:sz w:val="20"/>
          <w:szCs w:val="20"/>
          <w:color w:val="auto"/>
        </w:rPr>
      </w:pPr>
    </w:p>
    <w:p>
      <w:pPr>
        <w:ind w:right="120"/>
        <w:spacing w:after="0" w:line="280" w:lineRule="auto"/>
        <w:rPr>
          <w:sz w:val="20"/>
          <w:szCs w:val="20"/>
          <w:color w:val="auto"/>
        </w:rPr>
      </w:pPr>
      <w:r>
        <w:rPr>
          <w:rFonts w:ascii="Arial" w:cs="Arial" w:eastAsia="Arial" w:hAnsi="Arial"/>
          <w:sz w:val="15"/>
          <w:szCs w:val="15"/>
          <w:color w:val="auto"/>
        </w:rPr>
        <w:t>Pursuant to the Registration Rights Agreement, the Company has filed with the SEC a shelf registration statement on Form S-3 that relates to the resale of the Series A registrable securities and such registration statement has been declared effective by the SEC. Upon the written demand of the relevant Purchaser(s), the Company will facilitate a “takedown” of Series A registrable securities off of the registration statement but the Purchaser(s) may not, individually or collectively, make more than four demands in the aggregate. Any demand for an underwritten offering of Series A Preferred Stock must have an aggregate market value (based on the most recent closing price of the Common Stock into which the Series A Preferred Stock is convertible at the time of the demand) of at least $75 million.</w:t>
      </w:r>
    </w:p>
    <w:p>
      <w:pPr>
        <w:spacing w:after="0" w:line="178" w:lineRule="exact"/>
        <w:rPr>
          <w:sz w:val="20"/>
          <w:szCs w:val="20"/>
          <w:color w:val="auto"/>
        </w:rPr>
      </w:pPr>
    </w:p>
    <w:p>
      <w:pPr>
        <w:jc w:val="both"/>
        <w:ind w:right="240"/>
        <w:spacing w:after="0" w:line="266" w:lineRule="auto"/>
        <w:rPr>
          <w:sz w:val="20"/>
          <w:szCs w:val="20"/>
          <w:color w:val="auto"/>
        </w:rPr>
      </w:pPr>
      <w:r>
        <w:rPr>
          <w:rFonts w:ascii="Arial" w:cs="Arial" w:eastAsia="Arial" w:hAnsi="Arial"/>
          <w:sz w:val="16"/>
          <w:szCs w:val="16"/>
          <w:color w:val="auto"/>
        </w:rPr>
        <w:t>The Series A Registration Rights Agreement does not entitle the Purchasers to piggyback registration rights. The Series A Registration Rights Agreement is binding upon the parties thereto and their successors and will inure to the benefit of each Purchaser and its successors and permitted assigns. Neither party may assign the Series A Registration Rights Agreement without the prior written consent of the other party.</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10: COMMITMENTS AND CONTINGENCIES</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Asset Retirement Obligations</w:t>
      </w:r>
    </w:p>
    <w:p>
      <w:pPr>
        <w:spacing w:after="0" w:line="110" w:lineRule="exact"/>
        <w:rPr>
          <w:sz w:val="20"/>
          <w:szCs w:val="20"/>
          <w:color w:val="auto"/>
        </w:rPr>
      </w:pPr>
    </w:p>
    <w:p>
      <w:pPr>
        <w:ind w:right="40"/>
        <w:spacing w:after="0" w:line="278" w:lineRule="auto"/>
        <w:rPr>
          <w:sz w:val="20"/>
          <w:szCs w:val="20"/>
          <w:color w:val="auto"/>
        </w:rPr>
      </w:pPr>
      <w:r>
        <w:rPr>
          <w:rFonts w:ascii="Arial" w:cs="Arial" w:eastAsia="Arial" w:hAnsi="Arial"/>
          <w:sz w:val="15"/>
          <w:szCs w:val="15"/>
          <w:color w:val="auto"/>
        </w:rPr>
        <w:t>Kodak’s asset retirement obligations primarily relate to asbestos contained in buildings that Kodak owns. In many of the countries in which Kodak operates, environmental regulations exist that require Kodak to handle and dispose of asbestos in a special manner if a building undergoes major renovations or is demolished. Otherwise, Kodak is not required to remove the asbestos from its buildings. Kodak records a liability equal to the estimated fair value of its obligation to perform asset retirement activities related to the asbestos, computed using an expected present value technique, when sufficient information exists to calculate the fair value. Kodak does not have a liability recorded related to every building that contains asbestos because Kodak cannot estimate the fair value of its obligation for certain buildings due to a lack of sufficient information about the range of time over which the obligation may be settled through demolition, renovation or sale of the building.</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asset retirement obligation activity (in millions):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660" w:type="dxa"/>
            <w:vAlign w:val="bottom"/>
            <w:gridSpan w:val="5"/>
          </w:tcPr>
          <w:p>
            <w:pPr>
              <w:jc w:val="right"/>
              <w:ind w:right="124"/>
              <w:spacing w:after="0"/>
              <w:rPr>
                <w:sz w:val="20"/>
                <w:szCs w:val="20"/>
                <w:color w:val="auto"/>
              </w:rPr>
            </w:pPr>
            <w:r>
              <w:rPr>
                <w:rFonts w:ascii="Arial" w:cs="Arial" w:eastAsia="Arial" w:hAnsi="Arial"/>
                <w:sz w:val="13"/>
                <w:szCs w:val="13"/>
                <w:b w:val="1"/>
                <w:bCs w:val="1"/>
                <w:color w:val="auto"/>
              </w:rPr>
              <w:t>For the Year Ended December 31,</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72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2460" w:type="dxa"/>
            <w:vAlign w:val="bottom"/>
            <w:gridSpan w:val="2"/>
          </w:tcPr>
          <w:p>
            <w:pPr>
              <w:jc w:val="right"/>
              <w:ind w:right="128"/>
              <w:spacing w:after="0"/>
              <w:rPr>
                <w:sz w:val="20"/>
                <w:szCs w:val="20"/>
                <w:color w:val="auto"/>
              </w:rPr>
            </w:pPr>
            <w:r>
              <w:rPr>
                <w:rFonts w:ascii="Arial" w:cs="Arial" w:eastAsia="Arial" w:hAnsi="Arial"/>
                <w:sz w:val="13"/>
                <w:szCs w:val="13"/>
                <w:b w:val="1"/>
                <w:bCs w:val="1"/>
                <w:color w:val="auto"/>
              </w:rPr>
              <w:t>2017</w:t>
            </w: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jc w:val="right"/>
              <w:ind w:right="124"/>
              <w:spacing w:after="0"/>
              <w:rPr>
                <w:sz w:val="20"/>
                <w:szCs w:val="20"/>
                <w:color w:val="auto"/>
              </w:rPr>
            </w:pPr>
            <w:r>
              <w:rPr>
                <w:rFonts w:ascii="Arial" w:cs="Arial" w:eastAsia="Arial" w:hAnsi="Arial"/>
                <w:sz w:val="13"/>
                <w:szCs w:val="13"/>
                <w:b w:val="1"/>
                <w:bCs w:val="1"/>
                <w:color w:val="auto"/>
              </w:rPr>
              <w:t>2016</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1720" w:type="dxa"/>
            <w:vAlign w:val="bottom"/>
          </w:tcPr>
          <w:p>
            <w:pPr>
              <w:spacing w:after="0"/>
              <w:rPr>
                <w:sz w:val="17"/>
                <w:szCs w:val="17"/>
                <w:color w:val="auto"/>
              </w:rPr>
            </w:pPr>
          </w:p>
        </w:tc>
        <w:tc>
          <w:tcPr>
            <w:tcW w:w="3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Asset Retirement Obligations at start of period</w:t>
            </w:r>
          </w:p>
        </w:tc>
        <w:tc>
          <w:tcPr>
            <w:tcW w:w="1420" w:type="dxa"/>
            <w:vAlign w:val="bottom"/>
            <w:tcBorders>
              <w:top w:val="single" w:sz="8" w:color="CFF0FC"/>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jc w:val="right"/>
              <w:ind w:right="888"/>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38</w:t>
            </w: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jc w:val="right"/>
              <w:ind w:right="864"/>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43</w:t>
            </w:r>
          </w:p>
        </w:tc>
        <w:tc>
          <w:tcPr>
            <w:tcW w:w="80" w:type="dxa"/>
            <w:vAlign w:val="bottom"/>
            <w:tcBorders>
              <w:top w:val="single" w:sz="8" w:color="CFF0FC"/>
            </w:tcBorders>
            <w:shd w:val="clear" w:color="auto" w:fill="CFF0FC"/>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720" w:type="dxa"/>
            <w:vAlign w:val="bottom"/>
          </w:tcPr>
          <w:p>
            <w:pPr>
              <w:spacing w:after="0"/>
              <w:rPr>
                <w:sz w:val="17"/>
                <w:szCs w:val="17"/>
                <w:color w:val="auto"/>
              </w:rPr>
            </w:pPr>
          </w:p>
        </w:tc>
        <w:tc>
          <w:tcPr>
            <w:tcW w:w="3460" w:type="dxa"/>
            <w:vAlign w:val="bottom"/>
          </w:tcPr>
          <w:p>
            <w:pPr>
              <w:spacing w:after="0"/>
              <w:rPr>
                <w:sz w:val="20"/>
                <w:szCs w:val="20"/>
                <w:color w:val="auto"/>
              </w:rPr>
            </w:pPr>
            <w:r>
              <w:rPr>
                <w:rFonts w:ascii="Arial" w:cs="Arial" w:eastAsia="Arial" w:hAnsi="Arial"/>
                <w:sz w:val="16"/>
                <w:szCs w:val="16"/>
                <w:color w:val="auto"/>
              </w:rPr>
              <w:t>Liabilities incurred in the current period</w:t>
            </w:r>
          </w:p>
        </w:tc>
        <w:tc>
          <w:tcPr>
            <w:tcW w:w="1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720" w:type="dxa"/>
            <w:vAlign w:val="bottom"/>
          </w:tcPr>
          <w:p>
            <w:pPr>
              <w:spacing w:after="0"/>
              <w:rPr>
                <w:sz w:val="17"/>
                <w:szCs w:val="17"/>
                <w:color w:val="auto"/>
              </w:rPr>
            </w:pPr>
          </w:p>
        </w:tc>
        <w:tc>
          <w:tcPr>
            <w:tcW w:w="3460" w:type="dxa"/>
            <w:vAlign w:val="bottom"/>
            <w:shd w:val="clear" w:color="auto" w:fill="CFF0FC"/>
          </w:tcPr>
          <w:p>
            <w:pPr>
              <w:spacing w:after="0"/>
              <w:rPr>
                <w:sz w:val="20"/>
                <w:szCs w:val="20"/>
                <w:color w:val="auto"/>
              </w:rPr>
            </w:pPr>
            <w:r>
              <w:rPr>
                <w:rFonts w:ascii="Arial" w:cs="Arial" w:eastAsia="Arial" w:hAnsi="Arial"/>
                <w:sz w:val="16"/>
                <w:szCs w:val="16"/>
                <w:color w:val="auto"/>
              </w:rPr>
              <w:t>Liabilities settled in the current period</w:t>
            </w:r>
          </w:p>
        </w:tc>
        <w:tc>
          <w:tcPr>
            <w:tcW w:w="14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5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w:t>
            </w:r>
          </w:p>
        </w:tc>
        <w:tc>
          <w:tcPr>
            <w:tcW w:w="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4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(7)</w:t>
            </w: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720" w:type="dxa"/>
            <w:vAlign w:val="bottom"/>
          </w:tcPr>
          <w:p>
            <w:pPr>
              <w:spacing w:after="0"/>
              <w:rPr>
                <w:sz w:val="17"/>
                <w:szCs w:val="17"/>
                <w:color w:val="auto"/>
              </w:rPr>
            </w:pPr>
          </w:p>
        </w:tc>
        <w:tc>
          <w:tcPr>
            <w:tcW w:w="3460" w:type="dxa"/>
            <w:vAlign w:val="bottom"/>
          </w:tcPr>
          <w:p>
            <w:pPr>
              <w:spacing w:after="0"/>
              <w:rPr>
                <w:sz w:val="20"/>
                <w:szCs w:val="20"/>
                <w:color w:val="auto"/>
              </w:rPr>
            </w:pPr>
            <w:r>
              <w:rPr>
                <w:rFonts w:ascii="Arial" w:cs="Arial" w:eastAsia="Arial" w:hAnsi="Arial"/>
                <w:sz w:val="16"/>
                <w:szCs w:val="16"/>
                <w:color w:val="auto"/>
              </w:rPr>
              <w:t>Accretion expense</w:t>
            </w:r>
          </w:p>
        </w:tc>
        <w:tc>
          <w:tcPr>
            <w:tcW w:w="1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720" w:type="dxa"/>
            <w:vAlign w:val="bottom"/>
          </w:tcPr>
          <w:p>
            <w:pPr>
              <w:spacing w:after="0"/>
              <w:rPr>
                <w:sz w:val="17"/>
                <w:szCs w:val="17"/>
                <w:color w:val="auto"/>
              </w:rPr>
            </w:pPr>
          </w:p>
        </w:tc>
        <w:tc>
          <w:tcPr>
            <w:tcW w:w="3460" w:type="dxa"/>
            <w:vAlign w:val="bottom"/>
            <w:shd w:val="clear" w:color="auto" w:fill="CFF0FC"/>
          </w:tcPr>
          <w:p>
            <w:pPr>
              <w:spacing w:after="0"/>
              <w:rPr>
                <w:sz w:val="20"/>
                <w:szCs w:val="20"/>
                <w:color w:val="auto"/>
              </w:rPr>
            </w:pPr>
            <w:r>
              <w:rPr>
                <w:rFonts w:ascii="Arial" w:cs="Arial" w:eastAsia="Arial" w:hAnsi="Arial"/>
                <w:sz w:val="16"/>
                <w:szCs w:val="16"/>
                <w:color w:val="auto"/>
              </w:rPr>
              <w:t>Revision in estimated cash flows</w:t>
            </w:r>
          </w:p>
        </w:tc>
        <w:tc>
          <w:tcPr>
            <w:tcW w:w="1420" w:type="dxa"/>
            <w:vAlign w:val="bottom"/>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FF0FC"/>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720" w:type="dxa"/>
            <w:vAlign w:val="bottom"/>
          </w:tcPr>
          <w:p>
            <w:pPr>
              <w:spacing w:after="0"/>
              <w:rPr>
                <w:sz w:val="17"/>
                <w:szCs w:val="17"/>
                <w:color w:val="auto"/>
              </w:rPr>
            </w:pPr>
          </w:p>
        </w:tc>
        <w:tc>
          <w:tcPr>
            <w:tcW w:w="3460" w:type="dxa"/>
            <w:vAlign w:val="bottom"/>
          </w:tcPr>
          <w:p>
            <w:pPr>
              <w:spacing w:after="0"/>
              <w:rPr>
                <w:sz w:val="20"/>
                <w:szCs w:val="20"/>
                <w:color w:val="auto"/>
              </w:rPr>
            </w:pPr>
            <w:r>
              <w:rPr>
                <w:rFonts w:ascii="Arial" w:cs="Arial" w:eastAsia="Arial" w:hAnsi="Arial"/>
                <w:sz w:val="16"/>
                <w:szCs w:val="16"/>
                <w:color w:val="auto"/>
              </w:rPr>
              <w:t>Asset Retirement Obligations at end of period</w:t>
            </w:r>
          </w:p>
        </w:tc>
        <w:tc>
          <w:tcPr>
            <w:tcW w:w="1420" w:type="dxa"/>
            <w:vAlign w:val="bottom"/>
          </w:tcPr>
          <w:p>
            <w:pPr>
              <w:spacing w:after="0"/>
              <w:rPr>
                <w:sz w:val="17"/>
                <w:szCs w:val="17"/>
                <w:color w:val="auto"/>
              </w:rPr>
            </w:pPr>
          </w:p>
        </w:tc>
        <w:tc>
          <w:tcPr>
            <w:tcW w:w="1040" w:type="dxa"/>
            <w:vAlign w:val="bottom"/>
            <w:tcBorders>
              <w:bottom w:val="single" w:sz="8" w:color="auto"/>
            </w:tcBorders>
          </w:tcPr>
          <w:p>
            <w:pPr>
              <w:jc w:val="right"/>
              <w:ind w:right="888"/>
              <w:spacing w:after="0"/>
              <w:rPr>
                <w:sz w:val="20"/>
                <w:szCs w:val="20"/>
                <w:color w:val="auto"/>
              </w:rPr>
            </w:pPr>
            <w:r>
              <w:rPr>
                <w:rFonts w:ascii="Arial" w:cs="Arial" w:eastAsia="Arial" w:hAnsi="Arial"/>
                <w:sz w:val="15"/>
                <w:szCs w:val="15"/>
                <w:color w:val="auto"/>
                <w:w w:val="71"/>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Borders>
              <w:bottom w:val="single" w:sz="8" w:color="auto"/>
            </w:tcBorders>
          </w:tcPr>
          <w:p>
            <w:pPr>
              <w:jc w:val="right"/>
              <w:ind w:right="864"/>
              <w:spacing w:after="0"/>
              <w:rPr>
                <w:sz w:val="20"/>
                <w:szCs w:val="20"/>
                <w:color w:val="auto"/>
              </w:rPr>
            </w:pPr>
            <w:r>
              <w:rPr>
                <w:rFonts w:ascii="Arial" w:cs="Arial" w:eastAsia="Arial" w:hAnsi="Arial"/>
                <w:sz w:val="15"/>
                <w:szCs w:val="15"/>
                <w:color w:val="auto"/>
                <w:w w:val="71"/>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w:t>
            </w:r>
          </w:p>
        </w:tc>
        <w:tc>
          <w:tcPr>
            <w:tcW w:w="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420" w:type="dxa"/>
            <w:vAlign w:val="bottom"/>
            <w:vMerge w:val="restart"/>
          </w:tcPr>
          <w:p>
            <w:pPr>
              <w:jc w:val="right"/>
              <w:ind w:right="728"/>
              <w:spacing w:after="0"/>
              <w:rPr>
                <w:sz w:val="20"/>
                <w:szCs w:val="20"/>
                <w:color w:val="auto"/>
              </w:rPr>
            </w:pPr>
            <w:r>
              <w:rPr>
                <w:rFonts w:ascii="Arial" w:cs="Arial" w:eastAsia="Arial" w:hAnsi="Arial"/>
                <w:sz w:val="16"/>
                <w:szCs w:val="16"/>
                <w:color w:val="auto"/>
              </w:rPr>
              <w:t>73</w:t>
            </w:r>
          </w:p>
        </w:tc>
        <w:tc>
          <w:tcPr>
            <w:tcW w:w="10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0"/>
        </w:trPr>
        <w:tc>
          <w:tcPr>
            <w:tcW w:w="17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42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1720" w:type="dxa"/>
            <w:vAlign w:val="bottom"/>
            <w:tcBorders>
              <w:bottom w:val="single" w:sz="8" w:color="9A9A9A"/>
            </w:tcBorders>
          </w:tcPr>
          <w:p>
            <w:pPr>
              <w:spacing w:after="0"/>
              <w:rPr>
                <w:sz w:val="8"/>
                <w:szCs w:val="8"/>
                <w:color w:val="auto"/>
              </w:rPr>
            </w:pPr>
          </w:p>
        </w:tc>
        <w:tc>
          <w:tcPr>
            <w:tcW w:w="3460" w:type="dxa"/>
            <w:vAlign w:val="bottom"/>
            <w:tcBorders>
              <w:bottom w:val="single" w:sz="8" w:color="9A9A9A"/>
            </w:tcBorders>
          </w:tcPr>
          <w:p>
            <w:pPr>
              <w:spacing w:after="0"/>
              <w:rPr>
                <w:sz w:val="8"/>
                <w:szCs w:val="8"/>
                <w:color w:val="auto"/>
              </w:rPr>
            </w:pPr>
          </w:p>
        </w:tc>
        <w:tc>
          <w:tcPr>
            <w:tcW w:w="142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7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7253605</wp:posOffset>
            </wp:positionH>
            <wp:positionV relativeFrom="paragraph">
              <wp:posOffset>-27305</wp:posOffset>
            </wp:positionV>
            <wp:extent cx="33020" cy="406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-27305</wp:posOffset>
            </wp:positionV>
            <wp:extent cx="33020" cy="406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460"/>
          </w:cols>
          <w:pgMar w:left="240" w:top="127" w:right="199" w:bottom="1440" w:gutter="0" w:footer="0" w:header="0"/>
        </w:sectPr>
      </w:pPr>
    </w:p>
    <w:bookmarkStart w:id="73" w:name="page74"/>
    <w:bookmarkEnd w:id="73"/>
    <w:p>
      <w:pPr>
        <w:spacing w:after="0"/>
        <w:rPr>
          <w:sz w:val="20"/>
          <w:szCs w:val="20"/>
          <w:color w:val="auto"/>
        </w:rPr>
      </w:pPr>
      <w:r>
        <w:rPr>
          <w:rFonts w:ascii="Arial" w:cs="Arial" w:eastAsia="Arial" w:hAnsi="Arial"/>
          <w:sz w:val="16"/>
          <w:szCs w:val="16"/>
          <w:b w:val="1"/>
          <w:bCs w:val="1"/>
          <w:color w:val="auto"/>
        </w:rPr>
        <w:t>Other Commitments and Contingencies</w:t>
      </w:r>
    </w:p>
    <w:p>
      <w:pPr>
        <w:spacing w:after="0" w:line="110" w:lineRule="exact"/>
        <w:rPr>
          <w:sz w:val="20"/>
          <w:szCs w:val="20"/>
          <w:color w:val="auto"/>
        </w:rPr>
      </w:pPr>
    </w:p>
    <w:p>
      <w:pPr>
        <w:ind w:right="200"/>
        <w:spacing w:after="0" w:line="280" w:lineRule="auto"/>
        <w:rPr>
          <w:sz w:val="20"/>
          <w:szCs w:val="20"/>
          <w:color w:val="auto"/>
        </w:rPr>
      </w:pPr>
      <w:r>
        <w:rPr>
          <w:rFonts w:ascii="Arial" w:cs="Arial" w:eastAsia="Arial" w:hAnsi="Arial"/>
          <w:sz w:val="16"/>
          <w:szCs w:val="16"/>
          <w:color w:val="auto"/>
        </w:rPr>
        <w:t>The Company and its subsidiaries have entered into operating leases for various real estate and equipment needs. Rental expense, net of minor sublease income, amounted to $23 million, $25 million and $30 million in the years ended December 31, 2017, 2016 and 2015, respectively.</w:t>
      </w:r>
    </w:p>
    <w:p>
      <w:pPr>
        <w:spacing w:after="0" w:line="54"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As of December 31, 2017, the Company had outstanding letters of credit of $96 million issued under the ABL Credit Agreement as well as bank guarantees and letters of credit of $4 million, surety bonds in the amount of $52 million, and restricted cash and deposits of $31 million, primarily to support compliance with the Excess Availability threshold under the ABL Credit Agreement, to ensure the payment of possible casualty and workers compensation claims, environmental liabilities, legal contingencies, rental payments, and to support various customs, hedging, tax and trade activities. The restricted cash and deposits are recorded in Restricted cash, Other current assets and Other long-term assets in the Consolidated Statement of Financial Position.</w:t>
      </w:r>
    </w:p>
    <w:p>
      <w:pPr>
        <w:spacing w:after="0" w:line="71" w:lineRule="exact"/>
        <w:rPr>
          <w:sz w:val="20"/>
          <w:szCs w:val="20"/>
          <w:color w:val="auto"/>
        </w:rPr>
      </w:pPr>
    </w:p>
    <w:p>
      <w:pPr>
        <w:spacing w:after="0" w:line="278" w:lineRule="auto"/>
        <w:rPr>
          <w:sz w:val="20"/>
          <w:szCs w:val="20"/>
          <w:color w:val="auto"/>
        </w:rPr>
      </w:pPr>
      <w:r>
        <w:rPr>
          <w:rFonts w:ascii="Arial" w:cs="Arial" w:eastAsia="Arial" w:hAnsi="Arial"/>
          <w:sz w:val="15"/>
          <w:szCs w:val="15"/>
          <w:color w:val="auto"/>
        </w:rPr>
        <w:t>Kodak’s Brazilian operations are involved in various litigation matters and have received or been the subject of numerous governmental assessments related to indirect and other taxes in various stages of litigation, as well as civil litigation and disputes associated with former employees and contract labor. The tax matters, which comprise the majority of the litigation matters, are primarily related to federal and state value-added taxes. Kodak is disputing these matters and intends to vigorously defend its position. Kodak routinely assesses all these matters as to the probability of ultimately incurring a liability in its Brazilian operations and records its best estimate of the ultimate loss in situations where it assesses the likelihood of loss as probable. As of December 31, 2017, the unreserved portion of these contingencies, inclusive of any related interest and penalties, for which there was at least a reasonable possibility that a loss may be incurred, amounted to approximately $24 million.</w:t>
      </w:r>
    </w:p>
    <w:p>
      <w:pPr>
        <w:spacing w:after="0" w:line="58"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color w:val="auto"/>
        </w:rPr>
        <w:t>In connection with assessments in Brazil, local regulations may require Kodak to post security for a portion of the amounts in dispute. As of December 31, 2017, Kodak has posted security composed of $6 million of pledged cash reported within Restricted cash in the Consolidated Statement of Financial Position and liens on certain Brazilian assets with a net book value of approximately $71 million. Generally, any encumbrances on the Brazilian assets would be removed to the extent the matter is resolved in Kodak's favor.</w:t>
      </w:r>
    </w:p>
    <w:p>
      <w:pPr>
        <w:spacing w:after="0" w:line="70" w:lineRule="exact"/>
        <w:rPr>
          <w:sz w:val="20"/>
          <w:szCs w:val="20"/>
          <w:color w:val="auto"/>
        </w:rPr>
      </w:pPr>
    </w:p>
    <w:p>
      <w:pPr>
        <w:spacing w:after="0" w:line="275" w:lineRule="auto"/>
        <w:rPr>
          <w:sz w:val="20"/>
          <w:szCs w:val="20"/>
          <w:color w:val="auto"/>
        </w:rPr>
      </w:pPr>
      <w:r>
        <w:rPr>
          <w:rFonts w:ascii="Arial" w:cs="Arial" w:eastAsia="Arial" w:hAnsi="Arial"/>
          <w:sz w:val="15"/>
          <w:szCs w:val="15"/>
          <w:color w:val="auto"/>
        </w:rPr>
        <w:t>Kodak is involved in various lawsuits, claims, investigations, remediations and proceedings, including, from time to time, commercial, customs, employment, environmental, tort and health and safety matters, which are being handled and defended in the ordinary course of business. Kodak is also subject, from time to time, to various assertions, claims, proceedings and requests for indemnification concerning intellectual property, including patent infringement suits involving technologies that are incorporated in a broad spectrum of Kodak’s products. These matters are in various stages of investigation and litigation, and are being vigorously defended. Based on information currently available, Kodak does not believe that it is probable that the outcomes in any of these matters, individually or collectively, will have a material adverse effect on its financial condition or results of operations. Litigation is inherently unpredictable, and judgments could be rendered or settlements entered that could adversely affect Kodak’s operating results or cash flows in a particular period. Kodak routinely assesses all of its litigation and threatened litigation as to the probability of ultimately incurring a liability, and records its best estimate of the ultimate loss in situations where it assesses the likelihood of loss as probable.</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11: GUARANTEES</w:t>
      </w:r>
    </w:p>
    <w:p>
      <w:pPr>
        <w:spacing w:after="0" w:line="110" w:lineRule="exact"/>
        <w:rPr>
          <w:sz w:val="20"/>
          <w:szCs w:val="20"/>
          <w:color w:val="auto"/>
        </w:rPr>
      </w:pPr>
    </w:p>
    <w:p>
      <w:pPr>
        <w:ind w:right="400"/>
        <w:spacing w:after="0" w:line="280" w:lineRule="auto"/>
        <w:rPr>
          <w:sz w:val="20"/>
          <w:szCs w:val="20"/>
          <w:color w:val="auto"/>
        </w:rPr>
      </w:pPr>
      <w:r>
        <w:rPr>
          <w:rFonts w:ascii="Arial" w:cs="Arial" w:eastAsia="Arial" w:hAnsi="Arial"/>
          <w:sz w:val="16"/>
          <w:szCs w:val="16"/>
          <w:color w:val="auto"/>
        </w:rPr>
        <w:t>EKC guarantees obligations to third parties for some of its consolidated subsidiaries. The maximum amount guaranteed is $9 million and the outstanding amount for those guarantees is $3 million.</w:t>
      </w:r>
    </w:p>
    <w:p>
      <w:pPr>
        <w:spacing w:after="0" w:line="54" w:lineRule="exact"/>
        <w:rPr>
          <w:sz w:val="20"/>
          <w:szCs w:val="20"/>
          <w:color w:val="auto"/>
        </w:rPr>
      </w:pPr>
    </w:p>
    <w:p>
      <w:pPr>
        <w:ind w:right="340"/>
        <w:spacing w:after="0" w:line="266" w:lineRule="auto"/>
        <w:rPr>
          <w:sz w:val="20"/>
          <w:szCs w:val="20"/>
          <w:color w:val="auto"/>
        </w:rPr>
      </w:pPr>
      <w:r>
        <w:rPr>
          <w:rFonts w:ascii="Arial" w:cs="Arial" w:eastAsia="Arial" w:hAnsi="Arial"/>
          <w:sz w:val="16"/>
          <w:szCs w:val="16"/>
          <w:color w:val="auto"/>
        </w:rPr>
        <w:t>In accordance with the terms of a settlement agreement concerning certain of the Company’s historical environmental liabilities at EBP, in the event the historical liabilities exceed $99 million, the Company will become liable for 50% of the portion above $99 million with no limitation to the maximum potential future payments. There is no liability recorded related to this guarantee.</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Indemnifications</w:t>
      </w:r>
    </w:p>
    <w:p>
      <w:pPr>
        <w:spacing w:after="0" w:line="110" w:lineRule="exact"/>
        <w:rPr>
          <w:sz w:val="20"/>
          <w:szCs w:val="20"/>
          <w:color w:val="auto"/>
        </w:rPr>
      </w:pPr>
    </w:p>
    <w:p>
      <w:pPr>
        <w:ind w:right="60"/>
        <w:spacing w:after="0" w:line="284" w:lineRule="auto"/>
        <w:rPr>
          <w:sz w:val="20"/>
          <w:szCs w:val="20"/>
          <w:color w:val="auto"/>
        </w:rPr>
      </w:pPr>
      <w:r>
        <w:rPr>
          <w:rFonts w:ascii="Arial" w:cs="Arial" w:eastAsia="Arial" w:hAnsi="Arial"/>
          <w:sz w:val="15"/>
          <w:szCs w:val="15"/>
          <w:color w:val="auto"/>
        </w:rPr>
        <w:t>Kodak may, in certain instances, indemnify third parties when it sells businesses and real estate, and in the ordinary course of business with its customers, suppliers, service providers and business partners. Additionally, Kodak indemnifies officers and directors who are, or were, serving at Kodak’s request in such capacities. Historically, costs incurred to settle claims related to these indemnifications have not been material to Kodak’s financial position, results of operations or cash flows. Further, the fair value of any right to indemnification granted during the year ended December 31, 2017 was not material to Kodak’s financial position, results of operations or cash flows.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62865</wp:posOffset>
            </wp:positionV>
            <wp:extent cx="7301865" cy="406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301865" cy="40640"/>
                    </a:xfrm>
                    <a:prstGeom prst="rect">
                      <a:avLst/>
                    </a:prstGeom>
                    <a:noFill/>
                  </pic:spPr>
                </pic:pic>
              </a:graphicData>
            </a:graphic>
          </wp:anchor>
        </w:drawing>
      </w:r>
    </w:p>
    <w:p>
      <w:pPr>
        <w:sectPr>
          <w:pgSz w:w="11900" w:h="16838" w:orient="portrait"/>
          <w:cols w:equalWidth="0" w:num="1">
            <w:col w:w="11400"/>
          </w:cols>
          <w:pgMar w:left="240" w:top="256" w:right="259" w:bottom="1440" w:gutter="0" w:footer="0" w:header="0"/>
        </w:sectPr>
      </w:pPr>
    </w:p>
    <w:bookmarkStart w:id="74" w:name="page75"/>
    <w:bookmarkEnd w:id="74"/>
    <w:p>
      <w:pPr>
        <w:spacing w:after="0"/>
        <w:rPr>
          <w:sz w:val="20"/>
          <w:szCs w:val="20"/>
          <w:color w:val="auto"/>
        </w:rPr>
      </w:pPr>
      <w:r>
        <w:rPr>
          <w:rFonts w:ascii="Arial" w:cs="Arial" w:eastAsia="Arial" w:hAnsi="Arial"/>
          <w:sz w:val="16"/>
          <w:szCs w:val="16"/>
          <w:b w:val="1"/>
          <w:bCs w:val="1"/>
          <w:color w:val="auto"/>
        </w:rPr>
        <w:t>Extended Warranty Arrangements</w:t>
      </w:r>
    </w:p>
    <w:p>
      <w:pPr>
        <w:spacing w:after="0" w:line="110"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Kodak offers its customers extended warranty arrangements that are generally one year, but may range from three months to six years after the original warranty period. Kodak provides repair services and routine maintenance under these arrangements. Kodak has not separated the extended warranty costs from the routine maintenance service costs, as it is not practicable to do so. Therefore, these costs have been aggregated in the discussion that follows. The change in Kodak's deferred revenue balance in relation to these extended warranty and maintenance arrangements, which is reflected in Other current liabilities in the accompanying Consolidated Statement of Financial Position, was as follows:</w:t>
      </w:r>
    </w:p>
    <w:p>
      <w:pPr>
        <w:spacing w:after="0" w:line="200" w:lineRule="exact"/>
        <w:rPr>
          <w:sz w:val="20"/>
          <w:szCs w:val="20"/>
          <w:color w:val="auto"/>
        </w:rPr>
      </w:pPr>
    </w:p>
    <w:tbl>
      <w:tblPr>
        <w:tblLayout w:type="fixed"/>
        <w:tblInd w:w="2280" w:type="dxa"/>
        <w:tblCellMar>
          <w:top w:w="0" w:type="dxa"/>
          <w:left w:w="0" w:type="dxa"/>
          <w:bottom w:w="0" w:type="dxa"/>
          <w:right w:w="0" w:type="dxa"/>
        </w:tblCellMar>
      </w:tblPr>
      <w:tr>
        <w:trPr>
          <w:trHeight w:val="149"/>
        </w:trPr>
        <w:tc>
          <w:tcPr>
            <w:tcW w:w="4960" w:type="dxa"/>
            <w:vAlign w:val="bottom"/>
            <w:gridSpan w:val="2"/>
          </w:tcPr>
          <w:p>
            <w:pPr>
              <w:spacing w:after="0"/>
              <w:rPr>
                <w:sz w:val="20"/>
                <w:szCs w:val="20"/>
                <w:color w:val="auto"/>
              </w:rPr>
            </w:pPr>
            <w:r>
              <w:rPr>
                <w:rFonts w:ascii="Arial" w:cs="Arial" w:eastAsia="Arial" w:hAnsi="Arial"/>
                <w:sz w:val="13"/>
                <w:szCs w:val="13"/>
                <w:color w:val="auto"/>
              </w:rPr>
              <w:t>(in millions)</w:t>
            </w:r>
          </w:p>
        </w:tc>
        <w:tc>
          <w:tcPr>
            <w:tcW w:w="6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05"/>
        </w:trPr>
        <w:tc>
          <w:tcPr>
            <w:tcW w:w="20" w:type="dxa"/>
            <w:vAlign w:val="bottom"/>
          </w:tcPr>
          <w:p>
            <w:pPr>
              <w:spacing w:after="0"/>
              <w:rPr>
                <w:sz w:val="17"/>
                <w:szCs w:val="17"/>
                <w:color w:val="auto"/>
              </w:rPr>
            </w:pPr>
          </w:p>
        </w:tc>
        <w:tc>
          <w:tcPr>
            <w:tcW w:w="4940" w:type="dxa"/>
            <w:vAlign w:val="bottom"/>
            <w:shd w:val="clear" w:color="auto" w:fill="CFF0FC"/>
          </w:tcPr>
          <w:p>
            <w:pPr>
              <w:spacing w:after="0"/>
              <w:rPr>
                <w:sz w:val="20"/>
                <w:szCs w:val="20"/>
                <w:color w:val="auto"/>
              </w:rPr>
            </w:pPr>
            <w:r>
              <w:rPr>
                <w:rFonts w:ascii="Arial" w:cs="Arial" w:eastAsia="Arial" w:hAnsi="Arial"/>
                <w:sz w:val="16"/>
                <w:szCs w:val="16"/>
                <w:color w:val="auto"/>
              </w:rPr>
              <w:t>Deferred revenue on extended warranties as of December 31, 2015</w:t>
            </w:r>
          </w:p>
        </w:tc>
        <w:tc>
          <w:tcPr>
            <w:tcW w:w="1120" w:type="dxa"/>
            <w:vAlign w:val="bottom"/>
            <w:gridSpan w:val="2"/>
            <w:shd w:val="clear" w:color="auto" w:fill="CFF0FC"/>
          </w:tcPr>
          <w:p>
            <w:pPr>
              <w:jc w:val="right"/>
              <w:ind w:right="304"/>
              <w:spacing w:after="0"/>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w:t>
            </w:r>
          </w:p>
        </w:tc>
        <w:tc>
          <w:tcPr>
            <w:tcW w:w="60" w:type="dxa"/>
            <w:vAlign w:val="bottom"/>
            <w:shd w:val="clear" w:color="auto" w:fill="CFF0FC"/>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4940" w:type="dxa"/>
            <w:vAlign w:val="bottom"/>
          </w:tcPr>
          <w:p>
            <w:pPr>
              <w:spacing w:after="0"/>
              <w:rPr>
                <w:sz w:val="20"/>
                <w:szCs w:val="20"/>
                <w:color w:val="auto"/>
              </w:rPr>
            </w:pPr>
            <w:r>
              <w:rPr>
                <w:rFonts w:ascii="Arial" w:cs="Arial" w:eastAsia="Arial" w:hAnsi="Arial"/>
                <w:sz w:val="16"/>
                <w:szCs w:val="16"/>
                <w:color w:val="auto"/>
              </w:rPr>
              <w:t>New extended warranty and maintenance arrangements</w:t>
            </w: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172</w:t>
            </w:r>
          </w:p>
        </w:tc>
        <w:tc>
          <w:tcPr>
            <w:tcW w:w="60" w:type="dxa"/>
            <w:vAlign w:val="bottom"/>
          </w:tcPr>
          <w:p>
            <w:pPr>
              <w:spacing w:after="0"/>
              <w:rPr>
                <w:sz w:val="17"/>
                <w:szCs w:val="17"/>
                <w:color w:val="auto"/>
              </w:rPr>
            </w:pPr>
          </w:p>
        </w:tc>
      </w:tr>
      <w:tr>
        <w:trPr>
          <w:trHeight w:val="193"/>
        </w:trPr>
        <w:tc>
          <w:tcPr>
            <w:tcW w:w="20" w:type="dxa"/>
            <w:vAlign w:val="bottom"/>
          </w:tcPr>
          <w:p>
            <w:pPr>
              <w:spacing w:after="0"/>
              <w:rPr>
                <w:sz w:val="16"/>
                <w:szCs w:val="16"/>
                <w:color w:val="auto"/>
              </w:rPr>
            </w:pPr>
          </w:p>
        </w:tc>
        <w:tc>
          <w:tcPr>
            <w:tcW w:w="4940" w:type="dxa"/>
            <w:vAlign w:val="bottom"/>
            <w:shd w:val="clear" w:color="auto" w:fill="CFF0FC"/>
          </w:tcPr>
          <w:p>
            <w:pPr>
              <w:spacing w:after="0"/>
              <w:rPr>
                <w:sz w:val="20"/>
                <w:szCs w:val="20"/>
                <w:color w:val="auto"/>
              </w:rPr>
            </w:pPr>
            <w:r>
              <w:rPr>
                <w:rFonts w:ascii="Arial" w:cs="Arial" w:eastAsia="Arial" w:hAnsi="Arial"/>
                <w:sz w:val="16"/>
                <w:szCs w:val="16"/>
                <w:color w:val="auto"/>
              </w:rPr>
              <w:t>Recognition of extended warranty and maintenance arrangement</w:t>
            </w:r>
          </w:p>
        </w:tc>
        <w:tc>
          <w:tcPr>
            <w:tcW w:w="66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r>
      <w:tr>
        <w:trPr>
          <w:trHeight w:val="206"/>
        </w:trPr>
        <w:tc>
          <w:tcPr>
            <w:tcW w:w="20" w:type="dxa"/>
            <w:vAlign w:val="bottom"/>
          </w:tcPr>
          <w:p>
            <w:pPr>
              <w:spacing w:after="0"/>
              <w:rPr>
                <w:sz w:val="17"/>
                <w:szCs w:val="17"/>
                <w:color w:val="auto"/>
              </w:rPr>
            </w:pPr>
          </w:p>
        </w:tc>
        <w:tc>
          <w:tcPr>
            <w:tcW w:w="4940" w:type="dxa"/>
            <w:vAlign w:val="bottom"/>
            <w:shd w:val="clear" w:color="auto" w:fill="CFF0FC"/>
          </w:tcPr>
          <w:p>
            <w:pPr>
              <w:ind w:left="100"/>
              <w:spacing w:after="0"/>
              <w:rPr>
                <w:sz w:val="20"/>
                <w:szCs w:val="20"/>
                <w:color w:val="auto"/>
              </w:rPr>
            </w:pPr>
            <w:r>
              <w:rPr>
                <w:rFonts w:ascii="Arial" w:cs="Arial" w:eastAsia="Arial" w:hAnsi="Arial"/>
                <w:sz w:val="16"/>
                <w:szCs w:val="16"/>
                <w:color w:val="auto"/>
              </w:rPr>
              <w:t>revenue</w:t>
            </w:r>
          </w:p>
        </w:tc>
        <w:tc>
          <w:tcPr>
            <w:tcW w:w="66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(175)</w:t>
            </w:r>
          </w:p>
        </w:tc>
      </w:tr>
      <w:tr>
        <w:trPr>
          <w:trHeight w:val="198"/>
        </w:trPr>
        <w:tc>
          <w:tcPr>
            <w:tcW w:w="4960" w:type="dxa"/>
            <w:vAlign w:val="bottom"/>
            <w:gridSpan w:val="2"/>
          </w:tcPr>
          <w:p>
            <w:pPr>
              <w:spacing w:after="0"/>
              <w:rPr>
                <w:sz w:val="20"/>
                <w:szCs w:val="20"/>
                <w:color w:val="auto"/>
              </w:rPr>
            </w:pPr>
            <w:r>
              <w:rPr>
                <w:rFonts w:ascii="Arial" w:cs="Arial" w:eastAsia="Arial" w:hAnsi="Arial"/>
                <w:sz w:val="16"/>
                <w:szCs w:val="16"/>
                <w:color w:val="auto"/>
              </w:rPr>
              <w:t>Deferred revenue on extended warranties as of December 31, 2016</w:t>
            </w:r>
          </w:p>
        </w:tc>
        <w:tc>
          <w:tcPr>
            <w:tcW w:w="66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6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4940" w:type="dxa"/>
            <w:vAlign w:val="bottom"/>
            <w:shd w:val="clear" w:color="auto" w:fill="CFF0FC"/>
          </w:tcPr>
          <w:p>
            <w:pPr>
              <w:spacing w:after="0"/>
              <w:rPr>
                <w:sz w:val="20"/>
                <w:szCs w:val="20"/>
                <w:color w:val="auto"/>
              </w:rPr>
            </w:pPr>
            <w:r>
              <w:rPr>
                <w:rFonts w:ascii="Arial" w:cs="Arial" w:eastAsia="Arial" w:hAnsi="Arial"/>
                <w:sz w:val="16"/>
                <w:szCs w:val="16"/>
                <w:color w:val="auto"/>
              </w:rPr>
              <w:t>New extended warranty and maintenance arrangements</w:t>
            </w:r>
          </w:p>
        </w:tc>
        <w:tc>
          <w:tcPr>
            <w:tcW w:w="66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127</w:t>
            </w:r>
          </w:p>
        </w:tc>
        <w:tc>
          <w:tcPr>
            <w:tcW w:w="60" w:type="dxa"/>
            <w:vAlign w:val="bottom"/>
            <w:shd w:val="clear" w:color="auto" w:fill="CFF0FC"/>
          </w:tcPr>
          <w:p>
            <w:pPr>
              <w:spacing w:after="0"/>
              <w:rPr>
                <w:sz w:val="17"/>
                <w:szCs w:val="17"/>
                <w:color w:val="auto"/>
              </w:rPr>
            </w:pPr>
          </w:p>
        </w:tc>
      </w:tr>
      <w:tr>
        <w:trPr>
          <w:trHeight w:val="193"/>
        </w:trPr>
        <w:tc>
          <w:tcPr>
            <w:tcW w:w="20" w:type="dxa"/>
            <w:vAlign w:val="bottom"/>
          </w:tcPr>
          <w:p>
            <w:pPr>
              <w:spacing w:after="0"/>
              <w:rPr>
                <w:sz w:val="16"/>
                <w:szCs w:val="16"/>
                <w:color w:val="auto"/>
              </w:rPr>
            </w:pPr>
          </w:p>
        </w:tc>
        <w:tc>
          <w:tcPr>
            <w:tcW w:w="4940" w:type="dxa"/>
            <w:vAlign w:val="bottom"/>
          </w:tcPr>
          <w:p>
            <w:pPr>
              <w:spacing w:after="0"/>
              <w:rPr>
                <w:sz w:val="20"/>
                <w:szCs w:val="20"/>
                <w:color w:val="auto"/>
              </w:rPr>
            </w:pPr>
            <w:r>
              <w:rPr>
                <w:rFonts w:ascii="Arial" w:cs="Arial" w:eastAsia="Arial" w:hAnsi="Arial"/>
                <w:sz w:val="16"/>
                <w:szCs w:val="16"/>
                <w:color w:val="auto"/>
              </w:rPr>
              <w:t>Recognition of extended warranty and maintenance arrangement</w:t>
            </w:r>
          </w:p>
        </w:tc>
        <w:tc>
          <w:tcPr>
            <w:tcW w:w="6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6"/>
        </w:trPr>
        <w:tc>
          <w:tcPr>
            <w:tcW w:w="20" w:type="dxa"/>
            <w:vAlign w:val="bottom"/>
          </w:tcPr>
          <w:p>
            <w:pPr>
              <w:spacing w:after="0"/>
              <w:rPr>
                <w:sz w:val="17"/>
                <w:szCs w:val="17"/>
                <w:color w:val="auto"/>
              </w:rPr>
            </w:pPr>
          </w:p>
        </w:tc>
        <w:tc>
          <w:tcPr>
            <w:tcW w:w="4940" w:type="dxa"/>
            <w:vAlign w:val="bottom"/>
          </w:tcPr>
          <w:p>
            <w:pPr>
              <w:ind w:left="100"/>
              <w:spacing w:after="0"/>
              <w:rPr>
                <w:sz w:val="20"/>
                <w:szCs w:val="20"/>
                <w:color w:val="auto"/>
              </w:rPr>
            </w:pPr>
            <w:r>
              <w:rPr>
                <w:rFonts w:ascii="Arial" w:cs="Arial" w:eastAsia="Arial" w:hAnsi="Arial"/>
                <w:sz w:val="16"/>
                <w:szCs w:val="16"/>
                <w:color w:val="auto"/>
              </w:rPr>
              <w:t>revenue</w:t>
            </w: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6"/>
                <w:szCs w:val="16"/>
                <w:color w:val="auto"/>
              </w:rPr>
              <w:t>(128)</w:t>
            </w:r>
          </w:p>
        </w:tc>
      </w:tr>
      <w:tr>
        <w:trPr>
          <w:trHeight w:val="198"/>
        </w:trPr>
        <w:tc>
          <w:tcPr>
            <w:tcW w:w="20" w:type="dxa"/>
            <w:vAlign w:val="bottom"/>
          </w:tcPr>
          <w:p>
            <w:pPr>
              <w:spacing w:after="0"/>
              <w:rPr>
                <w:sz w:val="17"/>
                <w:szCs w:val="17"/>
                <w:color w:val="auto"/>
              </w:rPr>
            </w:pPr>
          </w:p>
        </w:tc>
        <w:tc>
          <w:tcPr>
            <w:tcW w:w="49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Deferred revenue on extended warranties as of December 31, 2017</w:t>
            </w:r>
          </w:p>
        </w:tc>
        <w:tc>
          <w:tcPr>
            <w:tcW w:w="660" w:type="dxa"/>
            <w:vAlign w:val="bottom"/>
            <w:tcBorders>
              <w:top w:val="single" w:sz="8" w:color="CFF0FC"/>
              <w:bottom w:val="single" w:sz="8" w:color="CFF0FC"/>
            </w:tcBorders>
            <w:shd w:val="clear" w:color="auto" w:fill="CFF0FC"/>
          </w:tcPr>
          <w:p>
            <w:pPr>
              <w:spacing w:after="0"/>
              <w:rPr>
                <w:sz w:val="17"/>
                <w:szCs w:val="17"/>
                <w:color w:val="auto"/>
              </w:rPr>
            </w:pPr>
          </w:p>
        </w:tc>
        <w:tc>
          <w:tcPr>
            <w:tcW w:w="460" w:type="dxa"/>
            <w:vAlign w:val="bottom"/>
            <w:tcBorders>
              <w:top w:val="single" w:sz="8" w:color="auto"/>
              <w:bottom w:val="single" w:sz="8" w:color="auto"/>
            </w:tcBorders>
            <w:shd w:val="clear" w:color="auto" w:fill="CFF0FC"/>
          </w:tcPr>
          <w:p>
            <w:pPr>
              <w:jc w:val="right"/>
              <w:ind w:right="304"/>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w:t>
            </w:r>
          </w:p>
        </w:tc>
        <w:tc>
          <w:tcPr>
            <w:tcW w:w="60" w:type="dxa"/>
            <w:vAlign w:val="bottom"/>
            <w:tcBorders>
              <w:top w:val="single" w:sz="8" w:color="CFF0FC"/>
              <w:bottom w:val="single" w:sz="8" w:color="CFF0FC"/>
            </w:tcBorders>
            <w:shd w:val="clear" w:color="auto" w:fill="CFF0FC"/>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5" w:lineRule="exact"/>
        <w:rPr>
          <w:sz w:val="20"/>
          <w:szCs w:val="20"/>
          <w:color w:val="auto"/>
        </w:rPr>
      </w:pPr>
    </w:p>
    <w:p>
      <w:pPr>
        <w:ind w:right="300"/>
        <w:spacing w:after="0" w:line="280" w:lineRule="auto"/>
        <w:rPr>
          <w:sz w:val="20"/>
          <w:szCs w:val="20"/>
          <w:color w:val="auto"/>
        </w:rPr>
      </w:pPr>
      <w:r>
        <w:rPr>
          <w:rFonts w:ascii="Arial" w:cs="Arial" w:eastAsia="Arial" w:hAnsi="Arial"/>
          <w:sz w:val="16"/>
          <w:szCs w:val="16"/>
          <w:color w:val="auto"/>
        </w:rPr>
        <w:t>Costs incurred under these extended warranty and maintenance arrangements for the years ended December 31, 2017 and December 31, 2016 amounted to $118 million and $122 million, respectively.</w:t>
      </w: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12: FINANCIAL INSTRUMENTS</w:t>
      </w:r>
    </w:p>
    <w:p>
      <w:pPr>
        <w:spacing w:after="0" w:line="110"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Kodak, as a result of its global operating and financing activities, is exposed to changes in foreign currency exchange rates and interest rates, which may adversely affect its results of operations and financial position. Kodak manages such exposures, in part, with derivative financial instruments. Foreign currency forward contracts are used to mitigate currency risk related to foreign currency denominated assets and liabilities, as well as forecasted foreign currency denominated intercompany assets. Kodak’s exposure to changes in interest rates results from its investing and borrowing activities used to meet its liquidity needs. Kodak does not utilize financial instruments for trading or other speculative purposes.</w:t>
      </w:r>
    </w:p>
    <w:p>
      <w:pPr>
        <w:spacing w:after="0" w:line="71"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Kodak’s foreign currency forward contracts are not designated as hedges, and are marked to market through net earnings (loss) at the same time that the exposed assets and liabilities are re-measured through net earnings (loss) (both in Other (income) charges, net in the Consolidated Statement of Operations). The notional amount of such contracts open at December 31, 2017 and 2016 was approximately $534 million and $340 million, respectively. The majority of the contracts of this type held by Kodak were denominated in Swiss francs and euros at December 31, 2017 and euros, British pounds and Chinese renminbi at December 31, 2016. The net effect of foreign currency forward contracts in the results of operations is shown in the following table:</w:t>
      </w:r>
    </w:p>
    <w:p>
      <w:pPr>
        <w:spacing w:after="0" w:line="252"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4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00" w:type="dxa"/>
            <w:vAlign w:val="bottom"/>
            <w:gridSpan w:val="5"/>
          </w:tcPr>
          <w:p>
            <w:pPr>
              <w:jc w:val="center"/>
              <w:spacing w:after="0"/>
              <w:rPr>
                <w:sz w:val="20"/>
                <w:szCs w:val="20"/>
                <w:color w:val="auto"/>
              </w:rPr>
            </w:pPr>
            <w:r>
              <w:rPr>
                <w:rFonts w:ascii="Arial" w:cs="Arial" w:eastAsia="Arial" w:hAnsi="Arial"/>
                <w:sz w:val="13"/>
                <w:szCs w:val="13"/>
                <w:b w:val="1"/>
                <w:bCs w:val="1"/>
                <w:color w:val="auto"/>
                <w:w w:val="88"/>
              </w:rPr>
              <w:t>Year Ended December 31,</w:t>
            </w: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53"/>
        </w:trPr>
        <w:tc>
          <w:tcPr>
            <w:tcW w:w="4580" w:type="dxa"/>
            <w:vAlign w:val="bottom"/>
          </w:tcPr>
          <w:p>
            <w:pPr>
              <w:spacing w:after="0"/>
              <w:rPr>
                <w:sz w:val="20"/>
                <w:szCs w:val="20"/>
                <w:color w:val="auto"/>
              </w:rPr>
            </w:pPr>
            <w:r>
              <w:rPr>
                <w:rFonts w:ascii="Arial" w:cs="Arial" w:eastAsia="Arial" w:hAnsi="Arial"/>
                <w:sz w:val="13"/>
                <w:szCs w:val="13"/>
                <w:color w:val="auto"/>
              </w:rPr>
              <w:t>(in millions)</w:t>
            </w:r>
          </w:p>
        </w:tc>
        <w:tc>
          <w:tcPr>
            <w:tcW w:w="158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2017</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jc w:val="right"/>
              <w:ind w:right="328"/>
              <w:spacing w:after="0"/>
              <w:rPr>
                <w:sz w:val="20"/>
                <w:szCs w:val="20"/>
                <w:color w:val="auto"/>
              </w:rPr>
            </w:pPr>
            <w:r>
              <w:rPr>
                <w:rFonts w:ascii="Arial" w:cs="Arial" w:eastAsia="Arial" w:hAnsi="Arial"/>
                <w:sz w:val="13"/>
                <w:szCs w:val="13"/>
                <w:b w:val="1"/>
                <w:bCs w:val="1"/>
                <w:color w:val="auto"/>
              </w:rPr>
              <w:t>2016</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ind w:right="348"/>
              <w:spacing w:after="0"/>
              <w:rPr>
                <w:sz w:val="20"/>
                <w:szCs w:val="20"/>
                <w:color w:val="auto"/>
              </w:rPr>
            </w:pPr>
            <w:r>
              <w:rPr>
                <w:rFonts w:ascii="Arial" w:cs="Arial" w:eastAsia="Arial" w:hAnsi="Arial"/>
                <w:sz w:val="13"/>
                <w:szCs w:val="13"/>
                <w:b w:val="1"/>
                <w:bCs w:val="1"/>
                <w:color w:val="auto"/>
              </w:rPr>
              <w:t>2015</w:t>
            </w:r>
          </w:p>
        </w:tc>
        <w:tc>
          <w:tcPr>
            <w:tcW w:w="80" w:type="dxa"/>
            <w:vAlign w:val="bottom"/>
          </w:tcPr>
          <w:p>
            <w:pPr>
              <w:spacing w:after="0"/>
              <w:rPr>
                <w:sz w:val="13"/>
                <w:szCs w:val="13"/>
                <w:color w:val="auto"/>
              </w:rPr>
            </w:pPr>
          </w:p>
        </w:tc>
      </w:tr>
      <w:tr>
        <w:trPr>
          <w:trHeight w:val="185"/>
        </w:trPr>
        <w:tc>
          <w:tcPr>
            <w:tcW w:w="4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Net (loss) gain from derivatives not designated as hedging</w:t>
            </w:r>
          </w:p>
        </w:tc>
        <w:tc>
          <w:tcPr>
            <w:tcW w:w="820" w:type="dxa"/>
            <w:vAlign w:val="bottom"/>
            <w:tcBorders>
              <w:top w:val="single" w:sz="8" w:color="CFF0FC"/>
            </w:tcBorders>
            <w:shd w:val="clear" w:color="auto" w:fill="CFF0FC"/>
          </w:tcPr>
          <w:p>
            <w:pPr>
              <w:spacing w:after="0"/>
              <w:rPr>
                <w:sz w:val="16"/>
                <w:szCs w:val="16"/>
                <w:color w:val="auto"/>
              </w:rPr>
            </w:pPr>
          </w:p>
        </w:tc>
        <w:tc>
          <w:tcPr>
            <w:tcW w:w="760" w:type="dxa"/>
            <w:vAlign w:val="bottom"/>
            <w:tcBorders>
              <w:top w:val="single" w:sz="8" w:color="auto"/>
            </w:tcBorders>
            <w:shd w:val="clear" w:color="auto" w:fill="CFF0FC"/>
          </w:tcPr>
          <w:p>
            <w:pPr>
              <w:spacing w:after="0"/>
              <w:rPr>
                <w:sz w:val="16"/>
                <w:szCs w:val="16"/>
                <w:color w:val="auto"/>
              </w:rPr>
            </w:pPr>
          </w:p>
        </w:tc>
        <w:tc>
          <w:tcPr>
            <w:tcW w:w="320" w:type="dxa"/>
            <w:vAlign w:val="bottom"/>
            <w:tcBorders>
              <w:top w:val="single" w:sz="8" w:color="auto"/>
            </w:tcBorders>
            <w:shd w:val="clear" w:color="auto" w:fill="CFF0FC"/>
          </w:tcPr>
          <w:p>
            <w:pPr>
              <w:spacing w:after="0"/>
              <w:rPr>
                <w:sz w:val="16"/>
                <w:szCs w:val="16"/>
                <w:color w:val="auto"/>
              </w:rPr>
            </w:pPr>
          </w:p>
        </w:tc>
        <w:tc>
          <w:tcPr>
            <w:tcW w:w="140" w:type="dxa"/>
            <w:vAlign w:val="bottom"/>
            <w:tcBorders>
              <w:top w:val="single" w:sz="8" w:color="CFF0FC"/>
            </w:tcBorders>
            <w:shd w:val="clear" w:color="auto" w:fill="CFF0FC"/>
          </w:tcPr>
          <w:p>
            <w:pPr>
              <w:spacing w:after="0"/>
              <w:rPr>
                <w:sz w:val="16"/>
                <w:szCs w:val="16"/>
                <w:color w:val="auto"/>
              </w:rPr>
            </w:pPr>
          </w:p>
        </w:tc>
        <w:tc>
          <w:tcPr>
            <w:tcW w:w="60" w:type="dxa"/>
            <w:vAlign w:val="bottom"/>
            <w:tcBorders>
              <w:top w:val="single" w:sz="8" w:color="CFF0FC"/>
            </w:tcBorders>
            <w:shd w:val="clear" w:color="auto" w:fill="CFF0FC"/>
          </w:tcPr>
          <w:p>
            <w:pPr>
              <w:spacing w:after="0"/>
              <w:rPr>
                <w:sz w:val="16"/>
                <w:szCs w:val="16"/>
                <w:color w:val="auto"/>
              </w:rPr>
            </w:pPr>
          </w:p>
        </w:tc>
        <w:tc>
          <w:tcPr>
            <w:tcW w:w="260" w:type="dxa"/>
            <w:vAlign w:val="bottom"/>
            <w:tcBorders>
              <w:top w:val="single" w:sz="8" w:color="auto"/>
            </w:tcBorders>
            <w:shd w:val="clear" w:color="auto" w:fill="CFF0FC"/>
          </w:tcPr>
          <w:p>
            <w:pPr>
              <w:spacing w:after="0"/>
              <w:rPr>
                <w:sz w:val="16"/>
                <w:szCs w:val="16"/>
                <w:color w:val="auto"/>
              </w:rPr>
            </w:pPr>
          </w:p>
        </w:tc>
        <w:tc>
          <w:tcPr>
            <w:tcW w:w="820" w:type="dxa"/>
            <w:vAlign w:val="bottom"/>
            <w:tcBorders>
              <w:top w:val="single" w:sz="8" w:color="auto"/>
            </w:tcBorders>
            <w:shd w:val="clear" w:color="auto" w:fill="CFF0FC"/>
          </w:tcPr>
          <w:p>
            <w:pPr>
              <w:spacing w:after="0"/>
              <w:rPr>
                <w:sz w:val="16"/>
                <w:szCs w:val="16"/>
                <w:color w:val="auto"/>
              </w:rPr>
            </w:pPr>
          </w:p>
        </w:tc>
        <w:tc>
          <w:tcPr>
            <w:tcW w:w="220" w:type="dxa"/>
            <w:vAlign w:val="bottom"/>
            <w:tcBorders>
              <w:top w:val="single" w:sz="8" w:color="CFF0FC"/>
            </w:tcBorders>
            <w:shd w:val="clear" w:color="auto" w:fill="CFF0FC"/>
          </w:tcPr>
          <w:p>
            <w:pPr>
              <w:spacing w:after="0"/>
              <w:rPr>
                <w:sz w:val="16"/>
                <w:szCs w:val="16"/>
                <w:color w:val="auto"/>
              </w:rPr>
            </w:pPr>
          </w:p>
        </w:tc>
        <w:tc>
          <w:tcPr>
            <w:tcW w:w="240" w:type="dxa"/>
            <w:vAlign w:val="bottom"/>
            <w:tcBorders>
              <w:top w:val="single" w:sz="8" w:color="auto"/>
            </w:tcBorders>
            <w:shd w:val="clear" w:color="auto" w:fill="CFF0FC"/>
          </w:tcPr>
          <w:p>
            <w:pPr>
              <w:spacing w:after="0"/>
              <w:rPr>
                <w:sz w:val="16"/>
                <w:szCs w:val="16"/>
                <w:color w:val="auto"/>
              </w:rPr>
            </w:pPr>
          </w:p>
        </w:tc>
        <w:tc>
          <w:tcPr>
            <w:tcW w:w="840" w:type="dxa"/>
            <w:vAlign w:val="bottom"/>
            <w:tcBorders>
              <w:top w:val="single" w:sz="8" w:color="auto"/>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r>
      <w:tr>
        <w:trPr>
          <w:trHeight w:val="206"/>
        </w:trPr>
        <w:tc>
          <w:tcPr>
            <w:tcW w:w="45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instruments</w:t>
            </w:r>
          </w:p>
        </w:tc>
        <w:tc>
          <w:tcPr>
            <w:tcW w:w="1580" w:type="dxa"/>
            <w:vAlign w:val="bottom"/>
            <w:gridSpan w:val="2"/>
            <w:shd w:val="clear" w:color="auto" w:fill="CFF0FC"/>
          </w:tcPr>
          <w:p>
            <w:pPr>
              <w:jc w:val="right"/>
              <w:ind w:right="680"/>
              <w:spacing w:after="0"/>
              <w:rPr>
                <w:sz w:val="20"/>
                <w:szCs w:val="20"/>
                <w:color w:val="auto"/>
              </w:rPr>
            </w:pPr>
            <w:r>
              <w:rPr>
                <w:rFonts w:ascii="Arial" w:cs="Arial" w:eastAsia="Arial" w:hAnsi="Arial"/>
                <w:sz w:val="16"/>
                <w:szCs w:val="16"/>
                <w:color w:val="auto"/>
              </w:rPr>
              <w:t>$</w:t>
            </w:r>
          </w:p>
        </w:tc>
        <w:tc>
          <w:tcPr>
            <w:tcW w:w="460" w:type="dxa"/>
            <w:vAlign w:val="bottom"/>
            <w:gridSpan w:val="2"/>
            <w:shd w:val="clear" w:color="auto" w:fill="CFF0FC"/>
          </w:tcPr>
          <w:p>
            <w:pPr>
              <w:jc w:val="right"/>
              <w:ind w:right="16"/>
              <w:spacing w:after="0"/>
              <w:rPr>
                <w:sz w:val="20"/>
                <w:szCs w:val="20"/>
                <w:color w:val="auto"/>
              </w:rPr>
            </w:pPr>
            <w:r>
              <w:rPr>
                <w:rFonts w:ascii="Arial" w:cs="Arial" w:eastAsia="Arial" w:hAnsi="Arial"/>
                <w:sz w:val="16"/>
                <w:szCs w:val="16"/>
                <w:color w:val="auto"/>
              </w:rPr>
              <w:t>(10)</w:t>
            </w:r>
          </w:p>
        </w:tc>
        <w:tc>
          <w:tcPr>
            <w:tcW w:w="3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(21)</w:t>
            </w: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w:t>
            </w:r>
          </w:p>
        </w:tc>
        <w:tc>
          <w:tcPr>
            <w:tcW w:w="80" w:type="dxa"/>
            <w:vAlign w:val="bottom"/>
            <w:shd w:val="clear" w:color="auto" w:fill="CFF0FC"/>
          </w:tcPr>
          <w:p>
            <w:pPr>
              <w:spacing w:after="0"/>
              <w:rPr>
                <w:sz w:val="17"/>
                <w:szCs w:val="17"/>
                <w:color w:val="auto"/>
              </w:rPr>
            </w:pPr>
          </w:p>
        </w:tc>
      </w:tr>
    </w:tbl>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color w:val="auto"/>
        </w:rPr>
        <w:t>Kodak had no derivatives designated as hedging instruments for the years ended December 31, 2017, 2016 or 2015.</w:t>
      </w:r>
    </w:p>
    <w:p>
      <w:pPr>
        <w:spacing w:after="0" w:line="106"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Kodak’s derivative counterparties are high-quality investment or commercial banks with significant experience with such instruments. Kodak manages exposure to counterparty credit risk by requiring specific minimum credit standards and diversification of counterparties. Kodak has procedures to monitor the credit exposure amounts. The maximum credit exposure at December 31, 2017 was not significant to Kodak.</w:t>
      </w:r>
    </w:p>
    <w:p>
      <w:pPr>
        <w:spacing w:after="0" w:line="65"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color w:val="auto"/>
        </w:rPr>
        <w:t>In the event of a default under the Company’s Credit Agreements, or a default under any derivative contract or similar obligation of Kodak, subject to certain minimum thresholds, the derivative counterparties would have the right, although not the obligation, to require immediate settlement of some or all open derivative contracts at their then-current fair value, but with liability positions netted against asset positions with the same counterparty.</w:t>
      </w:r>
    </w:p>
    <w:p>
      <w:pPr>
        <w:spacing w:after="0" w:line="65"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As discussed in Note 9, “Redeemable, Convertible, Series A Preferred Stock”, Kodak concluded that the Series A Preferred Stock is considered more akin to a debt-type instrument and that the economic characteristics and risks of the embedded conversion features, except where the conversion price was increased to the liquidation preference, were not considered clearly and closely related to the Series A Preferred Stock. The embedded conversion features not considered clearly and closely related are the conversion at the option of the holder; the ability of Kodak to automatically convert the stock after the second anniversary of issuance and the conversion in the event of a fundamental change or reorganization. Accordingly, these embedded conversion features were bifurcated from the Series A Preferred Stock and separately accounted for on a combined basis as a single derivative asset or liability which is reported in Other long-term assets in the Consolidated Statement of Financial Position as of December 31, 2017 and Other long-term liabilities as of December 31, 2016. The derivative is being accounted for at fair value with changes in fair value being reported in Other (income) charges, net in the Consolidated Statement of Operations.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62865</wp:posOffset>
            </wp:positionV>
            <wp:extent cx="7301865" cy="406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301865" cy="40640"/>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75" w:name="page76"/>
    <w:bookmarkEnd w:id="75"/>
    <w:p>
      <w:pPr>
        <w:ind w:left="3"/>
        <w:spacing w:after="0"/>
        <w:rPr>
          <w:sz w:val="20"/>
          <w:szCs w:val="20"/>
          <w:color w:val="auto"/>
        </w:rPr>
      </w:pPr>
      <w:r>
        <w:rPr>
          <w:rFonts w:ascii="Arial" w:cs="Arial" w:eastAsia="Arial" w:hAnsi="Arial"/>
          <w:sz w:val="16"/>
          <w:szCs w:val="16"/>
          <w:b w:val="1"/>
          <w:bCs w:val="1"/>
          <w:i w:val="1"/>
          <w:iCs w:val="1"/>
          <w:color w:val="auto"/>
        </w:rPr>
        <w:t>Fair Value</w:t>
      </w:r>
    </w:p>
    <w:p>
      <w:pPr>
        <w:spacing w:after="0" w:line="106" w:lineRule="exact"/>
        <w:rPr>
          <w:sz w:val="20"/>
          <w:szCs w:val="20"/>
          <w:color w:val="auto"/>
        </w:rPr>
      </w:pPr>
    </w:p>
    <w:p>
      <w:pPr>
        <w:ind w:left="3" w:right="120"/>
        <w:spacing w:after="0" w:line="278" w:lineRule="auto"/>
        <w:rPr>
          <w:sz w:val="20"/>
          <w:szCs w:val="20"/>
          <w:color w:val="auto"/>
        </w:rPr>
      </w:pPr>
      <w:r>
        <w:rPr>
          <w:rFonts w:ascii="Arial" w:cs="Arial" w:eastAsia="Arial" w:hAnsi="Arial"/>
          <w:sz w:val="15"/>
          <w:szCs w:val="15"/>
          <w:color w:val="auto"/>
        </w:rPr>
        <w:t>Fair values of Kodak’s foreign currency forward contracts are determined using observable inputs (Level 2 fair value measurements), and are based on the present value of expected future cash flows (an income approach valuation technique) considering the risks involved and using discount rates appropriate for the duration of the contracts. The gross fair value of foreign currency forward contracts in an asset position are reported in Other current assets in the Consolidated Statement of Financial Position and the gross fair value of foreign currency contracts in a liability position are reported in Other current liabilities. The gross fair value of foreign currency forward contracts in an asset position as of December 31, 2017 was $7 million. The gross fair value of the foreign currency forward contracts in an asset position as of December 31, 2016 and the gross fair value of foreign currency contracts in a liability position as of December 31, 2017 or 2016 were not material.</w:t>
      </w:r>
    </w:p>
    <w:p>
      <w:pPr>
        <w:spacing w:after="0" w:line="179" w:lineRule="exact"/>
        <w:rPr>
          <w:sz w:val="20"/>
          <w:szCs w:val="20"/>
          <w:color w:val="auto"/>
        </w:rPr>
      </w:pPr>
    </w:p>
    <w:p>
      <w:pPr>
        <w:ind w:left="3" w:right="460"/>
        <w:spacing w:after="0" w:line="315" w:lineRule="auto"/>
        <w:rPr>
          <w:sz w:val="20"/>
          <w:szCs w:val="20"/>
          <w:color w:val="auto"/>
        </w:rPr>
      </w:pPr>
      <w:r>
        <w:rPr>
          <w:rFonts w:ascii="Arial" w:cs="Arial" w:eastAsia="Arial" w:hAnsi="Arial"/>
          <w:sz w:val="15"/>
          <w:szCs w:val="15"/>
          <w:color w:val="auto"/>
        </w:rPr>
        <w:t>The fair value of the Series A Preferred Stock embedded conversion features derivative is calculated using unobservable inputs (Level 3 fair measurements). The value is calculated using a binomial lattice model. The following table presents the key inputs in the determination of fair value at December 31, 2017 and 2016:</w:t>
      </w:r>
    </w:p>
    <w:p>
      <w:pPr>
        <w:spacing w:after="0" w:line="212" w:lineRule="exact"/>
        <w:rPr>
          <w:sz w:val="20"/>
          <w:szCs w:val="20"/>
          <w:color w:val="auto"/>
        </w:rPr>
      </w:pPr>
    </w:p>
    <w:tbl>
      <w:tblPr>
        <w:tblLayout w:type="fixed"/>
        <w:tblInd w:w="1723" w:type="dxa"/>
        <w:tblCellMar>
          <w:top w:w="0" w:type="dxa"/>
          <w:left w:w="0" w:type="dxa"/>
          <w:bottom w:w="0" w:type="dxa"/>
          <w:right w:w="0" w:type="dxa"/>
        </w:tblCellMar>
      </w:tblPr>
      <w:tr>
        <w:trPr>
          <w:trHeight w:val="149"/>
        </w:trPr>
        <w:tc>
          <w:tcPr>
            <w:tcW w:w="5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80" w:type="dxa"/>
            <w:vAlign w:val="bottom"/>
            <w:gridSpan w:val="3"/>
          </w:tcPr>
          <w:p>
            <w:pPr>
              <w:jc w:val="right"/>
              <w:ind w:right="150"/>
              <w:spacing w:after="0"/>
              <w:rPr>
                <w:sz w:val="20"/>
                <w:szCs w:val="20"/>
                <w:color w:val="auto"/>
              </w:rPr>
            </w:pPr>
            <w:r>
              <w:rPr>
                <w:rFonts w:ascii="Arial" w:cs="Arial" w:eastAsia="Arial" w:hAnsi="Arial"/>
                <w:sz w:val="13"/>
                <w:szCs w:val="13"/>
                <w:b w:val="1"/>
                <w:bCs w:val="1"/>
                <w:color w:val="auto"/>
              </w:rPr>
              <w:t>Valuation Date</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53"/>
        </w:trPr>
        <w:tc>
          <w:tcPr>
            <w:tcW w:w="5340" w:type="dxa"/>
            <w:vAlign w:val="bottom"/>
          </w:tcPr>
          <w:p>
            <w:pPr>
              <w:spacing w:after="0"/>
              <w:rPr>
                <w:sz w:val="20"/>
                <w:szCs w:val="20"/>
                <w:color w:val="auto"/>
              </w:rPr>
            </w:pPr>
            <w:r>
              <w:rPr>
                <w:rFonts w:ascii="Arial" w:cs="Arial" w:eastAsia="Arial" w:hAnsi="Arial"/>
                <w:sz w:val="13"/>
                <w:szCs w:val="13"/>
                <w:b w:val="1"/>
                <w:bCs w:val="1"/>
                <w:color w:val="auto"/>
              </w:rPr>
              <w:t>(in millions)</w:t>
            </w:r>
          </w:p>
        </w:tc>
        <w:tc>
          <w:tcPr>
            <w:tcW w:w="1380" w:type="dxa"/>
            <w:vAlign w:val="bottom"/>
            <w:gridSpan w:val="3"/>
          </w:tcPr>
          <w:p>
            <w:pPr>
              <w:ind w:left="20"/>
              <w:spacing w:after="0"/>
              <w:rPr>
                <w:sz w:val="20"/>
                <w:szCs w:val="20"/>
                <w:color w:val="auto"/>
              </w:rPr>
            </w:pPr>
            <w:r>
              <w:rPr>
                <w:rFonts w:ascii="Arial" w:cs="Arial" w:eastAsia="Arial" w:hAnsi="Arial"/>
                <w:sz w:val="13"/>
                <w:szCs w:val="13"/>
                <w:b w:val="1"/>
                <w:bCs w:val="1"/>
                <w:color w:val="auto"/>
              </w:rPr>
              <w:t>December 31, 2017</w:t>
            </w:r>
          </w:p>
        </w:tc>
        <w:tc>
          <w:tcPr>
            <w:tcW w:w="1280" w:type="dxa"/>
            <w:vAlign w:val="bottom"/>
            <w:gridSpan w:val="3"/>
          </w:tcPr>
          <w:p>
            <w:pPr>
              <w:jc w:val="right"/>
              <w:ind w:right="200"/>
              <w:spacing w:after="0"/>
              <w:rPr>
                <w:sz w:val="20"/>
                <w:szCs w:val="20"/>
                <w:color w:val="auto"/>
              </w:rPr>
            </w:pPr>
            <w:r>
              <w:rPr>
                <w:rFonts w:ascii="Arial" w:cs="Arial" w:eastAsia="Arial" w:hAnsi="Arial"/>
                <w:sz w:val="13"/>
                <w:szCs w:val="13"/>
                <w:b w:val="1"/>
                <w:bCs w:val="1"/>
                <w:color w:val="auto"/>
                <w:w w:val="90"/>
              </w:rPr>
              <w:t>December 31, 2016</w:t>
            </w:r>
          </w:p>
        </w:tc>
      </w:tr>
      <w:tr>
        <w:trPr>
          <w:trHeight w:val="198"/>
        </w:trPr>
        <w:tc>
          <w:tcPr>
            <w:tcW w:w="5340" w:type="dxa"/>
            <w:vAlign w:val="bottom"/>
            <w:tcBorders>
              <w:top w:val="single" w:sz="8" w:color="CFF0FC"/>
            </w:tcBorders>
            <w:shd w:val="clear" w:color="auto" w:fill="CFF0FC"/>
          </w:tcPr>
          <w:p>
            <w:pPr>
              <w:ind w:left="220"/>
              <w:spacing w:after="0"/>
              <w:rPr>
                <w:sz w:val="20"/>
                <w:szCs w:val="20"/>
                <w:color w:val="auto"/>
              </w:rPr>
            </w:pPr>
            <w:r>
              <w:rPr>
                <w:rFonts w:ascii="Arial" w:cs="Arial" w:eastAsia="Arial" w:hAnsi="Arial"/>
                <w:sz w:val="16"/>
                <w:szCs w:val="16"/>
                <w:color w:val="auto"/>
              </w:rPr>
              <w:t>Total value of embedded derivative (asset) liability</w:t>
            </w:r>
          </w:p>
        </w:tc>
        <w:tc>
          <w:tcPr>
            <w:tcW w:w="400" w:type="dxa"/>
            <w:vAlign w:val="bottom"/>
            <w:tcBorders>
              <w:top w:val="single" w:sz="8" w:color="auto"/>
            </w:tcBorders>
            <w:shd w:val="clear" w:color="auto" w:fill="CFF0FC"/>
          </w:tcPr>
          <w:p>
            <w:pPr>
              <w:jc w:val="right"/>
              <w:ind w:right="250"/>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ind w:right="22"/>
              <w:spacing w:after="0"/>
              <w:rPr>
                <w:sz w:val="20"/>
                <w:szCs w:val="20"/>
                <w:color w:val="auto"/>
              </w:rPr>
            </w:pPr>
            <w:r>
              <w:rPr>
                <w:rFonts w:ascii="Arial" w:cs="Arial" w:eastAsia="Arial" w:hAnsi="Arial"/>
                <w:sz w:val="16"/>
                <w:szCs w:val="16"/>
                <w:color w:val="auto"/>
              </w:rPr>
              <w:t>(4)</w:t>
            </w:r>
          </w:p>
        </w:tc>
        <w:tc>
          <w:tcPr>
            <w:tcW w:w="120" w:type="dxa"/>
            <w:vAlign w:val="bottom"/>
            <w:tcBorders>
              <w:top w:val="single" w:sz="8" w:color="CFF0FC"/>
            </w:tcBorders>
            <w:shd w:val="clear" w:color="auto" w:fill="CFF0FC"/>
          </w:tcPr>
          <w:p>
            <w:pPr>
              <w:spacing w:after="0"/>
              <w:rPr>
                <w:sz w:val="17"/>
                <w:szCs w:val="17"/>
                <w:color w:val="auto"/>
              </w:rPr>
            </w:pPr>
          </w:p>
        </w:tc>
        <w:tc>
          <w:tcPr>
            <w:tcW w:w="500" w:type="dxa"/>
            <w:vAlign w:val="bottom"/>
            <w:tcBorders>
              <w:top w:val="single" w:sz="8" w:color="auto"/>
            </w:tcBorders>
            <w:shd w:val="clear" w:color="auto" w:fill="CFF0FC"/>
          </w:tcPr>
          <w:p>
            <w:pPr>
              <w:jc w:val="right"/>
              <w:ind w:right="350"/>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43</w:t>
            </w:r>
          </w:p>
        </w:tc>
        <w:tc>
          <w:tcPr>
            <w:tcW w:w="160" w:type="dxa"/>
            <w:vAlign w:val="bottom"/>
            <w:tcBorders>
              <w:top w:val="single" w:sz="8" w:color="CFF0FC"/>
            </w:tcBorders>
            <w:shd w:val="clear" w:color="auto" w:fill="CFF0FC"/>
          </w:tcPr>
          <w:p>
            <w:pPr>
              <w:spacing w:after="0"/>
              <w:rPr>
                <w:sz w:val="17"/>
                <w:szCs w:val="17"/>
                <w:color w:val="auto"/>
              </w:rPr>
            </w:pPr>
          </w:p>
        </w:tc>
      </w:tr>
      <w:tr>
        <w:trPr>
          <w:trHeight w:val="205"/>
        </w:trPr>
        <w:tc>
          <w:tcPr>
            <w:tcW w:w="5340" w:type="dxa"/>
            <w:vAlign w:val="bottom"/>
          </w:tcPr>
          <w:p>
            <w:pPr>
              <w:ind w:left="220"/>
              <w:spacing w:after="0"/>
              <w:rPr>
                <w:sz w:val="20"/>
                <w:szCs w:val="20"/>
                <w:color w:val="auto"/>
              </w:rPr>
            </w:pPr>
            <w:r>
              <w:rPr>
                <w:rFonts w:ascii="Arial" w:cs="Arial" w:eastAsia="Arial" w:hAnsi="Arial"/>
                <w:sz w:val="16"/>
                <w:szCs w:val="16"/>
                <w:color w:val="auto"/>
              </w:rPr>
              <w:t>Kodak's closing stock price</w:t>
            </w:r>
          </w:p>
        </w:tc>
        <w:tc>
          <w:tcPr>
            <w:tcW w:w="400" w:type="dxa"/>
            <w:vAlign w:val="bottom"/>
          </w:tcPr>
          <w:p>
            <w:pPr>
              <w:spacing w:after="0"/>
              <w:rPr>
                <w:sz w:val="17"/>
                <w:szCs w:val="17"/>
                <w:color w:val="auto"/>
              </w:rPr>
            </w:pPr>
          </w:p>
        </w:tc>
        <w:tc>
          <w:tcPr>
            <w:tcW w:w="860" w:type="dxa"/>
            <w:vAlign w:val="bottom"/>
          </w:tcPr>
          <w:p>
            <w:pPr>
              <w:jc w:val="right"/>
              <w:ind w:right="82"/>
              <w:spacing w:after="0"/>
              <w:rPr>
                <w:sz w:val="20"/>
                <w:szCs w:val="20"/>
                <w:color w:val="auto"/>
              </w:rPr>
            </w:pPr>
            <w:r>
              <w:rPr>
                <w:rFonts w:ascii="Arial" w:cs="Arial" w:eastAsia="Arial" w:hAnsi="Arial"/>
                <w:sz w:val="16"/>
                <w:szCs w:val="16"/>
                <w:color w:val="auto"/>
              </w:rPr>
              <w:t>3.10</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15.50</w:t>
            </w:r>
          </w:p>
        </w:tc>
        <w:tc>
          <w:tcPr>
            <w:tcW w:w="160" w:type="dxa"/>
            <w:vAlign w:val="bottom"/>
          </w:tcPr>
          <w:p>
            <w:pPr>
              <w:spacing w:after="0"/>
              <w:rPr>
                <w:sz w:val="17"/>
                <w:szCs w:val="17"/>
                <w:color w:val="auto"/>
              </w:rPr>
            </w:pPr>
          </w:p>
        </w:tc>
      </w:tr>
      <w:tr>
        <w:trPr>
          <w:trHeight w:val="205"/>
        </w:trPr>
        <w:tc>
          <w:tcPr>
            <w:tcW w:w="5340" w:type="dxa"/>
            <w:vAlign w:val="bottom"/>
            <w:shd w:val="clear" w:color="auto" w:fill="CFF0FC"/>
          </w:tcPr>
          <w:p>
            <w:pPr>
              <w:ind w:left="220"/>
              <w:spacing w:after="0"/>
              <w:rPr>
                <w:sz w:val="20"/>
                <w:szCs w:val="20"/>
                <w:color w:val="auto"/>
              </w:rPr>
            </w:pPr>
            <w:r>
              <w:rPr>
                <w:rFonts w:ascii="Arial" w:cs="Arial" w:eastAsia="Arial" w:hAnsi="Arial"/>
                <w:sz w:val="16"/>
                <w:szCs w:val="16"/>
                <w:color w:val="auto"/>
              </w:rPr>
              <w:t>Expected stock price volatility</w:t>
            </w:r>
          </w:p>
        </w:tc>
        <w:tc>
          <w:tcPr>
            <w:tcW w:w="40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58.22%</w:t>
            </w:r>
          </w:p>
        </w:tc>
        <w:tc>
          <w:tcPr>
            <w:tcW w:w="12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42.85%</w:t>
            </w:r>
          </w:p>
        </w:tc>
      </w:tr>
      <w:tr>
        <w:trPr>
          <w:trHeight w:val="205"/>
        </w:trPr>
        <w:tc>
          <w:tcPr>
            <w:tcW w:w="5340" w:type="dxa"/>
            <w:vAlign w:val="bottom"/>
          </w:tcPr>
          <w:p>
            <w:pPr>
              <w:ind w:left="220"/>
              <w:spacing w:after="0"/>
              <w:rPr>
                <w:sz w:val="20"/>
                <w:szCs w:val="20"/>
                <w:color w:val="auto"/>
              </w:rPr>
            </w:pPr>
            <w:r>
              <w:rPr>
                <w:rFonts w:ascii="Arial" w:cs="Arial" w:eastAsia="Arial" w:hAnsi="Arial"/>
                <w:sz w:val="16"/>
                <w:szCs w:val="16"/>
                <w:color w:val="auto"/>
              </w:rPr>
              <w:t>Risk free rate</w:t>
            </w:r>
          </w:p>
        </w:tc>
        <w:tc>
          <w:tcPr>
            <w:tcW w:w="4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2.08%</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6"/>
                <w:szCs w:val="16"/>
                <w:color w:val="auto"/>
              </w:rPr>
              <w:t>1.93%</w:t>
            </w:r>
          </w:p>
        </w:tc>
      </w:tr>
      <w:tr>
        <w:trPr>
          <w:trHeight w:val="205"/>
        </w:trPr>
        <w:tc>
          <w:tcPr>
            <w:tcW w:w="5340" w:type="dxa"/>
            <w:vAlign w:val="bottom"/>
            <w:shd w:val="clear" w:color="auto" w:fill="CFF0FC"/>
          </w:tcPr>
          <w:p>
            <w:pPr>
              <w:ind w:left="220"/>
              <w:spacing w:after="0"/>
              <w:rPr>
                <w:sz w:val="20"/>
                <w:szCs w:val="20"/>
                <w:color w:val="auto"/>
              </w:rPr>
            </w:pPr>
            <w:r>
              <w:rPr>
                <w:rFonts w:ascii="Arial" w:cs="Arial" w:eastAsia="Arial" w:hAnsi="Arial"/>
                <w:sz w:val="16"/>
                <w:szCs w:val="16"/>
                <w:color w:val="auto"/>
              </w:rPr>
              <w:t>Yield on the preferred stock</w:t>
            </w:r>
          </w:p>
        </w:tc>
        <w:tc>
          <w:tcPr>
            <w:tcW w:w="40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22.31%</w:t>
            </w:r>
          </w:p>
        </w:tc>
        <w:tc>
          <w:tcPr>
            <w:tcW w:w="12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11.38%</w:t>
            </w:r>
          </w:p>
        </w:tc>
      </w:tr>
    </w:tbl>
    <w:p>
      <w:pPr>
        <w:spacing w:after="0" w:line="200" w:lineRule="exact"/>
        <w:rPr>
          <w:sz w:val="20"/>
          <w:szCs w:val="20"/>
          <w:color w:val="auto"/>
        </w:rPr>
      </w:pPr>
    </w:p>
    <w:p>
      <w:pPr>
        <w:spacing w:after="0" w:line="223" w:lineRule="exact"/>
        <w:rPr>
          <w:sz w:val="20"/>
          <w:szCs w:val="20"/>
          <w:color w:val="auto"/>
        </w:rPr>
      </w:pPr>
    </w:p>
    <w:p>
      <w:pPr>
        <w:ind w:left="3"/>
        <w:spacing w:after="0" w:line="278" w:lineRule="auto"/>
        <w:rPr>
          <w:sz w:val="20"/>
          <w:szCs w:val="20"/>
          <w:color w:val="auto"/>
        </w:rPr>
      </w:pPr>
      <w:r>
        <w:rPr>
          <w:rFonts w:ascii="Arial" w:cs="Arial" w:eastAsia="Arial" w:hAnsi="Arial"/>
          <w:sz w:val="15"/>
          <w:szCs w:val="15"/>
          <w:color w:val="auto"/>
        </w:rPr>
        <w:t>The Fundamental Change and Reorganization Conversion value at issuance was calculated as the difference between the total value of the Series A Preferred Stock and the sum of the net present value of the cash flows if the Series A Preferred Stock is redeemed on its fifth anniversary and the values of the other embedded derivatives. The Fundamental Change and Reorganization Conversion value reduces the value of the embedded conversion features derivative liability. Unless events occur which would alter the likelihood of a fundamental change or reorganization event, the value of the Fundamental Change and Reorganization Conversion reflects the value as of the issuance date, amortized for the passage of time. The Fundamental Change and Reorganization Conversion value exceeded the value of the embedded conversion features derivative liability at December 31, 2017 resulting in the derivative being reported as an asset.</w:t>
      </w:r>
    </w:p>
    <w:p>
      <w:pPr>
        <w:spacing w:after="0" w:line="179" w:lineRule="exact"/>
        <w:rPr>
          <w:sz w:val="20"/>
          <w:szCs w:val="20"/>
          <w:color w:val="auto"/>
        </w:rPr>
      </w:pPr>
    </w:p>
    <w:p>
      <w:pPr>
        <w:ind w:left="3" w:right="260"/>
        <w:spacing w:after="0" w:line="266" w:lineRule="auto"/>
        <w:rPr>
          <w:sz w:val="20"/>
          <w:szCs w:val="20"/>
          <w:color w:val="auto"/>
        </w:rPr>
      </w:pPr>
      <w:r>
        <w:rPr>
          <w:rFonts w:ascii="Arial" w:cs="Arial" w:eastAsia="Arial" w:hAnsi="Arial"/>
          <w:sz w:val="16"/>
          <w:szCs w:val="16"/>
          <w:color w:val="auto"/>
        </w:rPr>
        <w:t>The fair values of long-term borrowings were $348 million and $406 million at December 31, 2017 and 2016, respectively. Fair values of long-term borrowings (Level 2 fair value measurements) are determined by reference to quoted market prices, if available, or by pricing models based on the value of related cash flows discounted at current market interest rates,</w:t>
      </w:r>
    </w:p>
    <w:p>
      <w:pPr>
        <w:spacing w:after="0" w:line="186" w:lineRule="exact"/>
        <w:rPr>
          <w:sz w:val="20"/>
          <w:szCs w:val="20"/>
          <w:color w:val="auto"/>
        </w:rPr>
      </w:pPr>
    </w:p>
    <w:p>
      <w:pPr>
        <w:ind w:left="3" w:right="400"/>
        <w:spacing w:after="0" w:line="280" w:lineRule="auto"/>
        <w:rPr>
          <w:sz w:val="20"/>
          <w:szCs w:val="20"/>
          <w:color w:val="auto"/>
        </w:rPr>
      </w:pPr>
      <w:r>
        <w:rPr>
          <w:rFonts w:ascii="Arial" w:cs="Arial" w:eastAsia="Arial" w:hAnsi="Arial"/>
          <w:sz w:val="16"/>
          <w:szCs w:val="16"/>
          <w:color w:val="auto"/>
        </w:rPr>
        <w:t>Transfers between levels of the fair value hierarchy are recognized based on the actual date of the event or change in circumstances that caused the transfer. There were no transfers between levels of the fair value hierarchy during the year ended December 31, 2017.</w:t>
      </w:r>
    </w:p>
    <w:p>
      <w:pPr>
        <w:spacing w:after="0" w:line="54" w:lineRule="exact"/>
        <w:rPr>
          <w:sz w:val="20"/>
          <w:szCs w:val="20"/>
          <w:color w:val="auto"/>
        </w:rPr>
      </w:pPr>
    </w:p>
    <w:p>
      <w:pPr>
        <w:ind w:left="3"/>
        <w:spacing w:after="0"/>
        <w:rPr>
          <w:sz w:val="20"/>
          <w:szCs w:val="20"/>
          <w:color w:val="auto"/>
        </w:rPr>
      </w:pPr>
      <w:r>
        <w:rPr>
          <w:rFonts w:ascii="Arial" w:cs="Arial" w:eastAsia="Arial" w:hAnsi="Arial"/>
          <w:sz w:val="16"/>
          <w:szCs w:val="16"/>
          <w:color w:val="auto"/>
        </w:rPr>
        <w:t>The carrying values of cash and cash equivalents, restricted cash, and short-term borrowings and current portion of long-term debt approximate their fair values.</w:t>
      </w:r>
    </w:p>
    <w:p>
      <w:pPr>
        <w:spacing w:after="0" w:line="368"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NOTE 13: OTHER OPERATING EXPENSE (INCOME), NET</w:t>
      </w:r>
    </w:p>
    <w:p>
      <w:pPr>
        <w:spacing w:after="0" w:line="292" w:lineRule="exact"/>
        <w:rPr>
          <w:sz w:val="20"/>
          <w:szCs w:val="20"/>
          <w:color w:val="auto"/>
        </w:rPr>
      </w:pPr>
    </w:p>
    <w:tbl>
      <w:tblPr>
        <w:tblLayout w:type="fixed"/>
        <w:tblInd w:w="1143" w:type="dxa"/>
        <w:tblCellMar>
          <w:top w:w="0" w:type="dxa"/>
          <w:left w:w="0" w:type="dxa"/>
          <w:bottom w:w="0" w:type="dxa"/>
          <w:right w:w="0" w:type="dxa"/>
        </w:tblCellMar>
      </w:tblPr>
      <w:tr>
        <w:trPr>
          <w:trHeight w:val="149"/>
        </w:trPr>
        <w:tc>
          <w:tcPr>
            <w:tcW w:w="44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500" w:type="dxa"/>
            <w:vAlign w:val="bottom"/>
            <w:gridSpan w:val="4"/>
          </w:tcPr>
          <w:p>
            <w:pPr>
              <w:jc w:val="right"/>
              <w:ind w:right="40"/>
              <w:spacing w:after="0"/>
              <w:rPr>
                <w:sz w:val="20"/>
                <w:szCs w:val="20"/>
                <w:color w:val="auto"/>
              </w:rPr>
            </w:pPr>
            <w:r>
              <w:rPr>
                <w:rFonts w:ascii="Arial" w:cs="Arial" w:eastAsia="Arial" w:hAnsi="Arial"/>
                <w:sz w:val="13"/>
                <w:szCs w:val="13"/>
                <w:b w:val="1"/>
                <w:bCs w:val="1"/>
                <w:color w:val="auto"/>
                <w:w w:val="90"/>
              </w:rPr>
              <w:t>Year Ended December 31,</w:t>
            </w: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53"/>
        </w:trPr>
        <w:tc>
          <w:tcPr>
            <w:tcW w:w="4420" w:type="dxa"/>
            <w:vAlign w:val="bottom"/>
            <w:tcBorders>
              <w:bottom w:val="single" w:sz="8" w:color="CFF0FC"/>
            </w:tcBorders>
          </w:tcPr>
          <w:p>
            <w:pPr>
              <w:spacing w:after="0"/>
              <w:rPr>
                <w:sz w:val="20"/>
                <w:szCs w:val="20"/>
                <w:color w:val="auto"/>
              </w:rPr>
            </w:pPr>
            <w:r>
              <w:rPr>
                <w:rFonts w:ascii="Arial" w:cs="Arial" w:eastAsia="Arial" w:hAnsi="Arial"/>
                <w:sz w:val="13"/>
                <w:szCs w:val="13"/>
                <w:color w:val="auto"/>
              </w:rPr>
              <w:t>(in millions)</w:t>
            </w:r>
          </w:p>
        </w:tc>
        <w:tc>
          <w:tcPr>
            <w:tcW w:w="9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41"/>
              <w:spacing w:after="0"/>
              <w:rPr>
                <w:sz w:val="20"/>
                <w:szCs w:val="20"/>
                <w:color w:val="auto"/>
              </w:rPr>
            </w:pPr>
            <w:r>
              <w:rPr>
                <w:rFonts w:ascii="Arial" w:cs="Arial" w:eastAsia="Arial" w:hAnsi="Arial"/>
                <w:sz w:val="13"/>
                <w:szCs w:val="13"/>
                <w:b w:val="1"/>
                <w:bCs w:val="1"/>
                <w:color w:val="auto"/>
              </w:rPr>
              <w:t>2017</w:t>
            </w:r>
          </w:p>
        </w:tc>
        <w:tc>
          <w:tcPr>
            <w:tcW w:w="20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21"/>
              <w:spacing w:after="0"/>
              <w:rPr>
                <w:sz w:val="20"/>
                <w:szCs w:val="20"/>
                <w:color w:val="auto"/>
              </w:rPr>
            </w:pPr>
            <w:r>
              <w:rPr>
                <w:rFonts w:ascii="Arial" w:cs="Arial" w:eastAsia="Arial" w:hAnsi="Arial"/>
                <w:sz w:val="13"/>
                <w:szCs w:val="13"/>
                <w:b w:val="1"/>
                <w:bCs w:val="1"/>
                <w:color w:val="auto"/>
              </w:rPr>
              <w:t>2016</w:t>
            </w:r>
          </w:p>
        </w:tc>
        <w:tc>
          <w:tcPr>
            <w:tcW w:w="2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41"/>
              <w:spacing w:after="0"/>
              <w:rPr>
                <w:sz w:val="20"/>
                <w:szCs w:val="20"/>
                <w:color w:val="auto"/>
              </w:rPr>
            </w:pPr>
            <w:r>
              <w:rPr>
                <w:rFonts w:ascii="Arial" w:cs="Arial" w:eastAsia="Arial" w:hAnsi="Arial"/>
                <w:sz w:val="13"/>
                <w:szCs w:val="13"/>
                <w:b w:val="1"/>
                <w:bCs w:val="1"/>
                <w:color w:val="auto"/>
              </w:rPr>
              <w:t>2015</w:t>
            </w:r>
          </w:p>
        </w:tc>
        <w:tc>
          <w:tcPr>
            <w:tcW w:w="80" w:type="dxa"/>
            <w:vAlign w:val="bottom"/>
            <w:tcBorders>
              <w:bottom w:val="single" w:sz="8" w:color="CFF0FC"/>
            </w:tcBorders>
          </w:tcPr>
          <w:p>
            <w:pPr>
              <w:spacing w:after="0"/>
              <w:rPr>
                <w:sz w:val="13"/>
                <w:szCs w:val="13"/>
                <w:color w:val="auto"/>
              </w:rPr>
            </w:pPr>
          </w:p>
        </w:tc>
      </w:tr>
      <w:tr>
        <w:trPr>
          <w:trHeight w:val="198"/>
        </w:trPr>
        <w:tc>
          <w:tcPr>
            <w:tcW w:w="4420" w:type="dxa"/>
            <w:vAlign w:val="bottom"/>
            <w:shd w:val="clear" w:color="auto" w:fill="CFF0FC"/>
          </w:tcPr>
          <w:p>
            <w:pPr>
              <w:spacing w:after="0"/>
              <w:rPr>
                <w:sz w:val="20"/>
                <w:szCs w:val="20"/>
                <w:color w:val="auto"/>
              </w:rPr>
            </w:pPr>
            <w:r>
              <w:rPr>
                <w:rFonts w:ascii="Arial" w:cs="Arial" w:eastAsia="Arial" w:hAnsi="Arial"/>
                <w:sz w:val="16"/>
                <w:szCs w:val="16"/>
                <w:color w:val="auto"/>
              </w:rPr>
              <w:t>Expense (income):</w:t>
            </w:r>
          </w:p>
        </w:tc>
        <w:tc>
          <w:tcPr>
            <w:tcW w:w="9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5"/>
        </w:trPr>
        <w:tc>
          <w:tcPr>
            <w:tcW w:w="4420" w:type="dxa"/>
            <w:vAlign w:val="bottom"/>
          </w:tcPr>
          <w:p>
            <w:pPr>
              <w:spacing w:after="0"/>
              <w:rPr>
                <w:sz w:val="20"/>
                <w:szCs w:val="20"/>
                <w:color w:val="auto"/>
              </w:rPr>
            </w:pPr>
            <w:r>
              <w:rPr>
                <w:rFonts w:ascii="Arial" w:cs="Arial" w:eastAsia="Arial" w:hAnsi="Arial"/>
                <w:sz w:val="16"/>
                <w:szCs w:val="16"/>
                <w:color w:val="auto"/>
              </w:rPr>
              <w:t xml:space="preserve">Asset impairments </w:t>
            </w:r>
            <w:r>
              <w:rPr>
                <w:rFonts w:ascii="Arial" w:cs="Arial" w:eastAsia="Arial" w:hAnsi="Arial"/>
                <w:sz w:val="13"/>
                <w:szCs w:val="13"/>
                <w:color w:val="auto"/>
              </w:rPr>
              <w:t>(1) (2) (3) (4) (5)</w:t>
            </w:r>
          </w:p>
        </w:tc>
        <w:tc>
          <w:tcPr>
            <w:tcW w:w="1220" w:type="dxa"/>
            <w:vAlign w:val="bottom"/>
            <w:gridSpan w:val="2"/>
          </w:tcPr>
          <w:p>
            <w:pPr>
              <w:jc w:val="right"/>
              <w:ind w:right="84"/>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24</w:t>
            </w:r>
          </w:p>
        </w:tc>
        <w:tc>
          <w:tcPr>
            <w:tcW w:w="460" w:type="dxa"/>
            <w:vAlign w:val="bottom"/>
            <w:gridSpan w:val="2"/>
          </w:tcPr>
          <w:p>
            <w:pPr>
              <w:jc w:val="right"/>
              <w:ind w:right="104"/>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25</w:t>
            </w:r>
          </w:p>
        </w:tc>
        <w:tc>
          <w:tcPr>
            <w:tcW w:w="220" w:type="dxa"/>
            <w:vAlign w:val="bottom"/>
          </w:tcPr>
          <w:p>
            <w:pPr>
              <w:spacing w:after="0"/>
              <w:rPr>
                <w:sz w:val="17"/>
                <w:szCs w:val="17"/>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05"/>
        </w:trPr>
        <w:tc>
          <w:tcPr>
            <w:tcW w:w="4420" w:type="dxa"/>
            <w:vAlign w:val="bottom"/>
            <w:shd w:val="clear" w:color="auto" w:fill="CFF0FC"/>
          </w:tcPr>
          <w:p>
            <w:pPr>
              <w:spacing w:after="0"/>
              <w:rPr>
                <w:sz w:val="20"/>
                <w:szCs w:val="20"/>
                <w:color w:val="auto"/>
              </w:rPr>
            </w:pPr>
            <w:r>
              <w:rPr>
                <w:rFonts w:ascii="Arial" w:cs="Arial" w:eastAsia="Arial" w:hAnsi="Arial"/>
                <w:sz w:val="16"/>
                <w:szCs w:val="16"/>
                <w:color w:val="auto"/>
              </w:rPr>
              <w:t xml:space="preserve">Prosper asset remeasurement </w:t>
            </w:r>
            <w:r>
              <w:rPr>
                <w:rFonts w:ascii="Arial" w:cs="Arial" w:eastAsia="Arial" w:hAnsi="Arial"/>
                <w:sz w:val="13"/>
                <w:szCs w:val="13"/>
                <w:color w:val="auto"/>
              </w:rPr>
              <w:t>(6)</w:t>
            </w:r>
          </w:p>
        </w:tc>
        <w:tc>
          <w:tcPr>
            <w:tcW w:w="9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w:t>
            </w:r>
          </w:p>
        </w:tc>
        <w:tc>
          <w:tcPr>
            <w:tcW w:w="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r>
      <w:tr>
        <w:trPr>
          <w:trHeight w:val="205"/>
        </w:trPr>
        <w:tc>
          <w:tcPr>
            <w:tcW w:w="4420" w:type="dxa"/>
            <w:vAlign w:val="bottom"/>
          </w:tcPr>
          <w:p>
            <w:pPr>
              <w:spacing w:after="0"/>
              <w:rPr>
                <w:sz w:val="20"/>
                <w:szCs w:val="20"/>
                <w:color w:val="auto"/>
              </w:rPr>
            </w:pPr>
            <w:r>
              <w:rPr>
                <w:rFonts w:ascii="Arial" w:cs="Arial" w:eastAsia="Arial" w:hAnsi="Arial"/>
                <w:sz w:val="16"/>
                <w:szCs w:val="16"/>
                <w:color w:val="auto"/>
              </w:rPr>
              <w:t xml:space="preserve">Gains related to the sales of assets </w:t>
            </w:r>
            <w:r>
              <w:rPr>
                <w:rFonts w:ascii="Arial" w:cs="Arial" w:eastAsia="Arial" w:hAnsi="Arial"/>
                <w:sz w:val="13"/>
                <w:szCs w:val="13"/>
                <w:color w:val="auto"/>
              </w:rPr>
              <w:t>(7)</w:t>
            </w: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68"/>
              <w:spacing w:after="0"/>
              <w:rPr>
                <w:sz w:val="20"/>
                <w:szCs w:val="20"/>
                <w:color w:val="auto"/>
              </w:rPr>
            </w:pPr>
            <w:r>
              <w:rPr>
                <w:rFonts w:ascii="Arial" w:cs="Arial" w:eastAsia="Arial" w:hAnsi="Arial"/>
                <w:sz w:val="16"/>
                <w:szCs w:val="16"/>
                <w:color w:val="auto"/>
              </w:rPr>
              <w:t>(8)</w:t>
            </w:r>
          </w:p>
        </w:tc>
        <w:tc>
          <w:tcPr>
            <w:tcW w:w="26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(9)</w:t>
            </w:r>
          </w:p>
        </w:tc>
        <w:tc>
          <w:tcPr>
            <w:tcW w:w="240" w:type="dxa"/>
            <w:vAlign w:val="bottom"/>
          </w:tcPr>
          <w:p>
            <w:pPr>
              <w:spacing w:after="0"/>
              <w:rPr>
                <w:sz w:val="17"/>
                <w:szCs w:val="17"/>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(6)</w:t>
            </w:r>
          </w:p>
        </w:tc>
      </w:tr>
      <w:tr>
        <w:trPr>
          <w:trHeight w:val="205"/>
        </w:trPr>
        <w:tc>
          <w:tcPr>
            <w:tcW w:w="4420" w:type="dxa"/>
            <w:vAlign w:val="bottom"/>
            <w:shd w:val="clear" w:color="auto" w:fill="CFF0FC"/>
          </w:tcPr>
          <w:p>
            <w:pPr>
              <w:spacing w:after="0"/>
              <w:rPr>
                <w:sz w:val="20"/>
                <w:szCs w:val="20"/>
                <w:color w:val="auto"/>
              </w:rPr>
            </w:pPr>
            <w:r>
              <w:rPr>
                <w:rFonts w:ascii="Arial" w:cs="Arial" w:eastAsia="Arial" w:hAnsi="Arial"/>
                <w:sz w:val="16"/>
                <w:szCs w:val="16"/>
                <w:color w:val="auto"/>
              </w:rPr>
              <w:t xml:space="preserve">Legal settlements </w:t>
            </w:r>
            <w:r>
              <w:rPr>
                <w:rFonts w:ascii="Arial" w:cs="Arial" w:eastAsia="Arial" w:hAnsi="Arial"/>
                <w:sz w:val="13"/>
                <w:szCs w:val="13"/>
                <w:color w:val="auto"/>
              </w:rPr>
              <w:t>(8) (9)</w:t>
            </w:r>
          </w:p>
        </w:tc>
        <w:tc>
          <w:tcPr>
            <w:tcW w:w="9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(16)</w:t>
            </w:r>
          </w:p>
        </w:tc>
        <w:tc>
          <w:tcPr>
            <w:tcW w:w="24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r>
      <w:tr>
        <w:trPr>
          <w:trHeight w:val="205"/>
        </w:trPr>
        <w:tc>
          <w:tcPr>
            <w:tcW w:w="4420" w:type="dxa"/>
            <w:vAlign w:val="bottom"/>
          </w:tcPr>
          <w:p>
            <w:pPr>
              <w:spacing w:after="0"/>
              <w:rPr>
                <w:sz w:val="20"/>
                <w:szCs w:val="20"/>
                <w:color w:val="auto"/>
              </w:rPr>
            </w:pPr>
            <w:r>
              <w:rPr>
                <w:rFonts w:ascii="Arial" w:cs="Arial" w:eastAsia="Arial" w:hAnsi="Arial"/>
                <w:sz w:val="16"/>
                <w:szCs w:val="16"/>
                <w:color w:val="auto"/>
              </w:rPr>
              <w:t xml:space="preserve">Deconsolidation of RED </w:t>
            </w:r>
            <w:r>
              <w:rPr>
                <w:rFonts w:ascii="Arial" w:cs="Arial" w:eastAsia="Arial" w:hAnsi="Arial"/>
                <w:sz w:val="13"/>
                <w:szCs w:val="13"/>
                <w:color w:val="auto"/>
              </w:rPr>
              <w:t>(10)</w:t>
            </w: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192"/>
        </w:trPr>
        <w:tc>
          <w:tcPr>
            <w:tcW w:w="4420" w:type="dxa"/>
            <w:vAlign w:val="bottom"/>
            <w:shd w:val="clear" w:color="auto" w:fill="CFF0FC"/>
          </w:tcPr>
          <w:p>
            <w:pPr>
              <w:spacing w:after="0"/>
              <w:rPr>
                <w:sz w:val="20"/>
                <w:szCs w:val="20"/>
                <w:color w:val="auto"/>
              </w:rPr>
            </w:pPr>
            <w:r>
              <w:rPr>
                <w:rFonts w:ascii="Arial" w:cs="Arial" w:eastAsia="Arial" w:hAnsi="Arial"/>
                <w:sz w:val="16"/>
                <w:szCs w:val="16"/>
                <w:color w:val="auto"/>
              </w:rPr>
              <w:t>Gain recognized on assets acquired for non-monetary</w:t>
            </w:r>
          </w:p>
        </w:tc>
        <w:tc>
          <w:tcPr>
            <w:tcW w:w="9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207"/>
        </w:trPr>
        <w:tc>
          <w:tcPr>
            <w:tcW w:w="44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 xml:space="preserve">consideration </w:t>
            </w:r>
            <w:r>
              <w:rPr>
                <w:rFonts w:ascii="Arial" w:cs="Arial" w:eastAsia="Arial" w:hAnsi="Arial"/>
                <w:sz w:val="13"/>
                <w:szCs w:val="13"/>
                <w:color w:val="auto"/>
              </w:rPr>
              <w:t>(11)</w:t>
            </w:r>
          </w:p>
        </w:tc>
        <w:tc>
          <w:tcPr>
            <w:tcW w:w="9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(3)</w:t>
            </w:r>
          </w:p>
        </w:tc>
      </w:tr>
      <w:tr>
        <w:trPr>
          <w:trHeight w:val="205"/>
        </w:trPr>
        <w:tc>
          <w:tcPr>
            <w:tcW w:w="44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Other</w:t>
            </w:r>
          </w:p>
        </w:tc>
        <w:tc>
          <w:tcPr>
            <w:tcW w:w="980" w:type="dxa"/>
            <w:vAlign w:val="bottom"/>
            <w:tcBorders>
              <w:bottom w:val="single" w:sz="8" w:color="CFF0FC"/>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FF0FC"/>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220" w:type="dxa"/>
            <w:vAlign w:val="bottom"/>
            <w:tcBorders>
              <w:bottom w:val="single" w:sz="8" w:color="CFF0FC"/>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80" w:type="dxa"/>
            <w:vAlign w:val="bottom"/>
            <w:tcBorders>
              <w:bottom w:val="single" w:sz="8" w:color="CFF0FC"/>
            </w:tcBorders>
          </w:tcPr>
          <w:p>
            <w:pPr>
              <w:spacing w:after="0"/>
              <w:rPr>
                <w:sz w:val="17"/>
                <w:szCs w:val="17"/>
                <w:color w:val="auto"/>
              </w:rPr>
            </w:pPr>
          </w:p>
        </w:tc>
      </w:tr>
      <w:tr>
        <w:trPr>
          <w:trHeight w:val="198"/>
        </w:trPr>
        <w:tc>
          <w:tcPr>
            <w:tcW w:w="4420" w:type="dxa"/>
            <w:vAlign w:val="bottom"/>
            <w:shd w:val="clear" w:color="auto" w:fill="CFF0FC"/>
          </w:tcPr>
          <w:p>
            <w:pPr>
              <w:ind w:left="220"/>
              <w:spacing w:after="0"/>
              <w:rPr>
                <w:sz w:val="20"/>
                <w:szCs w:val="20"/>
                <w:color w:val="auto"/>
              </w:rPr>
            </w:pPr>
            <w:r>
              <w:rPr>
                <w:rFonts w:ascii="Arial" w:cs="Arial" w:eastAsia="Arial" w:hAnsi="Arial"/>
                <w:sz w:val="16"/>
                <w:szCs w:val="16"/>
                <w:color w:val="auto"/>
              </w:rPr>
              <w:t>Total</w:t>
            </w:r>
          </w:p>
        </w:tc>
        <w:tc>
          <w:tcPr>
            <w:tcW w:w="98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w:t>
            </w:r>
          </w:p>
        </w:tc>
        <w:tc>
          <w:tcPr>
            <w:tcW w:w="20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(6)</w:t>
            </w:r>
          </w:p>
        </w:tc>
      </w:tr>
      <w:tr>
        <w:trPr>
          <w:trHeight w:val="20"/>
        </w:trPr>
        <w:tc>
          <w:tcPr>
            <w:tcW w:w="442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205" w:lineRule="exact"/>
        <w:rPr>
          <w:sz w:val="20"/>
          <w:szCs w:val="20"/>
          <w:color w:val="auto"/>
        </w:rPr>
      </w:pPr>
    </w:p>
    <w:p>
      <w:pPr>
        <w:ind w:left="383" w:right="420" w:hanging="383"/>
        <w:spacing w:after="0" w:line="280" w:lineRule="auto"/>
        <w:tabs>
          <w:tab w:leader="none" w:pos="383" w:val="left"/>
        </w:tabs>
        <w:numPr>
          <w:ilvl w:val="0"/>
          <w:numId w:val="36"/>
        </w:numPr>
        <w:rPr>
          <w:rFonts w:ascii="Arial" w:cs="Arial" w:eastAsia="Arial" w:hAnsi="Arial"/>
          <w:sz w:val="14"/>
          <w:szCs w:val="14"/>
          <w:color w:val="auto"/>
        </w:rPr>
      </w:pPr>
      <w:r>
        <w:rPr>
          <w:rFonts w:ascii="Arial" w:cs="Arial" w:eastAsia="Arial" w:hAnsi="Arial"/>
          <w:sz w:val="16"/>
          <w:szCs w:val="16"/>
          <w:color w:val="auto"/>
        </w:rPr>
        <w:t>In the fourth quarter of 2017, Kodak recorded an impairment charge of $2 million related to the Kodak trade name. Refer to Note 5, “Goodwill and Other Intangible Assets.”</w:t>
      </w:r>
    </w:p>
    <w:p>
      <w:pPr>
        <w:spacing w:after="0" w:line="151"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62865</wp:posOffset>
            </wp:positionV>
            <wp:extent cx="7301865" cy="406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301865" cy="40640"/>
                    </a:xfrm>
                    <a:prstGeom prst="rect">
                      <a:avLst/>
                    </a:prstGeom>
                    <a:noFill/>
                  </pic:spPr>
                </pic:pic>
              </a:graphicData>
            </a:graphic>
          </wp:anchor>
        </w:drawing>
      </w:r>
    </w:p>
    <w:p>
      <w:pPr>
        <w:sectPr>
          <w:pgSz w:w="11900" w:h="16838" w:orient="portrait"/>
          <w:cols w:equalWidth="0" w:num="1">
            <w:col w:w="11423"/>
          </w:cols>
          <w:pgMar w:left="237" w:top="224" w:right="239" w:bottom="1440" w:gutter="0" w:footer="0" w:header="0"/>
        </w:sectPr>
      </w:pPr>
    </w:p>
    <w:bookmarkStart w:id="76" w:name="page77"/>
    <w:bookmarkEnd w:id="76"/>
    <w:p>
      <w:pPr>
        <w:ind w:left="383" w:right="440" w:hanging="383"/>
        <w:spacing w:after="0" w:line="225" w:lineRule="auto"/>
        <w:tabs>
          <w:tab w:leader="none" w:pos="383" w:val="left"/>
        </w:tabs>
        <w:numPr>
          <w:ilvl w:val="0"/>
          <w:numId w:val="37"/>
        </w:numPr>
        <w:rPr>
          <w:rFonts w:ascii="Arial" w:cs="Arial" w:eastAsia="Arial" w:hAnsi="Arial"/>
          <w:sz w:val="23"/>
          <w:szCs w:val="23"/>
          <w:color w:val="auto"/>
          <w:vertAlign w:val="superscript"/>
        </w:rPr>
      </w:pPr>
      <w:r>
        <w:rPr>
          <w:rFonts w:ascii="Arial" w:cs="Arial" w:eastAsia="Arial" w:hAnsi="Arial"/>
          <w:sz w:val="14"/>
          <w:szCs w:val="14"/>
          <w:color w:val="auto"/>
        </w:rPr>
        <w:t>In the third quarter of 2017, due to canceling its copper mesh touch screen program, Kodak concluded that the carrying value of property, plant and equipment and intangible assets associated with those operations exceeded their fair value. Kodak recorded pre-tax impairment charges of $8 million and $12 million, respectively.</w:t>
      </w:r>
    </w:p>
    <w:p>
      <w:pPr>
        <w:spacing w:after="0" w:line="84" w:lineRule="exact"/>
        <w:rPr>
          <w:rFonts w:ascii="Arial" w:cs="Arial" w:eastAsia="Arial" w:hAnsi="Arial"/>
          <w:sz w:val="23"/>
          <w:szCs w:val="23"/>
          <w:color w:val="auto"/>
          <w:vertAlign w:val="superscript"/>
        </w:rPr>
      </w:pPr>
    </w:p>
    <w:p>
      <w:pPr>
        <w:ind w:left="383" w:right="240" w:hanging="383"/>
        <w:spacing w:after="0" w:line="280" w:lineRule="auto"/>
        <w:tabs>
          <w:tab w:leader="none" w:pos="383" w:val="left"/>
        </w:tabs>
        <w:numPr>
          <w:ilvl w:val="0"/>
          <w:numId w:val="37"/>
        </w:numPr>
        <w:rPr>
          <w:rFonts w:ascii="Arial" w:cs="Arial" w:eastAsia="Arial" w:hAnsi="Arial"/>
          <w:sz w:val="14"/>
          <w:szCs w:val="14"/>
          <w:color w:val="auto"/>
        </w:rPr>
      </w:pPr>
      <w:r>
        <w:rPr>
          <w:rFonts w:ascii="Arial" w:cs="Arial" w:eastAsia="Arial" w:hAnsi="Arial"/>
          <w:sz w:val="16"/>
          <w:szCs w:val="16"/>
          <w:color w:val="auto"/>
        </w:rPr>
        <w:t>In the first quarter of 2016, due to the exit of its position in silver metal mesh touch screen development, Kodak concluded that the carrying value of property, plant and equipment associated with those operations exceeded their fair value and recorded pre-tax impairment charges of $12 million.</w:t>
      </w:r>
    </w:p>
    <w:p>
      <w:pPr>
        <w:spacing w:after="0" w:line="54" w:lineRule="exact"/>
        <w:rPr>
          <w:rFonts w:ascii="Arial" w:cs="Arial" w:eastAsia="Arial" w:hAnsi="Arial"/>
          <w:sz w:val="14"/>
          <w:szCs w:val="14"/>
          <w:color w:val="auto"/>
        </w:rPr>
      </w:pPr>
    </w:p>
    <w:p>
      <w:pPr>
        <w:ind w:left="383" w:right="260" w:hanging="383"/>
        <w:spacing w:after="0" w:line="280" w:lineRule="auto"/>
        <w:tabs>
          <w:tab w:leader="none" w:pos="383" w:val="left"/>
        </w:tabs>
        <w:numPr>
          <w:ilvl w:val="0"/>
          <w:numId w:val="37"/>
        </w:numPr>
        <w:rPr>
          <w:rFonts w:ascii="Arial" w:cs="Arial" w:eastAsia="Arial" w:hAnsi="Arial"/>
          <w:sz w:val="14"/>
          <w:szCs w:val="14"/>
          <w:color w:val="auto"/>
        </w:rPr>
      </w:pPr>
      <w:r>
        <w:rPr>
          <w:rFonts w:ascii="Arial" w:cs="Arial" w:eastAsia="Arial" w:hAnsi="Arial"/>
          <w:sz w:val="16"/>
          <w:szCs w:val="16"/>
          <w:color w:val="auto"/>
        </w:rPr>
        <w:t>In the first quarter of 2016, Kodak recorded an impairment charge of $8 million related to silver metal mesh touch screen intangible assets. Refer to Note 5, “Goodwill and Other Intangible Assets.”</w:t>
      </w:r>
    </w:p>
    <w:p>
      <w:pPr>
        <w:spacing w:after="0" w:line="54" w:lineRule="exact"/>
        <w:rPr>
          <w:rFonts w:ascii="Arial" w:cs="Arial" w:eastAsia="Arial" w:hAnsi="Arial"/>
          <w:sz w:val="14"/>
          <w:szCs w:val="14"/>
          <w:color w:val="auto"/>
        </w:rPr>
      </w:pPr>
    </w:p>
    <w:p>
      <w:pPr>
        <w:ind w:left="383" w:right="560" w:hanging="383"/>
        <w:spacing w:after="0" w:line="280" w:lineRule="auto"/>
        <w:tabs>
          <w:tab w:leader="none" w:pos="383" w:val="left"/>
        </w:tabs>
        <w:numPr>
          <w:ilvl w:val="0"/>
          <w:numId w:val="37"/>
        </w:numPr>
        <w:rPr>
          <w:rFonts w:ascii="Arial" w:cs="Arial" w:eastAsia="Arial" w:hAnsi="Arial"/>
          <w:sz w:val="14"/>
          <w:szCs w:val="14"/>
          <w:color w:val="auto"/>
        </w:rPr>
      </w:pPr>
      <w:r>
        <w:rPr>
          <w:rFonts w:ascii="Arial" w:cs="Arial" w:eastAsia="Arial" w:hAnsi="Arial"/>
          <w:sz w:val="16"/>
          <w:szCs w:val="16"/>
          <w:color w:val="auto"/>
        </w:rPr>
        <w:t>In the first quarter of 2016, Kodak recorded an impairment charge of $5 million related to the Kodak trade name. Refer to Note 5, “Goodwill and Other Intangible Assets.”</w:t>
      </w:r>
    </w:p>
    <w:p>
      <w:pPr>
        <w:spacing w:after="0" w:line="54" w:lineRule="exact"/>
        <w:rPr>
          <w:rFonts w:ascii="Arial" w:cs="Arial" w:eastAsia="Arial" w:hAnsi="Arial"/>
          <w:sz w:val="14"/>
          <w:szCs w:val="14"/>
          <w:color w:val="auto"/>
        </w:rPr>
      </w:pPr>
    </w:p>
    <w:p>
      <w:pPr>
        <w:ind w:left="383" w:right="240" w:hanging="383"/>
        <w:spacing w:after="0" w:line="280" w:lineRule="auto"/>
        <w:tabs>
          <w:tab w:leader="none" w:pos="383" w:val="left"/>
        </w:tabs>
        <w:numPr>
          <w:ilvl w:val="0"/>
          <w:numId w:val="37"/>
        </w:numPr>
        <w:rPr>
          <w:rFonts w:ascii="Arial" w:cs="Arial" w:eastAsia="Arial" w:hAnsi="Arial"/>
          <w:sz w:val="14"/>
          <w:szCs w:val="14"/>
          <w:color w:val="auto"/>
        </w:rPr>
      </w:pPr>
      <w:r>
        <w:rPr>
          <w:rFonts w:ascii="Arial" w:cs="Arial" w:eastAsia="Arial" w:hAnsi="Arial"/>
          <w:sz w:val="16"/>
          <w:szCs w:val="16"/>
          <w:color w:val="auto"/>
        </w:rPr>
        <w:t>In the first quarter of 2017, Kodak reduced the carrying value of Prosper fixed assets ($8 million) and intangible assets ($4 million) to the amount that would have been recorded had the Prosper assets been continuously classified as held and used. Refer to Note 25, “Discontinued Operations.”</w:t>
      </w:r>
    </w:p>
    <w:p>
      <w:pPr>
        <w:spacing w:after="0" w:line="54" w:lineRule="exact"/>
        <w:rPr>
          <w:rFonts w:ascii="Arial" w:cs="Arial" w:eastAsia="Arial" w:hAnsi="Arial"/>
          <w:sz w:val="14"/>
          <w:szCs w:val="14"/>
          <w:color w:val="auto"/>
        </w:rPr>
      </w:pPr>
    </w:p>
    <w:p>
      <w:pPr>
        <w:ind w:left="383" w:hanging="383"/>
        <w:spacing w:after="0" w:line="266" w:lineRule="auto"/>
        <w:tabs>
          <w:tab w:leader="none" w:pos="383" w:val="left"/>
        </w:tabs>
        <w:numPr>
          <w:ilvl w:val="0"/>
          <w:numId w:val="37"/>
        </w:numPr>
        <w:rPr>
          <w:rFonts w:ascii="Arial" w:cs="Arial" w:eastAsia="Arial" w:hAnsi="Arial"/>
          <w:sz w:val="14"/>
          <w:szCs w:val="14"/>
          <w:color w:val="auto"/>
        </w:rPr>
      </w:pPr>
      <w:r>
        <w:rPr>
          <w:rFonts w:ascii="Arial" w:cs="Arial" w:eastAsia="Arial" w:hAnsi="Arial"/>
          <w:sz w:val="16"/>
          <w:szCs w:val="16"/>
          <w:color w:val="auto"/>
        </w:rPr>
        <w:t>On June 30, 2016, Kodak sold certain assets of its brand protection business to eApeiron Solutions Inc. in exchange for cash consideration of approximately $6 million and an equity investment of 19.9%. Kodak will account for this investment under the equity method of accounting. Kodak recognized a gain of approximately $7 million on this transaction.</w:t>
      </w:r>
    </w:p>
    <w:p>
      <w:pPr>
        <w:spacing w:after="0" w:line="65" w:lineRule="exact"/>
        <w:rPr>
          <w:rFonts w:ascii="Arial" w:cs="Arial" w:eastAsia="Arial" w:hAnsi="Arial"/>
          <w:sz w:val="14"/>
          <w:szCs w:val="14"/>
          <w:color w:val="auto"/>
        </w:rPr>
      </w:pPr>
    </w:p>
    <w:p>
      <w:pPr>
        <w:ind w:left="383" w:hanging="383"/>
        <w:spacing w:after="0"/>
        <w:tabs>
          <w:tab w:leader="none" w:pos="383" w:val="left"/>
        </w:tabs>
        <w:numPr>
          <w:ilvl w:val="0"/>
          <w:numId w:val="37"/>
        </w:numPr>
        <w:rPr>
          <w:rFonts w:ascii="Arial" w:cs="Arial" w:eastAsia="Arial" w:hAnsi="Arial"/>
          <w:sz w:val="14"/>
          <w:szCs w:val="14"/>
          <w:color w:val="auto"/>
        </w:rPr>
      </w:pPr>
      <w:r>
        <w:rPr>
          <w:rFonts w:ascii="Arial" w:cs="Arial" w:eastAsia="Arial" w:hAnsi="Arial"/>
          <w:sz w:val="16"/>
          <w:szCs w:val="16"/>
          <w:color w:val="auto"/>
        </w:rPr>
        <w:t>In the first quarter of 2016, Kodak received $10 million representing net litigation proceeds from DuPont.</w:t>
      </w:r>
    </w:p>
    <w:p>
      <w:pPr>
        <w:spacing w:after="0" w:line="226" w:lineRule="exact"/>
        <w:rPr>
          <w:rFonts w:ascii="Arial" w:cs="Arial" w:eastAsia="Arial" w:hAnsi="Arial"/>
          <w:sz w:val="14"/>
          <w:szCs w:val="14"/>
          <w:color w:val="auto"/>
        </w:rPr>
      </w:pPr>
    </w:p>
    <w:p>
      <w:pPr>
        <w:ind w:left="383" w:hanging="383"/>
        <w:spacing w:after="0"/>
        <w:tabs>
          <w:tab w:leader="none" w:pos="383" w:val="left"/>
        </w:tabs>
        <w:numPr>
          <w:ilvl w:val="0"/>
          <w:numId w:val="37"/>
        </w:numPr>
        <w:rPr>
          <w:rFonts w:ascii="Arial" w:cs="Arial" w:eastAsia="Arial" w:hAnsi="Arial"/>
          <w:sz w:val="14"/>
          <w:szCs w:val="14"/>
          <w:color w:val="auto"/>
        </w:rPr>
      </w:pPr>
      <w:r>
        <w:rPr>
          <w:rFonts w:ascii="Arial" w:cs="Arial" w:eastAsia="Arial" w:hAnsi="Arial"/>
          <w:sz w:val="16"/>
          <w:szCs w:val="16"/>
          <w:color w:val="auto"/>
        </w:rPr>
        <w:t>In the third quarter of 2016, Kodak settled a legal contingency and reduced the associated reserve by $6 million.”</w:t>
      </w:r>
    </w:p>
    <w:p>
      <w:pPr>
        <w:spacing w:after="0" w:line="190" w:lineRule="exact"/>
        <w:rPr>
          <w:rFonts w:ascii="Arial" w:cs="Arial" w:eastAsia="Arial" w:hAnsi="Arial"/>
          <w:sz w:val="14"/>
          <w:szCs w:val="14"/>
          <w:color w:val="auto"/>
        </w:rPr>
      </w:pPr>
    </w:p>
    <w:p>
      <w:pPr>
        <w:ind w:left="383" w:hanging="383"/>
        <w:spacing w:after="0"/>
        <w:tabs>
          <w:tab w:leader="none" w:pos="383" w:val="left"/>
        </w:tabs>
        <w:numPr>
          <w:ilvl w:val="0"/>
          <w:numId w:val="37"/>
        </w:numPr>
        <w:rPr>
          <w:rFonts w:ascii="Arial" w:cs="Arial" w:eastAsia="Arial" w:hAnsi="Arial"/>
          <w:sz w:val="14"/>
          <w:szCs w:val="14"/>
          <w:color w:val="auto"/>
        </w:rPr>
      </w:pPr>
      <w:r>
        <w:rPr>
          <w:rFonts w:ascii="Arial" w:cs="Arial" w:eastAsia="Arial" w:hAnsi="Arial"/>
          <w:sz w:val="16"/>
          <w:szCs w:val="16"/>
          <w:color w:val="auto"/>
        </w:rPr>
        <w:t>Refer to Note 1, “Summary of Significant Accounting Policies – Basis of Consolidation.”</w:t>
      </w:r>
    </w:p>
    <w:p>
      <w:pPr>
        <w:spacing w:after="0" w:line="190" w:lineRule="exact"/>
        <w:rPr>
          <w:rFonts w:ascii="Arial" w:cs="Arial" w:eastAsia="Arial" w:hAnsi="Arial"/>
          <w:sz w:val="14"/>
          <w:szCs w:val="14"/>
          <w:color w:val="auto"/>
        </w:rPr>
      </w:pPr>
    </w:p>
    <w:p>
      <w:pPr>
        <w:ind w:left="383" w:right="320" w:hanging="383"/>
        <w:spacing w:after="0" w:line="280" w:lineRule="auto"/>
        <w:tabs>
          <w:tab w:leader="none" w:pos="383" w:val="left"/>
        </w:tabs>
        <w:numPr>
          <w:ilvl w:val="0"/>
          <w:numId w:val="37"/>
        </w:numPr>
        <w:rPr>
          <w:rFonts w:ascii="Arial" w:cs="Arial" w:eastAsia="Arial" w:hAnsi="Arial"/>
          <w:sz w:val="14"/>
          <w:szCs w:val="14"/>
          <w:color w:val="auto"/>
        </w:rPr>
      </w:pPr>
      <w:r>
        <w:rPr>
          <w:rFonts w:ascii="Arial" w:cs="Arial" w:eastAsia="Arial" w:hAnsi="Arial"/>
          <w:sz w:val="16"/>
          <w:szCs w:val="16"/>
          <w:color w:val="auto"/>
        </w:rPr>
        <w:t>Refer to Note 24, “Segment Information”, footnote 8 to the table entitled “Segment Operational EBITDA from Consolidated Loss from Continuing Operations Before Income Taxes.”</w:t>
      </w:r>
    </w:p>
    <w:p>
      <w:pPr>
        <w:spacing w:after="0" w:line="200" w:lineRule="exact"/>
        <w:rPr>
          <w:sz w:val="20"/>
          <w:szCs w:val="20"/>
          <w:color w:val="auto"/>
        </w:rPr>
      </w:pPr>
    </w:p>
    <w:p>
      <w:pPr>
        <w:spacing w:after="0" w:line="297"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NOTE 14: OTHER (INCOME) CHARGES, NET</w:t>
      </w:r>
    </w:p>
    <w:p>
      <w:pPr>
        <w:spacing w:after="0" w:line="292" w:lineRule="exact"/>
        <w:rPr>
          <w:sz w:val="20"/>
          <w:szCs w:val="20"/>
          <w:color w:val="auto"/>
        </w:rPr>
      </w:pPr>
    </w:p>
    <w:tbl>
      <w:tblPr>
        <w:tblLayout w:type="fixed"/>
        <w:tblInd w:w="1143" w:type="dxa"/>
        <w:tblCellMar>
          <w:top w:w="0" w:type="dxa"/>
          <w:left w:w="0" w:type="dxa"/>
          <w:bottom w:w="0" w:type="dxa"/>
          <w:right w:w="0" w:type="dxa"/>
        </w:tblCellMar>
      </w:tblPr>
      <w:tr>
        <w:trPr>
          <w:trHeight w:val="149"/>
        </w:trPr>
        <w:tc>
          <w:tcPr>
            <w:tcW w:w="44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500" w:type="dxa"/>
            <w:vAlign w:val="bottom"/>
            <w:gridSpan w:val="5"/>
          </w:tcPr>
          <w:p>
            <w:pPr>
              <w:jc w:val="right"/>
              <w:ind w:right="40"/>
              <w:spacing w:after="0"/>
              <w:rPr>
                <w:sz w:val="20"/>
                <w:szCs w:val="20"/>
                <w:color w:val="auto"/>
              </w:rPr>
            </w:pPr>
            <w:r>
              <w:rPr>
                <w:rFonts w:ascii="Arial" w:cs="Arial" w:eastAsia="Arial" w:hAnsi="Arial"/>
                <w:sz w:val="13"/>
                <w:szCs w:val="13"/>
                <w:b w:val="1"/>
                <w:bCs w:val="1"/>
                <w:color w:val="auto"/>
                <w:w w:val="90"/>
              </w:rPr>
              <w:t>Year Ended December 31,</w:t>
            </w: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3"/>
        </w:trPr>
        <w:tc>
          <w:tcPr>
            <w:tcW w:w="4440" w:type="dxa"/>
            <w:vAlign w:val="bottom"/>
            <w:tcBorders>
              <w:bottom w:val="single" w:sz="8" w:color="CFF0FC"/>
            </w:tcBorders>
          </w:tcPr>
          <w:p>
            <w:pPr>
              <w:spacing w:after="0"/>
              <w:rPr>
                <w:sz w:val="20"/>
                <w:szCs w:val="20"/>
                <w:color w:val="auto"/>
              </w:rPr>
            </w:pPr>
            <w:r>
              <w:rPr>
                <w:rFonts w:ascii="Arial" w:cs="Arial" w:eastAsia="Arial" w:hAnsi="Arial"/>
                <w:sz w:val="13"/>
                <w:szCs w:val="13"/>
                <w:color w:val="auto"/>
              </w:rPr>
              <w:t>(in millions)</w:t>
            </w:r>
          </w:p>
        </w:tc>
        <w:tc>
          <w:tcPr>
            <w:tcW w:w="96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42"/>
              <w:spacing w:after="0"/>
              <w:rPr>
                <w:sz w:val="20"/>
                <w:szCs w:val="20"/>
                <w:color w:val="auto"/>
              </w:rPr>
            </w:pPr>
            <w:r>
              <w:rPr>
                <w:rFonts w:ascii="Arial" w:cs="Arial" w:eastAsia="Arial" w:hAnsi="Arial"/>
                <w:sz w:val="13"/>
                <w:szCs w:val="13"/>
                <w:b w:val="1"/>
                <w:bCs w:val="1"/>
                <w:color w:val="auto"/>
              </w:rPr>
              <w:t>2017</w:t>
            </w:r>
          </w:p>
        </w:tc>
        <w:tc>
          <w:tcPr>
            <w:tcW w:w="14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22"/>
              <w:spacing w:after="0"/>
              <w:rPr>
                <w:sz w:val="20"/>
                <w:szCs w:val="20"/>
                <w:color w:val="auto"/>
              </w:rPr>
            </w:pPr>
            <w:r>
              <w:rPr>
                <w:rFonts w:ascii="Arial" w:cs="Arial" w:eastAsia="Arial" w:hAnsi="Arial"/>
                <w:sz w:val="13"/>
                <w:szCs w:val="13"/>
                <w:b w:val="1"/>
                <w:bCs w:val="1"/>
                <w:color w:val="auto"/>
              </w:rPr>
              <w:t>2016</w:t>
            </w:r>
          </w:p>
        </w:tc>
        <w:tc>
          <w:tcPr>
            <w:tcW w:w="2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42"/>
              <w:spacing w:after="0"/>
              <w:rPr>
                <w:sz w:val="20"/>
                <w:szCs w:val="20"/>
                <w:color w:val="auto"/>
              </w:rPr>
            </w:pPr>
            <w:r>
              <w:rPr>
                <w:rFonts w:ascii="Arial" w:cs="Arial" w:eastAsia="Arial" w:hAnsi="Arial"/>
                <w:sz w:val="13"/>
                <w:szCs w:val="13"/>
                <w:b w:val="1"/>
                <w:bCs w:val="1"/>
                <w:color w:val="auto"/>
              </w:rPr>
              <w:t>2015</w:t>
            </w:r>
          </w:p>
        </w:tc>
        <w:tc>
          <w:tcPr>
            <w:tcW w:w="80" w:type="dxa"/>
            <w:vAlign w:val="bottom"/>
            <w:tcBorders>
              <w:bottom w:val="single" w:sz="8" w:color="CFF0FC"/>
            </w:tcBorders>
          </w:tcPr>
          <w:p>
            <w:pPr>
              <w:spacing w:after="0"/>
              <w:rPr>
                <w:sz w:val="13"/>
                <w:szCs w:val="13"/>
                <w:color w:val="auto"/>
              </w:rPr>
            </w:pPr>
          </w:p>
        </w:tc>
      </w:tr>
      <w:tr>
        <w:trPr>
          <w:trHeight w:val="184"/>
        </w:trPr>
        <w:tc>
          <w:tcPr>
            <w:tcW w:w="4440" w:type="dxa"/>
            <w:vAlign w:val="bottom"/>
            <w:shd w:val="clear" w:color="auto" w:fill="CFF0FC"/>
          </w:tcPr>
          <w:p>
            <w:pPr>
              <w:spacing w:after="0"/>
              <w:rPr>
                <w:sz w:val="20"/>
                <w:szCs w:val="20"/>
                <w:color w:val="auto"/>
              </w:rPr>
            </w:pPr>
            <w:r>
              <w:rPr>
                <w:rFonts w:ascii="Arial" w:cs="Arial" w:eastAsia="Arial" w:hAnsi="Arial"/>
                <w:sz w:val="16"/>
                <w:szCs w:val="16"/>
                <w:color w:val="auto"/>
              </w:rPr>
              <w:t>Change in fair value of embedded conversion features</w:t>
            </w:r>
          </w:p>
        </w:tc>
        <w:tc>
          <w:tcPr>
            <w:tcW w:w="9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207"/>
        </w:trPr>
        <w:tc>
          <w:tcPr>
            <w:tcW w:w="44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 xml:space="preserve">derivative </w:t>
            </w:r>
            <w:r>
              <w:rPr>
                <w:rFonts w:ascii="Arial" w:cs="Arial" w:eastAsia="Arial" w:hAnsi="Arial"/>
                <w:sz w:val="13"/>
                <w:szCs w:val="13"/>
                <w:color w:val="auto"/>
              </w:rPr>
              <w:t>(1)</w:t>
            </w:r>
          </w:p>
        </w:tc>
        <w:tc>
          <w:tcPr>
            <w:tcW w:w="1200" w:type="dxa"/>
            <w:vAlign w:val="bottom"/>
            <w:gridSpan w:val="2"/>
            <w:shd w:val="clear" w:color="auto" w:fill="CFF0FC"/>
          </w:tcPr>
          <w:p>
            <w:pPr>
              <w:jc w:val="right"/>
              <w:ind w:right="84"/>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FF0FC"/>
          </w:tcPr>
          <w:p>
            <w:pPr>
              <w:jc w:val="right"/>
              <w:ind w:right="16"/>
              <w:spacing w:after="0"/>
              <w:rPr>
                <w:sz w:val="20"/>
                <w:szCs w:val="20"/>
                <w:color w:val="auto"/>
              </w:rPr>
            </w:pPr>
            <w:r>
              <w:rPr>
                <w:rFonts w:ascii="Arial" w:cs="Arial" w:eastAsia="Arial" w:hAnsi="Arial"/>
                <w:sz w:val="16"/>
                <w:szCs w:val="16"/>
                <w:color w:val="auto"/>
              </w:rPr>
              <w:t>(47)</w:t>
            </w:r>
          </w:p>
        </w:tc>
        <w:tc>
          <w:tcPr>
            <w:tcW w:w="320" w:type="dxa"/>
            <w:vAlign w:val="bottom"/>
            <w:gridSpan w:val="2"/>
            <w:shd w:val="clear" w:color="auto" w:fill="CFF0FC"/>
          </w:tcPr>
          <w:p>
            <w:pPr>
              <w:jc w:val="right"/>
              <w:ind w:right="104"/>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r>
      <w:tr>
        <w:trPr>
          <w:trHeight w:val="205"/>
        </w:trPr>
        <w:tc>
          <w:tcPr>
            <w:tcW w:w="4440" w:type="dxa"/>
            <w:vAlign w:val="bottom"/>
          </w:tcPr>
          <w:p>
            <w:pPr>
              <w:spacing w:after="0"/>
              <w:rPr>
                <w:sz w:val="20"/>
                <w:szCs w:val="20"/>
                <w:color w:val="auto"/>
              </w:rPr>
            </w:pPr>
            <w:r>
              <w:rPr>
                <w:rFonts w:ascii="Arial" w:cs="Arial" w:eastAsia="Arial" w:hAnsi="Arial"/>
                <w:sz w:val="16"/>
                <w:szCs w:val="16"/>
                <w:color w:val="auto"/>
              </w:rPr>
              <w:t>Interest income</w:t>
            </w: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6"/>
              <w:spacing w:after="0"/>
              <w:rPr>
                <w:sz w:val="20"/>
                <w:szCs w:val="20"/>
                <w:color w:val="auto"/>
              </w:rPr>
            </w:pPr>
            <w:r>
              <w:rPr>
                <w:rFonts w:ascii="Arial" w:cs="Arial" w:eastAsia="Arial" w:hAnsi="Arial"/>
                <w:sz w:val="16"/>
                <w:szCs w:val="16"/>
                <w:color w:val="auto"/>
              </w:rPr>
              <w:t>(4)</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(3)</w:t>
            </w:r>
          </w:p>
        </w:tc>
        <w:tc>
          <w:tcPr>
            <w:tcW w:w="240" w:type="dxa"/>
            <w:vAlign w:val="bottom"/>
          </w:tcPr>
          <w:p>
            <w:pPr>
              <w:spacing w:after="0"/>
              <w:rPr>
                <w:sz w:val="17"/>
                <w:szCs w:val="17"/>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(1)</w:t>
            </w:r>
          </w:p>
        </w:tc>
      </w:tr>
      <w:tr>
        <w:trPr>
          <w:trHeight w:val="205"/>
        </w:trPr>
        <w:tc>
          <w:tcPr>
            <w:tcW w:w="4440" w:type="dxa"/>
            <w:vAlign w:val="bottom"/>
            <w:shd w:val="clear" w:color="auto" w:fill="CFF0FC"/>
          </w:tcPr>
          <w:p>
            <w:pPr>
              <w:spacing w:after="0"/>
              <w:rPr>
                <w:sz w:val="20"/>
                <w:szCs w:val="20"/>
                <w:color w:val="auto"/>
              </w:rPr>
            </w:pPr>
            <w:r>
              <w:rPr>
                <w:rFonts w:ascii="Arial" w:cs="Arial" w:eastAsia="Arial" w:hAnsi="Arial"/>
                <w:sz w:val="16"/>
                <w:szCs w:val="16"/>
                <w:color w:val="auto"/>
              </w:rPr>
              <w:t>Loss on foreign exchange transactions</w:t>
            </w:r>
          </w:p>
        </w:tc>
        <w:tc>
          <w:tcPr>
            <w:tcW w:w="9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w:t>
            </w:r>
          </w:p>
        </w:tc>
        <w:tc>
          <w:tcPr>
            <w:tcW w:w="1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w:t>
            </w:r>
          </w:p>
        </w:tc>
        <w:tc>
          <w:tcPr>
            <w:tcW w:w="80" w:type="dxa"/>
            <w:vAlign w:val="bottom"/>
            <w:shd w:val="clear" w:color="auto" w:fill="CFF0FC"/>
          </w:tcPr>
          <w:p>
            <w:pPr>
              <w:spacing w:after="0"/>
              <w:rPr>
                <w:sz w:val="17"/>
                <w:szCs w:val="17"/>
                <w:color w:val="auto"/>
              </w:rPr>
            </w:pPr>
          </w:p>
        </w:tc>
      </w:tr>
      <w:tr>
        <w:trPr>
          <w:trHeight w:val="205"/>
        </w:trPr>
        <w:tc>
          <w:tcPr>
            <w:tcW w:w="44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Other</w:t>
            </w:r>
          </w:p>
        </w:tc>
        <w:tc>
          <w:tcPr>
            <w:tcW w:w="960" w:type="dxa"/>
            <w:vAlign w:val="bottom"/>
            <w:tcBorders>
              <w:bottom w:val="single" w:sz="8" w:color="CFF0FC"/>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40" w:type="dxa"/>
            <w:vAlign w:val="bottom"/>
            <w:tcBorders>
              <w:bottom w:val="single" w:sz="8" w:color="CFF0FC"/>
            </w:tcBorders>
          </w:tcPr>
          <w:p>
            <w:pPr>
              <w:spacing w:after="0"/>
              <w:rPr>
                <w:sz w:val="17"/>
                <w:szCs w:val="17"/>
                <w:color w:val="auto"/>
              </w:rPr>
            </w:pPr>
          </w:p>
        </w:tc>
        <w:tc>
          <w:tcPr>
            <w:tcW w:w="60" w:type="dxa"/>
            <w:vAlign w:val="bottom"/>
            <w:tcBorders>
              <w:bottom w:val="single" w:sz="8" w:color="CFF0FC"/>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220" w:type="dxa"/>
            <w:vAlign w:val="bottom"/>
            <w:tcBorders>
              <w:bottom w:val="single" w:sz="8" w:color="CFF0FC"/>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80" w:type="dxa"/>
            <w:vAlign w:val="bottom"/>
            <w:tcBorders>
              <w:bottom w:val="single" w:sz="8" w:color="CFF0FC"/>
            </w:tcBorders>
          </w:tcPr>
          <w:p>
            <w:pPr>
              <w:spacing w:after="0"/>
              <w:rPr>
                <w:sz w:val="17"/>
                <w:szCs w:val="17"/>
                <w:color w:val="auto"/>
              </w:rPr>
            </w:pPr>
          </w:p>
        </w:tc>
      </w:tr>
      <w:tr>
        <w:trPr>
          <w:trHeight w:val="198"/>
        </w:trPr>
        <w:tc>
          <w:tcPr>
            <w:tcW w:w="44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Total</w:t>
            </w:r>
          </w:p>
        </w:tc>
        <w:tc>
          <w:tcPr>
            <w:tcW w:w="96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(37)</w:t>
            </w:r>
          </w:p>
        </w:tc>
        <w:tc>
          <w:tcPr>
            <w:tcW w:w="14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22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w:t>
            </w:r>
          </w:p>
        </w:tc>
        <w:tc>
          <w:tcPr>
            <w:tcW w:w="80" w:type="dxa"/>
            <w:vAlign w:val="bottom"/>
            <w:tcBorders>
              <w:bottom w:val="single" w:sz="8" w:color="CFF0FC"/>
            </w:tcBorders>
            <w:shd w:val="clear" w:color="auto" w:fill="CFF0FC"/>
          </w:tcPr>
          <w:p>
            <w:pPr>
              <w:spacing w:after="0"/>
              <w:rPr>
                <w:sz w:val="17"/>
                <w:szCs w:val="17"/>
                <w:color w:val="auto"/>
              </w:rPr>
            </w:pPr>
          </w:p>
        </w:tc>
      </w:tr>
      <w:tr>
        <w:trPr>
          <w:trHeight w:val="20"/>
        </w:trPr>
        <w:tc>
          <w:tcPr>
            <w:tcW w:w="4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4" w:lineRule="exact"/>
        <w:rPr>
          <w:sz w:val="20"/>
          <w:szCs w:val="20"/>
          <w:color w:val="auto"/>
        </w:rPr>
      </w:pPr>
    </w:p>
    <w:p>
      <w:pPr>
        <w:ind w:left="3"/>
        <w:spacing w:after="0"/>
        <w:tabs>
          <w:tab w:leader="none" w:pos="363" w:val="left"/>
        </w:tabs>
        <w:rPr>
          <w:sz w:val="20"/>
          <w:szCs w:val="20"/>
          <w:color w:val="auto"/>
        </w:rPr>
      </w:pPr>
      <w:r>
        <w:rPr>
          <w:rFonts w:ascii="Arial" w:cs="Arial" w:eastAsia="Arial" w:hAnsi="Arial"/>
          <w:sz w:val="14"/>
          <w:szCs w:val="14"/>
          <w:color w:val="auto"/>
        </w:rPr>
        <w:t>(1)</w:t>
      </w:r>
      <w:r>
        <w:rPr>
          <w:sz w:val="20"/>
          <w:szCs w:val="20"/>
          <w:color w:val="auto"/>
        </w:rPr>
        <w:tab/>
      </w:r>
      <w:r>
        <w:rPr>
          <w:rFonts w:ascii="Arial" w:cs="Arial" w:eastAsia="Arial" w:hAnsi="Arial"/>
          <w:sz w:val="16"/>
          <w:szCs w:val="16"/>
          <w:color w:val="auto"/>
        </w:rPr>
        <w:t>Refer to Note 12, “Financial Instruments”.</w:t>
      </w:r>
    </w:p>
    <w:p>
      <w:pPr>
        <w:spacing w:after="0" w:line="369"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NOTE 15: INCOME TAXES</w:t>
      </w:r>
    </w:p>
    <w:p>
      <w:pPr>
        <w:spacing w:after="0" w:line="231" w:lineRule="exact"/>
        <w:rPr>
          <w:sz w:val="20"/>
          <w:szCs w:val="20"/>
          <w:color w:val="auto"/>
        </w:rPr>
      </w:pPr>
    </w:p>
    <w:p>
      <w:pPr>
        <w:jc w:val="both"/>
        <w:ind w:left="3"/>
        <w:spacing w:after="0" w:line="266" w:lineRule="auto"/>
        <w:rPr>
          <w:sz w:val="20"/>
          <w:szCs w:val="20"/>
          <w:color w:val="auto"/>
        </w:rPr>
      </w:pPr>
      <w:r>
        <w:rPr>
          <w:rFonts w:ascii="Arial" w:cs="Arial" w:eastAsia="Arial" w:hAnsi="Arial"/>
          <w:sz w:val="16"/>
          <w:szCs w:val="16"/>
          <w:color w:val="auto"/>
        </w:rPr>
        <w:t>The 2017 Tax Act was signed into law on December 22, 2017. The 2017 Tax Act changed many aspects of U.S. corporate income taxation and included a reduction of the corporate income tax rate from 35% to 21%, the implementation of a territorial tax system and the imposition of a tax on deemed repatriated earnings of foreign subsidiaries. Kodak recognized the tax effects of the 2017 Tax Act in the year ended December 31, 2017.</w:t>
      </w:r>
    </w:p>
    <w:p>
      <w:pPr>
        <w:spacing w:after="0" w:line="186" w:lineRule="exact"/>
        <w:rPr>
          <w:sz w:val="20"/>
          <w:szCs w:val="20"/>
          <w:color w:val="auto"/>
        </w:rPr>
      </w:pPr>
    </w:p>
    <w:p>
      <w:pPr>
        <w:ind w:left="3"/>
        <w:spacing w:after="0"/>
        <w:rPr>
          <w:sz w:val="20"/>
          <w:szCs w:val="20"/>
          <w:color w:val="auto"/>
        </w:rPr>
      </w:pPr>
      <w:r>
        <w:rPr>
          <w:rFonts w:ascii="Arial" w:cs="Arial" w:eastAsia="Arial" w:hAnsi="Arial"/>
          <w:sz w:val="14"/>
          <w:szCs w:val="14"/>
          <w:color w:val="auto"/>
        </w:rPr>
        <w:t>The changes to existing U.S. tax laws as a result of the 2017 Tax Act, which Kodak believes have the most significant impact on Kodak’s federal income taxes are as follows:</w:t>
      </w:r>
    </w:p>
    <w:p>
      <w:pPr>
        <w:spacing w:after="0" w:line="246"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Reduction of the U.S. Corporate Income Tax Rate</w:t>
      </w:r>
    </w:p>
    <w:p>
      <w:pPr>
        <w:spacing w:after="0" w:line="26" w:lineRule="exact"/>
        <w:rPr>
          <w:sz w:val="20"/>
          <w:szCs w:val="20"/>
          <w:color w:val="auto"/>
        </w:rPr>
      </w:pPr>
    </w:p>
    <w:p>
      <w:pPr>
        <w:ind w:left="3" w:right="220"/>
        <w:spacing w:after="0" w:line="304" w:lineRule="auto"/>
        <w:rPr>
          <w:sz w:val="20"/>
          <w:szCs w:val="20"/>
          <w:color w:val="auto"/>
        </w:rPr>
      </w:pPr>
      <w:r>
        <w:rPr>
          <w:rFonts w:ascii="Arial" w:cs="Arial" w:eastAsia="Arial" w:hAnsi="Arial"/>
          <w:sz w:val="14"/>
          <w:szCs w:val="14"/>
          <w:color w:val="auto"/>
        </w:rPr>
        <w:t>Kodak measures deferred tax assets and liabilities using enacted tax rates that will apply in the years in which the temporary differences are expected to be recovered or paid. Accordingly, Kodak’s deferred tax assets and liabilities were remeasured to reflect the reduction in the U.S. corporate income tax rate from 35% to 21%, resulting in a $202 million decrease in Kodak’s net deferred tax assets for the year ended December 31, 2017. This reduction in deferred tax assets was mainly offset by Kodak’s U.S. valuation allowance except for the impact on deferred tax liabilities related to Kodak’s goodwill and tradename, which resulted in a benefit of approximately $7 million.</w:t>
      </w:r>
    </w:p>
    <w:p>
      <w:pPr>
        <w:spacing w:after="0" w:line="357"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62865</wp:posOffset>
            </wp:positionV>
            <wp:extent cx="7301865" cy="406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301865" cy="40640"/>
                    </a:xfrm>
                    <a:prstGeom prst="rect">
                      <a:avLst/>
                    </a:prstGeom>
                    <a:noFill/>
                  </pic:spPr>
                </pic:pic>
              </a:graphicData>
            </a:graphic>
          </wp:anchor>
        </w:drawing>
      </w:r>
    </w:p>
    <w:p>
      <w:pPr>
        <w:sectPr>
          <w:pgSz w:w="11900" w:h="16838" w:orient="portrait"/>
          <w:cols w:equalWidth="0" w:num="1">
            <w:col w:w="11423"/>
          </w:cols>
          <w:pgMar w:left="237" w:top="127" w:right="239" w:bottom="1440" w:gutter="0" w:footer="0" w:header="0"/>
        </w:sectPr>
      </w:pPr>
    </w:p>
    <w:bookmarkStart w:id="77" w:name="page78"/>
    <w:bookmarkEnd w:id="77"/>
    <w:p>
      <w:pPr>
        <w:spacing w:after="0"/>
        <w:rPr>
          <w:sz w:val="20"/>
          <w:szCs w:val="20"/>
          <w:color w:val="auto"/>
        </w:rPr>
      </w:pPr>
      <w:r>
        <w:rPr>
          <w:rFonts w:ascii="Arial" w:cs="Arial" w:eastAsia="Arial" w:hAnsi="Arial"/>
          <w:sz w:val="16"/>
          <w:szCs w:val="16"/>
          <w:b w:val="1"/>
          <w:bCs w:val="1"/>
          <w:color w:val="auto"/>
        </w:rPr>
        <w:t>Transition Tax on Foreign Earnings</w:t>
      </w:r>
    </w:p>
    <w:p>
      <w:pPr>
        <w:spacing w:after="0" w:line="26" w:lineRule="exact"/>
        <w:rPr>
          <w:sz w:val="20"/>
          <w:szCs w:val="20"/>
          <w:color w:val="auto"/>
        </w:rPr>
      </w:pPr>
    </w:p>
    <w:p>
      <w:pPr>
        <w:ind w:right="140"/>
        <w:spacing w:after="0" w:line="258" w:lineRule="auto"/>
        <w:rPr>
          <w:sz w:val="20"/>
          <w:szCs w:val="20"/>
          <w:color w:val="auto"/>
        </w:rPr>
      </w:pPr>
      <w:r>
        <w:rPr>
          <w:rFonts w:ascii="Arial" w:cs="Arial" w:eastAsia="Arial" w:hAnsi="Arial"/>
          <w:sz w:val="16"/>
          <w:szCs w:val="16"/>
          <w:color w:val="auto"/>
        </w:rPr>
        <w:t>Kodak recognized provisional income tax expense of $14 million for the year ended December 31, 2017 related to the one-time transition tax on certain foreign earnings which will be offset by the utilization of foreign tax credits. The determination of the transition tax requires further analysis regarding the amount and composition of Kodak’s historical foreign earnings, which is expected to be completed in the second half of 2018.</w:t>
      </w:r>
    </w:p>
    <w:p>
      <w:pPr>
        <w:spacing w:after="0" w:line="192" w:lineRule="exact"/>
        <w:rPr>
          <w:sz w:val="20"/>
          <w:szCs w:val="20"/>
          <w:color w:val="auto"/>
        </w:rPr>
      </w:pPr>
    </w:p>
    <w:p>
      <w:pPr>
        <w:jc w:val="both"/>
        <w:ind w:right="40"/>
        <w:spacing w:after="0" w:line="261" w:lineRule="auto"/>
        <w:rPr>
          <w:sz w:val="20"/>
          <w:szCs w:val="20"/>
          <w:color w:val="auto"/>
        </w:rPr>
      </w:pPr>
      <w:r>
        <w:rPr>
          <w:rFonts w:ascii="Arial" w:cs="Arial" w:eastAsia="Arial" w:hAnsi="Arial"/>
          <w:sz w:val="16"/>
          <w:szCs w:val="16"/>
          <w:color w:val="auto"/>
        </w:rPr>
        <w:t>The 2017 Tax Act also includes a provision to tax global intangible low-taxed income (“GILTI”) of foreign subsidiaries and a base erosion anti-abuse tax (“BEAT”) measure that taxes certain payments between a U.S. corporation and its subsidiaries. Kodak will be subject to the GILTI and BEAT provisions effective beginning January 1, 2018 and is in the process of analyzing their effects, including how to account for the GILTI provision from an accounting policy standpoint. Therefore, Kodak has not provided any deferred tax impacts of GILTI in its consolidated financial statements for the year ended December 31, 2017.</w:t>
      </w:r>
    </w:p>
    <w:p>
      <w:pPr>
        <w:spacing w:after="0" w:line="288"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On December 22, 2017, the SEC staff issued Staff Accounting Bulletin No. 118 (SAB 118) to address the application of U.S. GAAP in situations when a registrant does not have the necessary information available, prepared, or analyzed (including computations) in reasonable detail to complete the accounting for certain income tax effects of the 2017 Tax Act. Kodak has recognized the provisional tax impacts related to deemed repatriated earnings and the re-measurement of deferred tax assets and liabilities to the extent needed and included these amounts in its consolidated financial statements for the year ended December 31, 2017. The ultimate impact may differ from these provisional amounts, possibly materially, due to, among other things, additional analysis, changes in interpretations and assumptions Kodak has made, additional regulatory guidance that may be issued, and actions Kodak may take as a result of the 2017 Tax Act. The accounting is expected to be complete when the 2017 U.S. corporate income tax return is filed in 2018.</w:t>
      </w:r>
    </w:p>
    <w:p>
      <w:pPr>
        <w:spacing w:after="0" w:line="77" w:lineRule="exact"/>
        <w:rPr>
          <w:sz w:val="20"/>
          <w:szCs w:val="20"/>
          <w:color w:val="auto"/>
        </w:rPr>
      </w:pPr>
    </w:p>
    <w:p>
      <w:pPr>
        <w:ind w:right="460"/>
        <w:spacing w:after="0" w:line="280" w:lineRule="auto"/>
        <w:rPr>
          <w:sz w:val="20"/>
          <w:szCs w:val="20"/>
          <w:color w:val="auto"/>
        </w:rPr>
      </w:pPr>
      <w:r>
        <w:rPr>
          <w:rFonts w:ascii="Arial" w:cs="Arial" w:eastAsia="Arial" w:hAnsi="Arial"/>
          <w:sz w:val="16"/>
          <w:szCs w:val="16"/>
          <w:color w:val="auto"/>
        </w:rPr>
        <w:t>The components of (Loss) earnings from continuing operations before income taxes and the related (benefit) provision for U.S. and other income taxes were as follows (in millions):</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4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00" w:type="dxa"/>
            <w:vAlign w:val="bottom"/>
            <w:gridSpan w:val="5"/>
          </w:tcPr>
          <w:p>
            <w:pPr>
              <w:jc w:val="right"/>
              <w:ind w:right="40"/>
              <w:spacing w:after="0"/>
              <w:rPr>
                <w:sz w:val="20"/>
                <w:szCs w:val="20"/>
                <w:color w:val="auto"/>
              </w:rPr>
            </w:pPr>
            <w:r>
              <w:rPr>
                <w:rFonts w:ascii="Arial" w:cs="Arial" w:eastAsia="Arial" w:hAnsi="Arial"/>
                <w:sz w:val="13"/>
                <w:szCs w:val="13"/>
                <w:b w:val="1"/>
                <w:bCs w:val="1"/>
                <w:color w:val="auto"/>
                <w:w w:val="90"/>
              </w:rPr>
              <w:t>Year Ended December 31,</w:t>
            </w: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3"/>
        </w:trPr>
        <w:tc>
          <w:tcPr>
            <w:tcW w:w="4700" w:type="dxa"/>
            <w:vAlign w:val="bottom"/>
          </w:tcPr>
          <w:p>
            <w:pPr>
              <w:spacing w:after="0"/>
              <w:rPr>
                <w:sz w:val="13"/>
                <w:szCs w:val="13"/>
                <w:color w:val="auto"/>
              </w:rPr>
            </w:pPr>
          </w:p>
        </w:tc>
        <w:tc>
          <w:tcPr>
            <w:tcW w:w="1420" w:type="dxa"/>
            <w:vAlign w:val="bottom"/>
            <w:gridSpan w:val="2"/>
          </w:tcPr>
          <w:p>
            <w:pPr>
              <w:jc w:val="right"/>
              <w:spacing w:after="0"/>
              <w:rPr>
                <w:sz w:val="20"/>
                <w:szCs w:val="20"/>
                <w:color w:val="auto"/>
              </w:rPr>
            </w:pPr>
            <w:r>
              <w:rPr>
                <w:rFonts w:ascii="Arial" w:cs="Arial" w:eastAsia="Arial" w:hAnsi="Arial"/>
                <w:sz w:val="13"/>
                <w:szCs w:val="13"/>
                <w:b w:val="1"/>
                <w:bCs w:val="1"/>
                <w:color w:val="auto"/>
              </w:rPr>
              <w:t>2017</w:t>
            </w: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jc w:val="right"/>
              <w:ind w:right="321"/>
              <w:spacing w:after="0"/>
              <w:rPr>
                <w:sz w:val="20"/>
                <w:szCs w:val="20"/>
                <w:color w:val="auto"/>
              </w:rPr>
            </w:pPr>
            <w:r>
              <w:rPr>
                <w:rFonts w:ascii="Arial" w:cs="Arial" w:eastAsia="Arial" w:hAnsi="Arial"/>
                <w:sz w:val="13"/>
                <w:szCs w:val="13"/>
                <w:b w:val="1"/>
                <w:bCs w:val="1"/>
                <w:color w:val="auto"/>
              </w:rPr>
              <w:t>2016</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ind w:right="341"/>
              <w:spacing w:after="0"/>
              <w:rPr>
                <w:sz w:val="20"/>
                <w:szCs w:val="20"/>
                <w:color w:val="auto"/>
              </w:rPr>
            </w:pPr>
            <w:r>
              <w:rPr>
                <w:rFonts w:ascii="Arial" w:cs="Arial" w:eastAsia="Arial" w:hAnsi="Arial"/>
                <w:sz w:val="13"/>
                <w:szCs w:val="13"/>
                <w:b w:val="1"/>
                <w:bCs w:val="1"/>
                <w:color w:val="auto"/>
              </w:rPr>
              <w:t>2015</w:t>
            </w:r>
          </w:p>
        </w:tc>
        <w:tc>
          <w:tcPr>
            <w:tcW w:w="80" w:type="dxa"/>
            <w:vAlign w:val="bottom"/>
          </w:tcPr>
          <w:p>
            <w:pPr>
              <w:spacing w:after="0"/>
              <w:rPr>
                <w:sz w:val="13"/>
                <w:szCs w:val="13"/>
                <w:color w:val="auto"/>
              </w:rPr>
            </w:pPr>
          </w:p>
        </w:tc>
      </w:tr>
      <w:tr>
        <w:trPr>
          <w:trHeight w:val="181"/>
        </w:trPr>
        <w:tc>
          <w:tcPr>
            <w:tcW w:w="4700" w:type="dxa"/>
            <w:vAlign w:val="bottom"/>
            <w:tcBorders>
              <w:top w:val="single" w:sz="8" w:color="CFF0FC"/>
            </w:tcBorders>
            <w:shd w:val="clear" w:color="auto" w:fill="CFF0FC"/>
          </w:tcPr>
          <w:p>
            <w:pPr>
              <w:spacing w:after="0" w:line="181" w:lineRule="exact"/>
              <w:rPr>
                <w:sz w:val="20"/>
                <w:szCs w:val="20"/>
                <w:color w:val="auto"/>
              </w:rPr>
            </w:pPr>
            <w:r>
              <w:rPr>
                <w:rFonts w:ascii="Arial" w:cs="Arial" w:eastAsia="Arial" w:hAnsi="Arial"/>
                <w:sz w:val="16"/>
                <w:szCs w:val="16"/>
                <w:b w:val="1"/>
                <w:bCs w:val="1"/>
                <w:color w:val="auto"/>
              </w:rPr>
              <w:t>(Loss) earnings from continuing operations before income</w:t>
            </w:r>
          </w:p>
        </w:tc>
        <w:tc>
          <w:tcPr>
            <w:tcW w:w="700" w:type="dxa"/>
            <w:vAlign w:val="bottom"/>
            <w:tcBorders>
              <w:top w:val="single" w:sz="8" w:color="CFF0FC"/>
            </w:tcBorders>
            <w:shd w:val="clear" w:color="auto" w:fill="CFF0FC"/>
          </w:tcPr>
          <w:p>
            <w:pPr>
              <w:spacing w:after="0"/>
              <w:rPr>
                <w:sz w:val="15"/>
                <w:szCs w:val="15"/>
                <w:color w:val="auto"/>
              </w:rPr>
            </w:pPr>
          </w:p>
        </w:tc>
        <w:tc>
          <w:tcPr>
            <w:tcW w:w="720" w:type="dxa"/>
            <w:vAlign w:val="bottom"/>
            <w:tcBorders>
              <w:top w:val="single" w:sz="8" w:color="auto"/>
            </w:tcBorders>
            <w:shd w:val="clear" w:color="auto" w:fill="CFF0FC"/>
          </w:tcPr>
          <w:p>
            <w:pPr>
              <w:spacing w:after="0"/>
              <w:rPr>
                <w:sz w:val="15"/>
                <w:szCs w:val="15"/>
                <w:color w:val="auto"/>
              </w:rPr>
            </w:pPr>
          </w:p>
        </w:tc>
        <w:tc>
          <w:tcPr>
            <w:tcW w:w="360" w:type="dxa"/>
            <w:vAlign w:val="bottom"/>
            <w:tcBorders>
              <w:top w:val="single" w:sz="8" w:color="auto"/>
            </w:tcBorders>
            <w:shd w:val="clear" w:color="auto" w:fill="CFF0FC"/>
          </w:tcPr>
          <w:p>
            <w:pPr>
              <w:spacing w:after="0"/>
              <w:rPr>
                <w:sz w:val="15"/>
                <w:szCs w:val="15"/>
                <w:color w:val="auto"/>
              </w:rPr>
            </w:pPr>
          </w:p>
        </w:tc>
        <w:tc>
          <w:tcPr>
            <w:tcW w:w="140" w:type="dxa"/>
            <w:vAlign w:val="bottom"/>
            <w:tcBorders>
              <w:top w:val="single" w:sz="8" w:color="CFF0FC"/>
            </w:tcBorders>
            <w:shd w:val="clear" w:color="auto" w:fill="CFF0FC"/>
          </w:tcPr>
          <w:p>
            <w:pPr>
              <w:spacing w:after="0"/>
              <w:rPr>
                <w:sz w:val="15"/>
                <w:szCs w:val="15"/>
                <w:color w:val="auto"/>
              </w:rPr>
            </w:pPr>
          </w:p>
        </w:tc>
        <w:tc>
          <w:tcPr>
            <w:tcW w:w="60" w:type="dxa"/>
            <w:vAlign w:val="bottom"/>
            <w:tcBorders>
              <w:top w:val="single" w:sz="8" w:color="CFF0FC"/>
            </w:tcBorders>
            <w:shd w:val="clear" w:color="auto" w:fill="CFF0FC"/>
          </w:tcPr>
          <w:p>
            <w:pPr>
              <w:spacing w:after="0"/>
              <w:rPr>
                <w:sz w:val="15"/>
                <w:szCs w:val="15"/>
                <w:color w:val="auto"/>
              </w:rPr>
            </w:pPr>
          </w:p>
        </w:tc>
        <w:tc>
          <w:tcPr>
            <w:tcW w:w="260" w:type="dxa"/>
            <w:vAlign w:val="bottom"/>
            <w:tcBorders>
              <w:top w:val="single" w:sz="8" w:color="auto"/>
            </w:tcBorders>
            <w:shd w:val="clear" w:color="auto" w:fill="CFF0FC"/>
          </w:tcPr>
          <w:p>
            <w:pPr>
              <w:spacing w:after="0"/>
              <w:rPr>
                <w:sz w:val="15"/>
                <w:szCs w:val="15"/>
                <w:color w:val="auto"/>
              </w:rPr>
            </w:pPr>
          </w:p>
        </w:tc>
        <w:tc>
          <w:tcPr>
            <w:tcW w:w="820" w:type="dxa"/>
            <w:vAlign w:val="bottom"/>
            <w:tcBorders>
              <w:top w:val="single" w:sz="8" w:color="auto"/>
            </w:tcBorders>
            <w:shd w:val="clear" w:color="auto" w:fill="CFF0FC"/>
          </w:tcPr>
          <w:p>
            <w:pPr>
              <w:spacing w:after="0"/>
              <w:rPr>
                <w:sz w:val="15"/>
                <w:szCs w:val="15"/>
                <w:color w:val="auto"/>
              </w:rPr>
            </w:pPr>
          </w:p>
        </w:tc>
        <w:tc>
          <w:tcPr>
            <w:tcW w:w="220" w:type="dxa"/>
            <w:vAlign w:val="bottom"/>
            <w:tcBorders>
              <w:top w:val="single" w:sz="8" w:color="CFF0FC"/>
            </w:tcBorders>
            <w:shd w:val="clear" w:color="auto" w:fill="CFF0FC"/>
          </w:tcPr>
          <w:p>
            <w:pPr>
              <w:spacing w:after="0"/>
              <w:rPr>
                <w:sz w:val="15"/>
                <w:szCs w:val="15"/>
                <w:color w:val="auto"/>
              </w:rPr>
            </w:pPr>
          </w:p>
        </w:tc>
        <w:tc>
          <w:tcPr>
            <w:tcW w:w="240" w:type="dxa"/>
            <w:vAlign w:val="bottom"/>
            <w:tcBorders>
              <w:top w:val="single" w:sz="8" w:color="auto"/>
            </w:tcBorders>
            <w:shd w:val="clear" w:color="auto" w:fill="CFF0FC"/>
          </w:tcPr>
          <w:p>
            <w:pPr>
              <w:spacing w:after="0"/>
              <w:rPr>
                <w:sz w:val="15"/>
                <w:szCs w:val="15"/>
                <w:color w:val="auto"/>
              </w:rPr>
            </w:pPr>
          </w:p>
        </w:tc>
        <w:tc>
          <w:tcPr>
            <w:tcW w:w="840" w:type="dxa"/>
            <w:vAlign w:val="bottom"/>
            <w:tcBorders>
              <w:top w:val="single" w:sz="8" w:color="auto"/>
            </w:tcBorders>
            <w:shd w:val="clear" w:color="auto" w:fill="CFF0FC"/>
          </w:tcPr>
          <w:p>
            <w:pPr>
              <w:spacing w:after="0"/>
              <w:rPr>
                <w:sz w:val="15"/>
                <w:szCs w:val="15"/>
                <w:color w:val="auto"/>
              </w:rPr>
            </w:pPr>
          </w:p>
        </w:tc>
        <w:tc>
          <w:tcPr>
            <w:tcW w:w="80" w:type="dxa"/>
            <w:vAlign w:val="bottom"/>
            <w:tcBorders>
              <w:top w:val="single" w:sz="8" w:color="CFF0FC"/>
            </w:tcBorders>
            <w:shd w:val="clear" w:color="auto" w:fill="CFF0FC"/>
          </w:tcPr>
          <w:p>
            <w:pPr>
              <w:spacing w:after="0"/>
              <w:rPr>
                <w:sz w:val="15"/>
                <w:szCs w:val="15"/>
                <w:color w:val="auto"/>
              </w:rPr>
            </w:pPr>
          </w:p>
        </w:tc>
      </w:tr>
      <w:tr>
        <w:trPr>
          <w:trHeight w:val="210"/>
        </w:trPr>
        <w:tc>
          <w:tcPr>
            <w:tcW w:w="4700" w:type="dxa"/>
            <w:vAlign w:val="bottom"/>
            <w:shd w:val="clear" w:color="auto" w:fill="CFF0FC"/>
          </w:tcPr>
          <w:p>
            <w:pPr>
              <w:ind w:left="120"/>
              <w:spacing w:after="0"/>
              <w:rPr>
                <w:sz w:val="20"/>
                <w:szCs w:val="20"/>
                <w:color w:val="auto"/>
              </w:rPr>
            </w:pPr>
            <w:r>
              <w:rPr>
                <w:rFonts w:ascii="Arial" w:cs="Arial" w:eastAsia="Arial" w:hAnsi="Arial"/>
                <w:sz w:val="16"/>
                <w:szCs w:val="16"/>
                <w:b w:val="1"/>
                <w:bCs w:val="1"/>
                <w:color w:val="auto"/>
              </w:rPr>
              <w:t>taxes:</w:t>
            </w:r>
          </w:p>
        </w:tc>
        <w:tc>
          <w:tcPr>
            <w:tcW w:w="7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05"/>
        </w:trPr>
        <w:tc>
          <w:tcPr>
            <w:tcW w:w="4700" w:type="dxa"/>
            <w:vAlign w:val="bottom"/>
          </w:tcPr>
          <w:p>
            <w:pPr>
              <w:spacing w:after="0"/>
              <w:rPr>
                <w:sz w:val="20"/>
                <w:szCs w:val="20"/>
                <w:color w:val="auto"/>
              </w:rPr>
            </w:pPr>
            <w:r>
              <w:rPr>
                <w:rFonts w:ascii="Arial" w:cs="Arial" w:eastAsia="Arial" w:hAnsi="Arial"/>
                <w:sz w:val="16"/>
                <w:szCs w:val="16"/>
                <w:color w:val="auto"/>
              </w:rPr>
              <w:t>U.S.</w:t>
            </w:r>
          </w:p>
        </w:tc>
        <w:tc>
          <w:tcPr>
            <w:tcW w:w="1420" w:type="dxa"/>
            <w:vAlign w:val="bottom"/>
            <w:gridSpan w:val="2"/>
          </w:tcPr>
          <w:p>
            <w:pPr>
              <w:jc w:val="right"/>
              <w:ind w:right="564"/>
              <w:spacing w:after="0"/>
              <w:rPr>
                <w:sz w:val="20"/>
                <w:szCs w:val="20"/>
                <w:color w:val="auto"/>
              </w:rPr>
            </w:pPr>
            <w:r>
              <w:rPr>
                <w:rFonts w:ascii="Arial" w:cs="Arial" w:eastAsia="Arial" w:hAnsi="Arial"/>
                <w:sz w:val="16"/>
                <w:szCs w:val="16"/>
                <w:color w:val="auto"/>
              </w:rPr>
              <w:t>$</w:t>
            </w:r>
          </w:p>
        </w:tc>
        <w:tc>
          <w:tcPr>
            <w:tcW w:w="500" w:type="dxa"/>
            <w:vAlign w:val="bottom"/>
            <w:gridSpan w:val="2"/>
          </w:tcPr>
          <w:p>
            <w:pPr>
              <w:jc w:val="right"/>
              <w:ind w:right="16"/>
              <w:spacing w:after="0"/>
              <w:rPr>
                <w:sz w:val="20"/>
                <w:szCs w:val="20"/>
                <w:color w:val="auto"/>
              </w:rPr>
            </w:pPr>
            <w:r>
              <w:rPr>
                <w:rFonts w:ascii="Arial" w:cs="Arial" w:eastAsia="Arial" w:hAnsi="Arial"/>
                <w:sz w:val="16"/>
                <w:szCs w:val="16"/>
                <w:color w:val="auto"/>
              </w:rPr>
              <w:t>(84)</w:t>
            </w:r>
          </w:p>
        </w:tc>
        <w:tc>
          <w:tcPr>
            <w:tcW w:w="320" w:type="dxa"/>
            <w:vAlign w:val="bottom"/>
            <w:gridSpan w:val="2"/>
          </w:tcPr>
          <w:p>
            <w:pPr>
              <w:jc w:val="right"/>
              <w:ind w:right="104"/>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(66)</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(169)</w:t>
            </w:r>
          </w:p>
        </w:tc>
      </w:tr>
      <w:tr>
        <w:trPr>
          <w:trHeight w:val="205"/>
        </w:trPr>
        <w:tc>
          <w:tcPr>
            <w:tcW w:w="4700" w:type="dxa"/>
            <w:vAlign w:val="bottom"/>
            <w:shd w:val="clear" w:color="auto" w:fill="CFF0FC"/>
          </w:tcPr>
          <w:p>
            <w:pPr>
              <w:spacing w:after="0"/>
              <w:rPr>
                <w:sz w:val="20"/>
                <w:szCs w:val="20"/>
                <w:color w:val="auto"/>
              </w:rPr>
            </w:pPr>
            <w:r>
              <w:rPr>
                <w:rFonts w:ascii="Arial" w:cs="Arial" w:eastAsia="Arial" w:hAnsi="Arial"/>
                <w:sz w:val="16"/>
                <w:szCs w:val="16"/>
                <w:color w:val="auto"/>
              </w:rPr>
              <w:t>Outside the U.S.</w:t>
            </w:r>
          </w:p>
        </w:tc>
        <w:tc>
          <w:tcPr>
            <w:tcW w:w="700" w:type="dxa"/>
            <w:vAlign w:val="bottom"/>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71</w:t>
            </w:r>
          </w:p>
        </w:tc>
        <w:tc>
          <w:tcPr>
            <w:tcW w:w="1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117</w:t>
            </w:r>
          </w:p>
        </w:tc>
        <w:tc>
          <w:tcPr>
            <w:tcW w:w="220" w:type="dxa"/>
            <w:vAlign w:val="bottom"/>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134</w:t>
            </w:r>
          </w:p>
        </w:tc>
        <w:tc>
          <w:tcPr>
            <w:tcW w:w="80" w:type="dxa"/>
            <w:vAlign w:val="bottom"/>
            <w:shd w:val="clear" w:color="auto" w:fill="CFF0FC"/>
          </w:tcPr>
          <w:p>
            <w:pPr>
              <w:spacing w:after="0"/>
              <w:rPr>
                <w:sz w:val="17"/>
                <w:szCs w:val="17"/>
                <w:color w:val="auto"/>
              </w:rPr>
            </w:pPr>
          </w:p>
        </w:tc>
      </w:tr>
      <w:tr>
        <w:trPr>
          <w:trHeight w:val="238"/>
        </w:trPr>
        <w:tc>
          <w:tcPr>
            <w:tcW w:w="4700" w:type="dxa"/>
            <w:vAlign w:val="bottom"/>
            <w:tcBorders>
              <w:bottom w:val="single" w:sz="8" w:color="CFF0FC"/>
            </w:tcBorders>
          </w:tcPr>
          <w:p>
            <w:pPr>
              <w:ind w:left="220"/>
              <w:spacing w:after="0"/>
              <w:rPr>
                <w:sz w:val="20"/>
                <w:szCs w:val="20"/>
                <w:color w:val="auto"/>
              </w:rPr>
            </w:pPr>
            <w:r>
              <w:rPr>
                <w:rFonts w:ascii="Arial" w:cs="Arial" w:eastAsia="Arial" w:hAnsi="Arial"/>
                <w:sz w:val="16"/>
                <w:szCs w:val="16"/>
                <w:color w:val="auto"/>
              </w:rPr>
              <w:t>Total</w:t>
            </w:r>
          </w:p>
        </w:tc>
        <w:tc>
          <w:tcPr>
            <w:tcW w:w="700" w:type="dxa"/>
            <w:vAlign w:val="bottom"/>
            <w:tcBorders>
              <w:bottom w:val="single" w:sz="8" w:color="CFF0FC"/>
            </w:tcBorders>
          </w:tcPr>
          <w:p>
            <w:pPr>
              <w:spacing w:after="0"/>
              <w:rPr>
                <w:sz w:val="20"/>
                <w:szCs w:val="20"/>
                <w:color w:val="auto"/>
              </w:rPr>
            </w:pPr>
          </w:p>
        </w:tc>
        <w:tc>
          <w:tcPr>
            <w:tcW w:w="720" w:type="dxa"/>
            <w:vAlign w:val="bottom"/>
            <w:tcBorders>
              <w:bottom w:val="single" w:sz="8" w:color="auto"/>
            </w:tcBorders>
          </w:tcPr>
          <w:p>
            <w:pPr>
              <w:jc w:val="right"/>
              <w:ind w:right="564"/>
              <w:spacing w:after="0"/>
              <w:rPr>
                <w:sz w:val="20"/>
                <w:szCs w:val="20"/>
                <w:color w:val="auto"/>
              </w:rPr>
            </w:pPr>
            <w:r>
              <w:rPr>
                <w:rFonts w:ascii="Arial" w:cs="Arial" w:eastAsia="Arial" w:hAnsi="Arial"/>
                <w:sz w:val="15"/>
                <w:szCs w:val="15"/>
                <w:color w:val="auto"/>
                <w:w w:val="71"/>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140" w:type="dxa"/>
            <w:vAlign w:val="bottom"/>
            <w:tcBorders>
              <w:bottom w:val="single" w:sz="8" w:color="CFF0FC"/>
            </w:tcBorders>
          </w:tcPr>
          <w:p>
            <w:pPr>
              <w:spacing w:after="0"/>
              <w:rPr>
                <w:sz w:val="20"/>
                <w:szCs w:val="20"/>
                <w:color w:val="auto"/>
              </w:rPr>
            </w:pPr>
          </w:p>
        </w:tc>
        <w:tc>
          <w:tcPr>
            <w:tcW w:w="6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w:t>
            </w:r>
          </w:p>
        </w:tc>
        <w:tc>
          <w:tcPr>
            <w:tcW w:w="22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w:t>
            </w:r>
          </w:p>
        </w:tc>
        <w:tc>
          <w:tcPr>
            <w:tcW w:w="80" w:type="dxa"/>
            <w:vAlign w:val="bottom"/>
            <w:tcBorders>
              <w:bottom w:val="single" w:sz="8" w:color="CFF0FC"/>
            </w:tcBorders>
          </w:tcPr>
          <w:p>
            <w:pPr>
              <w:spacing w:after="0"/>
              <w:rPr>
                <w:sz w:val="20"/>
                <w:szCs w:val="20"/>
                <w:color w:val="auto"/>
              </w:rPr>
            </w:pPr>
          </w:p>
        </w:tc>
      </w:tr>
      <w:tr>
        <w:trPr>
          <w:trHeight w:val="182"/>
        </w:trPr>
        <w:tc>
          <w:tcPr>
            <w:tcW w:w="4700" w:type="dxa"/>
            <w:vAlign w:val="bottom"/>
            <w:shd w:val="clear" w:color="auto" w:fill="CFF0FC"/>
          </w:tcPr>
          <w:p>
            <w:pPr>
              <w:spacing w:after="0" w:line="181" w:lineRule="exact"/>
              <w:rPr>
                <w:sz w:val="20"/>
                <w:szCs w:val="20"/>
                <w:color w:val="auto"/>
              </w:rPr>
            </w:pPr>
            <w:r>
              <w:rPr>
                <w:rFonts w:ascii="Arial" w:cs="Arial" w:eastAsia="Arial" w:hAnsi="Arial"/>
                <w:sz w:val="16"/>
                <w:szCs w:val="16"/>
                <w:b w:val="1"/>
                <w:bCs w:val="1"/>
                <w:color w:val="auto"/>
              </w:rPr>
              <w:t>U.S. income taxes:</w:t>
            </w:r>
          </w:p>
        </w:tc>
        <w:tc>
          <w:tcPr>
            <w:tcW w:w="70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205"/>
        </w:trPr>
        <w:tc>
          <w:tcPr>
            <w:tcW w:w="4700" w:type="dxa"/>
            <w:vAlign w:val="bottom"/>
          </w:tcPr>
          <w:p>
            <w:pPr>
              <w:ind w:left="220"/>
              <w:spacing w:after="0"/>
              <w:rPr>
                <w:sz w:val="20"/>
                <w:szCs w:val="20"/>
                <w:color w:val="auto"/>
              </w:rPr>
            </w:pPr>
            <w:r>
              <w:rPr>
                <w:rFonts w:ascii="Arial" w:cs="Arial" w:eastAsia="Arial" w:hAnsi="Arial"/>
                <w:sz w:val="16"/>
                <w:szCs w:val="16"/>
                <w:color w:val="auto"/>
              </w:rPr>
              <w:t>Current provision</w:t>
            </w:r>
          </w:p>
        </w:tc>
        <w:tc>
          <w:tcPr>
            <w:tcW w:w="1420" w:type="dxa"/>
            <w:vAlign w:val="bottom"/>
            <w:gridSpan w:val="2"/>
          </w:tcPr>
          <w:p>
            <w:pPr>
              <w:jc w:val="right"/>
              <w:ind w:right="564"/>
              <w:spacing w:after="0"/>
              <w:rPr>
                <w:sz w:val="20"/>
                <w:szCs w:val="20"/>
                <w:color w:val="auto"/>
              </w:rPr>
            </w:pPr>
            <w:r>
              <w:rPr>
                <w:rFonts w:ascii="Arial" w:cs="Arial" w:eastAsia="Arial" w:hAnsi="Arial"/>
                <w:sz w:val="16"/>
                <w:szCs w:val="16"/>
                <w:color w:val="auto"/>
              </w:rPr>
              <w:t>$</w:t>
            </w:r>
          </w:p>
        </w:tc>
        <w:tc>
          <w:tcPr>
            <w:tcW w:w="360" w:type="dxa"/>
            <w:vAlign w:val="bottom"/>
          </w:tcPr>
          <w:p>
            <w:pPr>
              <w:jc w:val="right"/>
              <w:spacing w:after="0"/>
              <w:rPr>
                <w:sz w:val="20"/>
                <w:szCs w:val="20"/>
                <w:color w:val="auto"/>
              </w:rPr>
            </w:pPr>
            <w:r>
              <w:rPr>
                <w:rFonts w:ascii="Arial" w:cs="Arial" w:eastAsia="Arial" w:hAnsi="Arial"/>
                <w:sz w:val="16"/>
                <w:szCs w:val="16"/>
                <w:color w:val="auto"/>
              </w:rPr>
              <w:t>1</w:t>
            </w:r>
          </w:p>
        </w:tc>
        <w:tc>
          <w:tcPr>
            <w:tcW w:w="140" w:type="dxa"/>
            <w:vAlign w:val="bottom"/>
          </w:tcPr>
          <w:p>
            <w:pPr>
              <w:spacing w:after="0"/>
              <w:rPr>
                <w:sz w:val="17"/>
                <w:szCs w:val="17"/>
                <w:color w:val="auto"/>
              </w:rPr>
            </w:pPr>
          </w:p>
        </w:tc>
        <w:tc>
          <w:tcPr>
            <w:tcW w:w="320" w:type="dxa"/>
            <w:vAlign w:val="bottom"/>
            <w:gridSpan w:val="2"/>
          </w:tcPr>
          <w:p>
            <w:pPr>
              <w:jc w:val="right"/>
              <w:ind w:right="104"/>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w:t>
            </w:r>
          </w:p>
        </w:tc>
        <w:tc>
          <w:tcPr>
            <w:tcW w:w="220" w:type="dxa"/>
            <w:vAlign w:val="bottom"/>
          </w:tcPr>
          <w:p>
            <w:pPr>
              <w:spacing w:after="0"/>
              <w:rPr>
                <w:sz w:val="17"/>
                <w:szCs w:val="17"/>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7"/>
                <w:szCs w:val="17"/>
                <w:color w:val="auto"/>
              </w:rPr>
            </w:pPr>
          </w:p>
        </w:tc>
      </w:tr>
      <w:tr>
        <w:trPr>
          <w:trHeight w:val="205"/>
        </w:trPr>
        <w:tc>
          <w:tcPr>
            <w:tcW w:w="4700" w:type="dxa"/>
            <w:vAlign w:val="bottom"/>
            <w:shd w:val="clear" w:color="auto" w:fill="CFF0FC"/>
          </w:tcPr>
          <w:p>
            <w:pPr>
              <w:ind w:left="220"/>
              <w:spacing w:after="0"/>
              <w:rPr>
                <w:sz w:val="20"/>
                <w:szCs w:val="20"/>
                <w:color w:val="auto"/>
              </w:rPr>
            </w:pPr>
            <w:r>
              <w:rPr>
                <w:rFonts w:ascii="Arial" w:cs="Arial" w:eastAsia="Arial" w:hAnsi="Arial"/>
                <w:sz w:val="16"/>
                <w:szCs w:val="16"/>
                <w:color w:val="auto"/>
              </w:rPr>
              <w:t>Deferred (benefit) provision</w:t>
            </w:r>
          </w:p>
        </w:tc>
        <w:tc>
          <w:tcPr>
            <w:tcW w:w="7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500" w:type="dxa"/>
            <w:vAlign w:val="bottom"/>
            <w:gridSpan w:val="2"/>
            <w:shd w:val="clear" w:color="auto" w:fill="CFF0FC"/>
          </w:tcPr>
          <w:p>
            <w:pPr>
              <w:jc w:val="right"/>
              <w:ind w:right="16"/>
              <w:spacing w:after="0"/>
              <w:rPr>
                <w:sz w:val="20"/>
                <w:szCs w:val="20"/>
                <w:color w:val="auto"/>
              </w:rPr>
            </w:pPr>
            <w:r>
              <w:rPr>
                <w:rFonts w:ascii="Arial" w:cs="Arial" w:eastAsia="Arial" w:hAnsi="Arial"/>
                <w:sz w:val="16"/>
                <w:szCs w:val="16"/>
                <w:color w:val="auto"/>
              </w:rPr>
              <w:t>(31)</w:t>
            </w:r>
          </w:p>
        </w:tc>
        <w:tc>
          <w:tcPr>
            <w:tcW w:w="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w:t>
            </w:r>
          </w:p>
        </w:tc>
        <w:tc>
          <w:tcPr>
            <w:tcW w:w="80" w:type="dxa"/>
            <w:vAlign w:val="bottom"/>
            <w:shd w:val="clear" w:color="auto" w:fill="CFF0FC"/>
          </w:tcPr>
          <w:p>
            <w:pPr>
              <w:spacing w:after="0"/>
              <w:rPr>
                <w:sz w:val="17"/>
                <w:szCs w:val="17"/>
                <w:color w:val="auto"/>
              </w:rPr>
            </w:pPr>
          </w:p>
        </w:tc>
      </w:tr>
      <w:tr>
        <w:trPr>
          <w:trHeight w:val="205"/>
        </w:trPr>
        <w:tc>
          <w:tcPr>
            <w:tcW w:w="4700" w:type="dxa"/>
            <w:vAlign w:val="bottom"/>
          </w:tcPr>
          <w:p>
            <w:pPr>
              <w:spacing w:after="0"/>
              <w:rPr>
                <w:sz w:val="20"/>
                <w:szCs w:val="20"/>
                <w:color w:val="auto"/>
              </w:rPr>
            </w:pPr>
            <w:r>
              <w:rPr>
                <w:rFonts w:ascii="Arial" w:cs="Arial" w:eastAsia="Arial" w:hAnsi="Arial"/>
                <w:sz w:val="16"/>
                <w:szCs w:val="16"/>
                <w:b w:val="1"/>
                <w:bCs w:val="1"/>
                <w:color w:val="auto"/>
              </w:rPr>
              <w:t>Income taxes outside the U.S.:</w:t>
            </w:r>
          </w:p>
        </w:tc>
        <w:tc>
          <w:tcPr>
            <w:tcW w:w="7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5"/>
        </w:trPr>
        <w:tc>
          <w:tcPr>
            <w:tcW w:w="4700" w:type="dxa"/>
            <w:vAlign w:val="bottom"/>
            <w:shd w:val="clear" w:color="auto" w:fill="CFF0FC"/>
          </w:tcPr>
          <w:p>
            <w:pPr>
              <w:ind w:left="220"/>
              <w:spacing w:after="0"/>
              <w:rPr>
                <w:sz w:val="20"/>
                <w:szCs w:val="20"/>
                <w:color w:val="auto"/>
              </w:rPr>
            </w:pPr>
            <w:r>
              <w:rPr>
                <w:rFonts w:ascii="Arial" w:cs="Arial" w:eastAsia="Arial" w:hAnsi="Arial"/>
                <w:sz w:val="16"/>
                <w:szCs w:val="16"/>
                <w:color w:val="auto"/>
              </w:rPr>
              <w:t>Current provision</w:t>
            </w:r>
          </w:p>
        </w:tc>
        <w:tc>
          <w:tcPr>
            <w:tcW w:w="7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w:t>
            </w:r>
          </w:p>
        </w:tc>
        <w:tc>
          <w:tcPr>
            <w:tcW w:w="1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w:t>
            </w:r>
          </w:p>
        </w:tc>
        <w:tc>
          <w:tcPr>
            <w:tcW w:w="80" w:type="dxa"/>
            <w:vAlign w:val="bottom"/>
            <w:shd w:val="clear" w:color="auto" w:fill="CFF0FC"/>
          </w:tcPr>
          <w:p>
            <w:pPr>
              <w:spacing w:after="0"/>
              <w:rPr>
                <w:sz w:val="17"/>
                <w:szCs w:val="17"/>
                <w:color w:val="auto"/>
              </w:rPr>
            </w:pPr>
          </w:p>
        </w:tc>
      </w:tr>
      <w:tr>
        <w:trPr>
          <w:trHeight w:val="205"/>
        </w:trPr>
        <w:tc>
          <w:tcPr>
            <w:tcW w:w="4700" w:type="dxa"/>
            <w:vAlign w:val="bottom"/>
          </w:tcPr>
          <w:p>
            <w:pPr>
              <w:ind w:left="220"/>
              <w:spacing w:after="0"/>
              <w:rPr>
                <w:sz w:val="20"/>
                <w:szCs w:val="20"/>
                <w:color w:val="auto"/>
              </w:rPr>
            </w:pPr>
            <w:r>
              <w:rPr>
                <w:rFonts w:ascii="Arial" w:cs="Arial" w:eastAsia="Arial" w:hAnsi="Arial"/>
                <w:sz w:val="16"/>
                <w:szCs w:val="16"/>
                <w:color w:val="auto"/>
              </w:rPr>
              <w:t>Deferred (benefit) provision</w:t>
            </w:r>
          </w:p>
        </w:tc>
        <w:tc>
          <w:tcPr>
            <w:tcW w:w="7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00" w:type="dxa"/>
            <w:vAlign w:val="bottom"/>
            <w:gridSpan w:val="2"/>
          </w:tcPr>
          <w:p>
            <w:pPr>
              <w:jc w:val="right"/>
              <w:ind w:right="16"/>
              <w:spacing w:after="0"/>
              <w:rPr>
                <w:sz w:val="20"/>
                <w:szCs w:val="20"/>
                <w:color w:val="auto"/>
              </w:rPr>
            </w:pPr>
            <w:r>
              <w:rPr>
                <w:rFonts w:ascii="Arial" w:cs="Arial" w:eastAsia="Arial" w:hAnsi="Arial"/>
                <w:sz w:val="16"/>
                <w:szCs w:val="16"/>
                <w:color w:val="auto"/>
              </w:rPr>
              <w:t>(94)</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05"/>
        </w:trPr>
        <w:tc>
          <w:tcPr>
            <w:tcW w:w="47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State and other income taxes:</w:t>
            </w:r>
          </w:p>
        </w:tc>
        <w:tc>
          <w:tcPr>
            <w:tcW w:w="7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5"/>
        </w:trPr>
        <w:tc>
          <w:tcPr>
            <w:tcW w:w="4700" w:type="dxa"/>
            <w:vAlign w:val="bottom"/>
          </w:tcPr>
          <w:p>
            <w:pPr>
              <w:ind w:left="220"/>
              <w:spacing w:after="0"/>
              <w:rPr>
                <w:sz w:val="20"/>
                <w:szCs w:val="20"/>
                <w:color w:val="auto"/>
              </w:rPr>
            </w:pPr>
            <w:r>
              <w:rPr>
                <w:rFonts w:ascii="Arial" w:cs="Arial" w:eastAsia="Arial" w:hAnsi="Arial"/>
                <w:sz w:val="16"/>
                <w:szCs w:val="16"/>
                <w:color w:val="auto"/>
              </w:rPr>
              <w:t>Current benefit</w:t>
            </w:r>
          </w:p>
        </w:tc>
        <w:tc>
          <w:tcPr>
            <w:tcW w:w="7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00" w:type="dxa"/>
            <w:vAlign w:val="bottom"/>
            <w:gridSpan w:val="2"/>
          </w:tcPr>
          <w:p>
            <w:pPr>
              <w:jc w:val="right"/>
              <w:ind w:right="16"/>
              <w:spacing w:after="0"/>
              <w:rPr>
                <w:sz w:val="20"/>
                <w:szCs w:val="20"/>
                <w:color w:val="auto"/>
              </w:rPr>
            </w:pPr>
            <w:r>
              <w:rPr>
                <w:rFonts w:ascii="Arial" w:cs="Arial" w:eastAsia="Arial" w:hAnsi="Arial"/>
                <w:sz w:val="16"/>
                <w:szCs w:val="16"/>
                <w:color w:val="auto"/>
              </w:rPr>
              <w:t>(1)</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198"/>
        </w:trPr>
        <w:tc>
          <w:tcPr>
            <w:tcW w:w="4700" w:type="dxa"/>
            <w:vAlign w:val="bottom"/>
            <w:tcBorders>
              <w:top w:val="single" w:sz="8" w:color="CFF0FC"/>
              <w:bottom w:val="single" w:sz="8" w:color="CFF0FC"/>
            </w:tcBorders>
            <w:shd w:val="clear" w:color="auto" w:fill="CFF0FC"/>
          </w:tcPr>
          <w:p>
            <w:pPr>
              <w:ind w:left="220"/>
              <w:spacing w:after="0"/>
              <w:rPr>
                <w:sz w:val="20"/>
                <w:szCs w:val="20"/>
                <w:color w:val="auto"/>
              </w:rPr>
            </w:pPr>
            <w:r>
              <w:rPr>
                <w:rFonts w:ascii="Arial" w:cs="Arial" w:eastAsia="Arial" w:hAnsi="Arial"/>
                <w:sz w:val="16"/>
                <w:szCs w:val="16"/>
                <w:color w:val="auto"/>
              </w:rPr>
              <w:t>Total provision</w:t>
            </w:r>
          </w:p>
        </w:tc>
        <w:tc>
          <w:tcPr>
            <w:tcW w:w="700" w:type="dxa"/>
            <w:vAlign w:val="bottom"/>
            <w:tcBorders>
              <w:top w:val="single" w:sz="8" w:color="CFF0FC"/>
              <w:bottom w:val="single" w:sz="8" w:color="CFF0FC"/>
            </w:tcBorders>
            <w:shd w:val="clear" w:color="auto" w:fill="CFF0FC"/>
          </w:tcPr>
          <w:p>
            <w:pPr>
              <w:spacing w:after="0"/>
              <w:rPr>
                <w:sz w:val="17"/>
                <w:szCs w:val="17"/>
                <w:color w:val="auto"/>
              </w:rPr>
            </w:pPr>
          </w:p>
        </w:tc>
        <w:tc>
          <w:tcPr>
            <w:tcW w:w="720" w:type="dxa"/>
            <w:vAlign w:val="bottom"/>
            <w:tcBorders>
              <w:top w:val="single" w:sz="8" w:color="auto"/>
              <w:bottom w:val="single" w:sz="8" w:color="auto"/>
            </w:tcBorders>
            <w:shd w:val="clear" w:color="auto" w:fill="CFF0FC"/>
          </w:tcPr>
          <w:p>
            <w:pPr>
              <w:jc w:val="right"/>
              <w:ind w:right="564"/>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90"/>
              </w:rPr>
              <w:t>(110)</w:t>
            </w:r>
          </w:p>
        </w:tc>
        <w:tc>
          <w:tcPr>
            <w:tcW w:w="140" w:type="dxa"/>
            <w:vAlign w:val="bottom"/>
            <w:tcBorders>
              <w:top w:val="single" w:sz="8" w:color="CFF0FC"/>
              <w:bottom w:val="single" w:sz="8" w:color="CFF0FC"/>
            </w:tcBorders>
            <w:shd w:val="clear" w:color="auto" w:fill="CFF0FC"/>
          </w:tcPr>
          <w:p>
            <w:pPr>
              <w:spacing w:after="0"/>
              <w:rPr>
                <w:sz w:val="17"/>
                <w:szCs w:val="17"/>
                <w:color w:val="auto"/>
              </w:rPr>
            </w:pPr>
          </w:p>
        </w:tc>
        <w:tc>
          <w:tcPr>
            <w:tcW w:w="60" w:type="dxa"/>
            <w:vAlign w:val="bottom"/>
            <w:tcBorders>
              <w:top w:val="single" w:sz="8" w:color="CFF0FC"/>
              <w:bottom w:val="single" w:sz="8" w:color="CFF0FC"/>
            </w:tcBorders>
            <w:shd w:val="clear" w:color="auto" w:fill="CFF0FC"/>
          </w:tcPr>
          <w:p>
            <w:pPr>
              <w:spacing w:after="0"/>
              <w:rPr>
                <w:sz w:val="17"/>
                <w:szCs w:val="17"/>
                <w:color w:val="auto"/>
              </w:rPr>
            </w:pPr>
          </w:p>
        </w:tc>
        <w:tc>
          <w:tcPr>
            <w:tcW w:w="260" w:type="dxa"/>
            <w:vAlign w:val="bottom"/>
            <w:tcBorders>
              <w:top w:val="single" w:sz="8" w:color="auto"/>
              <w:bottom w:val="single" w:sz="8" w:color="auto"/>
            </w:tcBorders>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33</w:t>
            </w:r>
          </w:p>
        </w:tc>
        <w:tc>
          <w:tcPr>
            <w:tcW w:w="220" w:type="dxa"/>
            <w:vAlign w:val="bottom"/>
            <w:tcBorders>
              <w:top w:val="single" w:sz="8" w:color="CFF0FC"/>
              <w:bottom w:val="single" w:sz="8" w:color="CFF0FC"/>
            </w:tcBorders>
            <w:shd w:val="clear" w:color="auto" w:fill="CFF0FC"/>
          </w:tcPr>
          <w:p>
            <w:pPr>
              <w:spacing w:after="0"/>
              <w:rPr>
                <w:sz w:val="17"/>
                <w:szCs w:val="17"/>
                <w:color w:val="auto"/>
              </w:rPr>
            </w:pPr>
          </w:p>
        </w:tc>
        <w:tc>
          <w:tcPr>
            <w:tcW w:w="240" w:type="dxa"/>
            <w:vAlign w:val="bottom"/>
            <w:tcBorders>
              <w:top w:val="single" w:sz="8" w:color="auto"/>
              <w:bottom w:val="single" w:sz="8" w:color="auto"/>
            </w:tcBorders>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32</w:t>
            </w: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r>
      <w:tr>
        <w:trPr>
          <w:trHeight w:val="20"/>
        </w:trPr>
        <w:tc>
          <w:tcPr>
            <w:tcW w:w="4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5" w:lineRule="exact"/>
        <w:rPr>
          <w:sz w:val="20"/>
          <w:szCs w:val="20"/>
          <w:color w:val="auto"/>
        </w:rPr>
      </w:pPr>
    </w:p>
    <w:p>
      <w:pPr>
        <w:ind w:right="40"/>
        <w:spacing w:after="0" w:line="280" w:lineRule="auto"/>
        <w:rPr>
          <w:sz w:val="20"/>
          <w:szCs w:val="20"/>
          <w:color w:val="auto"/>
        </w:rPr>
      </w:pPr>
      <w:r>
        <w:rPr>
          <w:rFonts w:ascii="Arial" w:cs="Arial" w:eastAsia="Arial" w:hAnsi="Arial"/>
          <w:sz w:val="16"/>
          <w:szCs w:val="16"/>
          <w:color w:val="auto"/>
        </w:rPr>
        <w:t>The differences between income taxes computed using the U.S. federal income tax rate and the (benefit) provision for income taxes for continuing operations were as follows (in millions):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4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00" w:type="dxa"/>
            <w:vAlign w:val="bottom"/>
            <w:gridSpan w:val="5"/>
          </w:tcPr>
          <w:p>
            <w:pPr>
              <w:jc w:val="right"/>
              <w:ind w:right="40"/>
              <w:spacing w:after="0"/>
              <w:rPr>
                <w:sz w:val="20"/>
                <w:szCs w:val="20"/>
                <w:color w:val="auto"/>
              </w:rPr>
            </w:pPr>
            <w:r>
              <w:rPr>
                <w:rFonts w:ascii="Arial" w:cs="Arial" w:eastAsia="Arial" w:hAnsi="Arial"/>
                <w:sz w:val="13"/>
                <w:szCs w:val="13"/>
                <w:b w:val="1"/>
                <w:bCs w:val="1"/>
                <w:color w:val="auto"/>
                <w:w w:val="90"/>
              </w:rPr>
              <w:t>Year Ended December 31,</w:t>
            </w: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140" w:type="dxa"/>
            <w:vAlign w:val="bottom"/>
          </w:tcPr>
          <w:p>
            <w:pPr>
              <w:spacing w:after="0"/>
              <w:rPr>
                <w:sz w:val="13"/>
                <w:szCs w:val="13"/>
                <w:color w:val="auto"/>
              </w:rPr>
            </w:pPr>
          </w:p>
        </w:tc>
        <w:tc>
          <w:tcPr>
            <w:tcW w:w="4180" w:type="dxa"/>
            <w:vAlign w:val="bottom"/>
            <w:tcBorders>
              <w:bottom w:val="single" w:sz="8" w:color="CFF0FC"/>
            </w:tcBorders>
          </w:tcPr>
          <w:p>
            <w:pPr>
              <w:spacing w:after="0"/>
              <w:rPr>
                <w:sz w:val="13"/>
                <w:szCs w:val="13"/>
                <w:color w:val="auto"/>
              </w:rPr>
            </w:pPr>
          </w:p>
        </w:tc>
        <w:tc>
          <w:tcPr>
            <w:tcW w:w="1220" w:type="dxa"/>
            <w:vAlign w:val="bottom"/>
            <w:tcBorders>
              <w:bottom w:val="single" w:sz="8" w:color="CFF0FC"/>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2017</w:t>
            </w:r>
          </w:p>
        </w:tc>
        <w:tc>
          <w:tcPr>
            <w:tcW w:w="360" w:type="dxa"/>
            <w:vAlign w:val="bottom"/>
            <w:tcBorders>
              <w:bottom w:val="single" w:sz="8" w:color="auto"/>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21"/>
              <w:spacing w:after="0"/>
              <w:rPr>
                <w:sz w:val="20"/>
                <w:szCs w:val="20"/>
                <w:color w:val="auto"/>
              </w:rPr>
            </w:pPr>
            <w:r>
              <w:rPr>
                <w:rFonts w:ascii="Arial" w:cs="Arial" w:eastAsia="Arial" w:hAnsi="Arial"/>
                <w:sz w:val="13"/>
                <w:szCs w:val="13"/>
                <w:b w:val="1"/>
                <w:bCs w:val="1"/>
                <w:color w:val="auto"/>
              </w:rPr>
              <w:t>2016</w:t>
            </w:r>
          </w:p>
        </w:tc>
        <w:tc>
          <w:tcPr>
            <w:tcW w:w="2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41"/>
              <w:spacing w:after="0"/>
              <w:rPr>
                <w:sz w:val="20"/>
                <w:szCs w:val="20"/>
                <w:color w:val="auto"/>
              </w:rPr>
            </w:pPr>
            <w:r>
              <w:rPr>
                <w:rFonts w:ascii="Arial" w:cs="Arial" w:eastAsia="Arial" w:hAnsi="Arial"/>
                <w:sz w:val="13"/>
                <w:szCs w:val="13"/>
                <w:b w:val="1"/>
                <w:bCs w:val="1"/>
                <w:color w:val="auto"/>
              </w:rPr>
              <w:t>2015</w:t>
            </w:r>
          </w:p>
        </w:tc>
        <w:tc>
          <w:tcPr>
            <w:tcW w:w="80" w:type="dxa"/>
            <w:vAlign w:val="bottom"/>
            <w:tcBorders>
              <w:bottom w:val="single" w:sz="8" w:color="CFF0FC"/>
            </w:tcBorders>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1140" w:type="dxa"/>
            <w:vAlign w:val="bottom"/>
          </w:tcPr>
          <w:p>
            <w:pPr>
              <w:spacing w:after="0"/>
              <w:rPr>
                <w:sz w:val="17"/>
                <w:szCs w:val="17"/>
                <w:color w:val="auto"/>
              </w:rPr>
            </w:pPr>
          </w:p>
        </w:tc>
        <w:tc>
          <w:tcPr>
            <w:tcW w:w="4180" w:type="dxa"/>
            <w:vAlign w:val="bottom"/>
            <w:shd w:val="clear" w:color="auto" w:fill="CFF0FC"/>
          </w:tcPr>
          <w:p>
            <w:pPr>
              <w:spacing w:after="0"/>
              <w:rPr>
                <w:sz w:val="20"/>
                <w:szCs w:val="20"/>
                <w:color w:val="auto"/>
              </w:rPr>
            </w:pPr>
            <w:r>
              <w:rPr>
                <w:rFonts w:ascii="Arial" w:cs="Arial" w:eastAsia="Arial" w:hAnsi="Arial"/>
                <w:sz w:val="16"/>
                <w:szCs w:val="16"/>
                <w:color w:val="auto"/>
              </w:rPr>
              <w:t>Amount computed using the statutory rate</w:t>
            </w:r>
          </w:p>
        </w:tc>
        <w:tc>
          <w:tcPr>
            <w:tcW w:w="1220" w:type="dxa"/>
            <w:vAlign w:val="bottom"/>
            <w:shd w:val="clear" w:color="auto" w:fill="CFF0FC"/>
          </w:tcPr>
          <w:p>
            <w:pPr>
              <w:spacing w:after="0"/>
              <w:rPr>
                <w:sz w:val="17"/>
                <w:szCs w:val="17"/>
                <w:color w:val="auto"/>
              </w:rPr>
            </w:pPr>
          </w:p>
        </w:tc>
        <w:tc>
          <w:tcPr>
            <w:tcW w:w="720" w:type="dxa"/>
            <w:vAlign w:val="bottom"/>
            <w:shd w:val="clear" w:color="auto" w:fill="CFF0FC"/>
          </w:tcPr>
          <w:p>
            <w:pPr>
              <w:jc w:val="right"/>
              <w:ind w:right="568"/>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FF0FC"/>
          </w:tcPr>
          <w:p>
            <w:pPr>
              <w:jc w:val="right"/>
              <w:ind w:right="16"/>
              <w:spacing w:after="0"/>
              <w:rPr>
                <w:sz w:val="20"/>
                <w:szCs w:val="20"/>
                <w:color w:val="auto"/>
              </w:rPr>
            </w:pPr>
            <w:r>
              <w:rPr>
                <w:rFonts w:ascii="Arial" w:cs="Arial" w:eastAsia="Arial" w:hAnsi="Arial"/>
                <w:sz w:val="16"/>
                <w:szCs w:val="16"/>
                <w:color w:val="auto"/>
              </w:rPr>
              <w:t>(5)</w:t>
            </w:r>
          </w:p>
        </w:tc>
        <w:tc>
          <w:tcPr>
            <w:tcW w:w="6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w:t>
            </w:r>
          </w:p>
        </w:tc>
        <w:tc>
          <w:tcPr>
            <w:tcW w:w="80" w:type="dxa"/>
            <w:vAlign w:val="bottom"/>
            <w:shd w:val="clear" w:color="auto" w:fill="CFF0FC"/>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40" w:type="dxa"/>
            <w:vAlign w:val="bottom"/>
          </w:tcPr>
          <w:p>
            <w:pPr>
              <w:spacing w:after="0"/>
              <w:rPr>
                <w:sz w:val="17"/>
                <w:szCs w:val="17"/>
                <w:color w:val="auto"/>
              </w:rPr>
            </w:pPr>
          </w:p>
        </w:tc>
        <w:tc>
          <w:tcPr>
            <w:tcW w:w="4180" w:type="dxa"/>
            <w:vAlign w:val="bottom"/>
          </w:tcPr>
          <w:p>
            <w:pPr>
              <w:spacing w:after="0"/>
              <w:rPr>
                <w:sz w:val="20"/>
                <w:szCs w:val="20"/>
                <w:color w:val="auto"/>
              </w:rPr>
            </w:pPr>
            <w:r>
              <w:rPr>
                <w:rFonts w:ascii="Arial" w:cs="Arial" w:eastAsia="Arial" w:hAnsi="Arial"/>
                <w:sz w:val="16"/>
                <w:szCs w:val="16"/>
                <w:b w:val="1"/>
                <w:bCs w:val="1"/>
                <w:color w:val="auto"/>
              </w:rPr>
              <w:t>Increase (reduction) in taxes resulting from:</w:t>
            </w:r>
          </w:p>
        </w:tc>
        <w:tc>
          <w:tcPr>
            <w:tcW w:w="1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40" w:type="dxa"/>
            <w:vAlign w:val="bottom"/>
          </w:tcPr>
          <w:p>
            <w:pPr>
              <w:spacing w:after="0"/>
              <w:rPr>
                <w:sz w:val="17"/>
                <w:szCs w:val="17"/>
                <w:color w:val="auto"/>
              </w:rPr>
            </w:pPr>
          </w:p>
        </w:tc>
        <w:tc>
          <w:tcPr>
            <w:tcW w:w="4180" w:type="dxa"/>
            <w:vAlign w:val="bottom"/>
            <w:shd w:val="clear" w:color="auto" w:fill="CFF0FC"/>
          </w:tcPr>
          <w:p>
            <w:pPr>
              <w:ind w:left="220"/>
              <w:spacing w:after="0"/>
              <w:rPr>
                <w:sz w:val="20"/>
                <w:szCs w:val="20"/>
                <w:color w:val="auto"/>
              </w:rPr>
            </w:pPr>
            <w:r>
              <w:rPr>
                <w:rFonts w:ascii="Arial" w:cs="Arial" w:eastAsia="Arial" w:hAnsi="Arial"/>
                <w:sz w:val="16"/>
                <w:szCs w:val="16"/>
                <w:color w:val="auto"/>
              </w:rPr>
              <w:t>Unremitted foreign earnings</w:t>
            </w:r>
          </w:p>
        </w:tc>
        <w:tc>
          <w:tcPr>
            <w:tcW w:w="122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1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w:t>
            </w:r>
          </w:p>
        </w:tc>
        <w:tc>
          <w:tcPr>
            <w:tcW w:w="80" w:type="dxa"/>
            <w:vAlign w:val="bottom"/>
            <w:shd w:val="clear" w:color="auto" w:fill="CFF0FC"/>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40" w:type="dxa"/>
            <w:vAlign w:val="bottom"/>
          </w:tcPr>
          <w:p>
            <w:pPr>
              <w:spacing w:after="0"/>
              <w:rPr>
                <w:sz w:val="17"/>
                <w:szCs w:val="17"/>
                <w:color w:val="auto"/>
              </w:rPr>
            </w:pPr>
          </w:p>
        </w:tc>
        <w:tc>
          <w:tcPr>
            <w:tcW w:w="4180" w:type="dxa"/>
            <w:vAlign w:val="bottom"/>
          </w:tcPr>
          <w:p>
            <w:pPr>
              <w:ind w:left="220"/>
              <w:spacing w:after="0"/>
              <w:rPr>
                <w:sz w:val="20"/>
                <w:szCs w:val="20"/>
                <w:color w:val="auto"/>
              </w:rPr>
            </w:pPr>
            <w:r>
              <w:rPr>
                <w:rFonts w:ascii="Arial" w:cs="Arial" w:eastAsia="Arial" w:hAnsi="Arial"/>
                <w:sz w:val="16"/>
                <w:szCs w:val="16"/>
                <w:color w:val="auto"/>
              </w:rPr>
              <w:t>Impact of goodwill and intangible impairments</w:t>
            </w:r>
          </w:p>
        </w:tc>
        <w:tc>
          <w:tcPr>
            <w:tcW w:w="1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00" w:type="dxa"/>
            <w:vAlign w:val="bottom"/>
            <w:gridSpan w:val="2"/>
          </w:tcPr>
          <w:p>
            <w:pPr>
              <w:jc w:val="right"/>
              <w:ind w:right="16"/>
              <w:spacing w:after="0"/>
              <w:rPr>
                <w:sz w:val="20"/>
                <w:szCs w:val="20"/>
                <w:color w:val="auto"/>
              </w:rPr>
            </w:pPr>
            <w:r>
              <w:rPr>
                <w:rFonts w:ascii="Arial" w:cs="Arial" w:eastAsia="Arial" w:hAnsi="Arial"/>
                <w:sz w:val="16"/>
                <w:szCs w:val="16"/>
                <w:color w:val="auto"/>
              </w:rPr>
              <w:t>(21)</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40" w:type="dxa"/>
            <w:vAlign w:val="bottom"/>
          </w:tcPr>
          <w:p>
            <w:pPr>
              <w:spacing w:after="0"/>
              <w:rPr>
                <w:sz w:val="17"/>
                <w:szCs w:val="17"/>
                <w:color w:val="auto"/>
              </w:rPr>
            </w:pPr>
          </w:p>
        </w:tc>
        <w:tc>
          <w:tcPr>
            <w:tcW w:w="4180" w:type="dxa"/>
            <w:vAlign w:val="bottom"/>
            <w:shd w:val="clear" w:color="auto" w:fill="CFF0FC"/>
          </w:tcPr>
          <w:p>
            <w:pPr>
              <w:ind w:left="220"/>
              <w:spacing w:after="0"/>
              <w:rPr>
                <w:sz w:val="20"/>
                <w:szCs w:val="20"/>
                <w:color w:val="auto"/>
              </w:rPr>
            </w:pPr>
            <w:r>
              <w:rPr>
                <w:rFonts w:ascii="Arial" w:cs="Arial" w:eastAsia="Arial" w:hAnsi="Arial"/>
                <w:sz w:val="16"/>
                <w:szCs w:val="16"/>
                <w:color w:val="auto"/>
              </w:rPr>
              <w:t>Operations outside the U.S.</w:t>
            </w:r>
          </w:p>
        </w:tc>
        <w:tc>
          <w:tcPr>
            <w:tcW w:w="122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w:t>
            </w:r>
          </w:p>
        </w:tc>
        <w:tc>
          <w:tcPr>
            <w:tcW w:w="1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w:t>
            </w:r>
          </w:p>
        </w:tc>
        <w:tc>
          <w:tcPr>
            <w:tcW w:w="80" w:type="dxa"/>
            <w:vAlign w:val="bottom"/>
            <w:shd w:val="clear" w:color="auto" w:fill="CFF0FC"/>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40" w:type="dxa"/>
            <w:vAlign w:val="bottom"/>
          </w:tcPr>
          <w:p>
            <w:pPr>
              <w:spacing w:after="0"/>
              <w:rPr>
                <w:sz w:val="17"/>
                <w:szCs w:val="17"/>
                <w:color w:val="auto"/>
              </w:rPr>
            </w:pPr>
          </w:p>
        </w:tc>
        <w:tc>
          <w:tcPr>
            <w:tcW w:w="4180" w:type="dxa"/>
            <w:vAlign w:val="bottom"/>
          </w:tcPr>
          <w:p>
            <w:pPr>
              <w:ind w:left="220"/>
              <w:spacing w:after="0"/>
              <w:rPr>
                <w:sz w:val="20"/>
                <w:szCs w:val="20"/>
                <w:color w:val="auto"/>
              </w:rPr>
            </w:pPr>
            <w:r>
              <w:rPr>
                <w:rFonts w:ascii="Arial" w:cs="Arial" w:eastAsia="Arial" w:hAnsi="Arial"/>
                <w:sz w:val="16"/>
                <w:szCs w:val="16"/>
                <w:color w:val="auto"/>
              </w:rPr>
              <w:t>Legislative tax law and rate changes</w:t>
            </w:r>
          </w:p>
        </w:tc>
        <w:tc>
          <w:tcPr>
            <w:tcW w:w="1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150</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40" w:type="dxa"/>
            <w:vAlign w:val="bottom"/>
          </w:tcPr>
          <w:p>
            <w:pPr>
              <w:spacing w:after="0"/>
              <w:rPr>
                <w:sz w:val="17"/>
                <w:szCs w:val="17"/>
                <w:color w:val="auto"/>
              </w:rPr>
            </w:pPr>
          </w:p>
        </w:tc>
        <w:tc>
          <w:tcPr>
            <w:tcW w:w="4180" w:type="dxa"/>
            <w:vAlign w:val="bottom"/>
            <w:shd w:val="clear" w:color="auto" w:fill="CFF0FC"/>
          </w:tcPr>
          <w:p>
            <w:pPr>
              <w:ind w:left="220"/>
              <w:spacing w:after="0"/>
              <w:rPr>
                <w:sz w:val="20"/>
                <w:szCs w:val="20"/>
                <w:color w:val="auto"/>
              </w:rPr>
            </w:pPr>
            <w:r>
              <w:rPr>
                <w:rFonts w:ascii="Arial" w:cs="Arial" w:eastAsia="Arial" w:hAnsi="Arial"/>
                <w:sz w:val="16"/>
                <w:szCs w:val="16"/>
                <w:color w:val="auto"/>
              </w:rPr>
              <w:t>Valuation allowance</w:t>
            </w:r>
          </w:p>
        </w:tc>
        <w:tc>
          <w:tcPr>
            <w:tcW w:w="122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500" w:type="dxa"/>
            <w:vAlign w:val="bottom"/>
            <w:gridSpan w:val="2"/>
            <w:shd w:val="clear" w:color="auto" w:fill="CFF0FC"/>
          </w:tcPr>
          <w:p>
            <w:pPr>
              <w:jc w:val="right"/>
              <w:ind w:right="16"/>
              <w:spacing w:after="0"/>
              <w:rPr>
                <w:sz w:val="20"/>
                <w:szCs w:val="20"/>
                <w:color w:val="auto"/>
              </w:rPr>
            </w:pPr>
            <w:r>
              <w:rPr>
                <w:rFonts w:ascii="Arial" w:cs="Arial" w:eastAsia="Arial" w:hAnsi="Arial"/>
                <w:sz w:val="16"/>
                <w:szCs w:val="16"/>
                <w:color w:val="auto"/>
              </w:rPr>
              <w:t>(259)</w:t>
            </w:r>
          </w:p>
        </w:tc>
        <w:tc>
          <w:tcPr>
            <w:tcW w:w="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(58)</w:t>
            </w:r>
          </w:p>
        </w:tc>
        <w:tc>
          <w:tcPr>
            <w:tcW w:w="24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(71)</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40" w:type="dxa"/>
            <w:vAlign w:val="bottom"/>
          </w:tcPr>
          <w:p>
            <w:pPr>
              <w:spacing w:after="0"/>
              <w:rPr>
                <w:sz w:val="17"/>
                <w:szCs w:val="17"/>
                <w:color w:val="auto"/>
              </w:rPr>
            </w:pPr>
          </w:p>
        </w:tc>
        <w:tc>
          <w:tcPr>
            <w:tcW w:w="4180" w:type="dxa"/>
            <w:vAlign w:val="bottom"/>
          </w:tcPr>
          <w:p>
            <w:pPr>
              <w:ind w:left="220"/>
              <w:spacing w:after="0"/>
              <w:rPr>
                <w:sz w:val="20"/>
                <w:szCs w:val="20"/>
                <w:color w:val="auto"/>
              </w:rPr>
            </w:pPr>
            <w:r>
              <w:rPr>
                <w:rFonts w:ascii="Arial" w:cs="Arial" w:eastAsia="Arial" w:hAnsi="Arial"/>
                <w:sz w:val="16"/>
                <w:szCs w:val="16"/>
                <w:color w:val="auto"/>
              </w:rPr>
              <w:t>Tax settlements and adjustments, including interest</w:t>
            </w:r>
          </w:p>
        </w:tc>
        <w:tc>
          <w:tcPr>
            <w:tcW w:w="1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00" w:type="dxa"/>
            <w:vAlign w:val="bottom"/>
            <w:gridSpan w:val="2"/>
          </w:tcPr>
          <w:p>
            <w:pPr>
              <w:jc w:val="right"/>
              <w:ind w:right="16"/>
              <w:spacing w:after="0"/>
              <w:rPr>
                <w:sz w:val="20"/>
                <w:szCs w:val="20"/>
                <w:color w:val="auto"/>
              </w:rPr>
            </w:pPr>
            <w:r>
              <w:rPr>
                <w:rFonts w:ascii="Arial" w:cs="Arial" w:eastAsia="Arial" w:hAnsi="Arial"/>
                <w:sz w:val="16"/>
                <w:szCs w:val="16"/>
                <w:color w:val="auto"/>
              </w:rPr>
              <w:t>(11)</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40" w:type="dxa"/>
            <w:vAlign w:val="bottom"/>
          </w:tcPr>
          <w:p>
            <w:pPr>
              <w:spacing w:after="0"/>
              <w:rPr>
                <w:sz w:val="17"/>
                <w:szCs w:val="17"/>
                <w:color w:val="auto"/>
              </w:rPr>
            </w:pPr>
          </w:p>
        </w:tc>
        <w:tc>
          <w:tcPr>
            <w:tcW w:w="4180" w:type="dxa"/>
            <w:vAlign w:val="bottom"/>
            <w:shd w:val="clear" w:color="auto" w:fill="CFF0FC"/>
          </w:tcPr>
          <w:p>
            <w:pPr>
              <w:ind w:left="220"/>
              <w:spacing w:after="0"/>
              <w:rPr>
                <w:sz w:val="20"/>
                <w:szCs w:val="20"/>
                <w:color w:val="auto"/>
              </w:rPr>
            </w:pPr>
            <w:r>
              <w:rPr>
                <w:rFonts w:ascii="Arial" w:cs="Arial" w:eastAsia="Arial" w:hAnsi="Arial"/>
                <w:sz w:val="16"/>
                <w:szCs w:val="16"/>
                <w:color w:val="auto"/>
                <w:w w:val="98"/>
              </w:rPr>
              <w:t>Discharge of debt and other reorganization related items</w:t>
            </w:r>
          </w:p>
        </w:tc>
        <w:tc>
          <w:tcPr>
            <w:tcW w:w="122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w:t>
            </w:r>
          </w:p>
        </w:tc>
        <w:tc>
          <w:tcPr>
            <w:tcW w:w="1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w:t>
            </w:r>
          </w:p>
        </w:tc>
        <w:tc>
          <w:tcPr>
            <w:tcW w:w="80" w:type="dxa"/>
            <w:vAlign w:val="bottom"/>
            <w:shd w:val="clear" w:color="auto" w:fill="CFF0FC"/>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40" w:type="dxa"/>
            <w:vAlign w:val="bottom"/>
          </w:tcPr>
          <w:p>
            <w:pPr>
              <w:spacing w:after="0"/>
              <w:rPr>
                <w:sz w:val="17"/>
                <w:szCs w:val="17"/>
                <w:color w:val="auto"/>
              </w:rPr>
            </w:pPr>
          </w:p>
        </w:tc>
        <w:tc>
          <w:tcPr>
            <w:tcW w:w="4180" w:type="dxa"/>
            <w:vAlign w:val="bottom"/>
          </w:tcPr>
          <w:p>
            <w:pPr>
              <w:ind w:left="220"/>
              <w:spacing w:after="0"/>
              <w:rPr>
                <w:sz w:val="20"/>
                <w:szCs w:val="20"/>
                <w:color w:val="auto"/>
              </w:rPr>
            </w:pPr>
            <w:r>
              <w:rPr>
                <w:rFonts w:ascii="Arial" w:cs="Arial" w:eastAsia="Arial" w:hAnsi="Arial"/>
                <w:sz w:val="16"/>
                <w:szCs w:val="16"/>
                <w:color w:val="auto"/>
              </w:rPr>
              <w:t>Embedded derivative liability conversion</w:t>
            </w:r>
          </w:p>
        </w:tc>
        <w:tc>
          <w:tcPr>
            <w:tcW w:w="1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00" w:type="dxa"/>
            <w:vAlign w:val="bottom"/>
            <w:gridSpan w:val="2"/>
          </w:tcPr>
          <w:p>
            <w:pPr>
              <w:jc w:val="right"/>
              <w:ind w:right="16"/>
              <w:spacing w:after="0"/>
              <w:rPr>
                <w:sz w:val="20"/>
                <w:szCs w:val="20"/>
                <w:color w:val="auto"/>
              </w:rPr>
            </w:pPr>
            <w:r>
              <w:rPr>
                <w:rFonts w:ascii="Arial" w:cs="Arial" w:eastAsia="Arial" w:hAnsi="Arial"/>
                <w:sz w:val="16"/>
                <w:szCs w:val="16"/>
                <w:color w:val="auto"/>
              </w:rPr>
              <w:t>(17)</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40" w:type="dxa"/>
            <w:vAlign w:val="bottom"/>
          </w:tcPr>
          <w:p>
            <w:pPr>
              <w:spacing w:after="0"/>
              <w:rPr>
                <w:sz w:val="17"/>
                <w:szCs w:val="17"/>
                <w:color w:val="auto"/>
              </w:rPr>
            </w:pPr>
          </w:p>
        </w:tc>
        <w:tc>
          <w:tcPr>
            <w:tcW w:w="4180" w:type="dxa"/>
            <w:vAlign w:val="bottom"/>
            <w:shd w:val="clear" w:color="auto" w:fill="CFF0FC"/>
          </w:tcPr>
          <w:p>
            <w:pPr>
              <w:ind w:left="220"/>
              <w:spacing w:after="0"/>
              <w:rPr>
                <w:sz w:val="20"/>
                <w:szCs w:val="20"/>
                <w:color w:val="auto"/>
              </w:rPr>
            </w:pPr>
            <w:r>
              <w:rPr>
                <w:rFonts w:ascii="Arial" w:cs="Arial" w:eastAsia="Arial" w:hAnsi="Arial"/>
                <w:sz w:val="16"/>
                <w:szCs w:val="16"/>
                <w:color w:val="auto"/>
              </w:rPr>
              <w:t>Other, net</w:t>
            </w:r>
          </w:p>
        </w:tc>
        <w:tc>
          <w:tcPr>
            <w:tcW w:w="122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500" w:type="dxa"/>
            <w:vAlign w:val="bottom"/>
            <w:gridSpan w:val="2"/>
            <w:shd w:val="clear" w:color="auto" w:fill="CFF0FC"/>
          </w:tcPr>
          <w:p>
            <w:pPr>
              <w:jc w:val="right"/>
              <w:ind w:right="16"/>
              <w:spacing w:after="0"/>
              <w:rPr>
                <w:sz w:val="20"/>
                <w:szCs w:val="20"/>
                <w:color w:val="auto"/>
              </w:rPr>
            </w:pPr>
            <w:r>
              <w:rPr>
                <w:rFonts w:ascii="Arial" w:cs="Arial" w:eastAsia="Arial" w:hAnsi="Arial"/>
                <w:sz w:val="16"/>
                <w:szCs w:val="16"/>
                <w:color w:val="auto"/>
              </w:rPr>
              <w:t>(1)</w:t>
            </w:r>
          </w:p>
        </w:tc>
        <w:tc>
          <w:tcPr>
            <w:tcW w:w="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w:t>
            </w:r>
          </w:p>
        </w:tc>
        <w:tc>
          <w:tcPr>
            <w:tcW w:w="24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140" w:type="dxa"/>
            <w:vAlign w:val="bottom"/>
          </w:tcPr>
          <w:p>
            <w:pPr>
              <w:spacing w:after="0"/>
              <w:rPr>
                <w:sz w:val="17"/>
                <w:szCs w:val="17"/>
                <w:color w:val="auto"/>
              </w:rPr>
            </w:pPr>
          </w:p>
        </w:tc>
        <w:tc>
          <w:tcPr>
            <w:tcW w:w="4180" w:type="dxa"/>
            <w:vAlign w:val="bottom"/>
          </w:tcPr>
          <w:p>
            <w:pPr>
              <w:spacing w:after="0"/>
              <w:rPr>
                <w:sz w:val="20"/>
                <w:szCs w:val="20"/>
                <w:color w:val="auto"/>
              </w:rPr>
            </w:pPr>
            <w:r>
              <w:rPr>
                <w:rFonts w:ascii="Arial" w:cs="Arial" w:eastAsia="Arial" w:hAnsi="Arial"/>
                <w:sz w:val="16"/>
                <w:szCs w:val="16"/>
                <w:color w:val="auto"/>
              </w:rPr>
              <w:t>(Benefit) provision for income taxes</w:t>
            </w:r>
          </w:p>
        </w:tc>
        <w:tc>
          <w:tcPr>
            <w:tcW w:w="1220" w:type="dxa"/>
            <w:vAlign w:val="bottom"/>
          </w:tcPr>
          <w:p>
            <w:pPr>
              <w:spacing w:after="0"/>
              <w:rPr>
                <w:sz w:val="17"/>
                <w:szCs w:val="17"/>
                <w:color w:val="auto"/>
              </w:rPr>
            </w:pPr>
          </w:p>
        </w:tc>
        <w:tc>
          <w:tcPr>
            <w:tcW w:w="720" w:type="dxa"/>
            <w:vAlign w:val="bottom"/>
            <w:tcBorders>
              <w:top w:val="single" w:sz="8" w:color="auto"/>
              <w:bottom w:val="single" w:sz="8" w:color="auto"/>
            </w:tcBorders>
          </w:tcPr>
          <w:p>
            <w:pPr>
              <w:jc w:val="right"/>
              <w:ind w:right="568"/>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0"/>
              </w:rPr>
              <w:t>(110)</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104"/>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33</w:t>
            </w:r>
          </w:p>
        </w:tc>
        <w:tc>
          <w:tcPr>
            <w:tcW w:w="22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84"/>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220" w:type="dxa"/>
            <w:vAlign w:val="bottom"/>
            <w:vMerge w:val="restart"/>
          </w:tcPr>
          <w:p>
            <w:pPr>
              <w:jc w:val="right"/>
              <w:ind w:right="659"/>
              <w:spacing w:after="0"/>
              <w:rPr>
                <w:sz w:val="20"/>
                <w:szCs w:val="20"/>
                <w:color w:val="auto"/>
              </w:rPr>
            </w:pPr>
            <w:r>
              <w:rPr>
                <w:rFonts w:ascii="Arial" w:cs="Arial" w:eastAsia="Arial" w:hAnsi="Arial"/>
                <w:sz w:val="16"/>
                <w:szCs w:val="16"/>
                <w:color w:val="auto"/>
              </w:rPr>
              <w:t>78</w:t>
            </w:r>
          </w:p>
        </w:tc>
        <w:tc>
          <w:tcPr>
            <w:tcW w:w="7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0"/>
        </w:trPr>
        <w:tc>
          <w:tcPr>
            <w:tcW w:w="114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1140" w:type="dxa"/>
            <w:vAlign w:val="bottom"/>
            <w:tcBorders>
              <w:bottom w:val="single" w:sz="8" w:color="9A9A9A"/>
            </w:tcBorders>
          </w:tcPr>
          <w:p>
            <w:pPr>
              <w:spacing w:after="0"/>
              <w:rPr>
                <w:sz w:val="8"/>
                <w:szCs w:val="8"/>
                <w:color w:val="auto"/>
              </w:rPr>
            </w:pPr>
          </w:p>
        </w:tc>
        <w:tc>
          <w:tcPr>
            <w:tcW w:w="418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7253605</wp:posOffset>
            </wp:positionH>
            <wp:positionV relativeFrom="paragraph">
              <wp:posOffset>-27305</wp:posOffset>
            </wp:positionV>
            <wp:extent cx="33020" cy="406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-27305</wp:posOffset>
            </wp:positionV>
            <wp:extent cx="33020" cy="406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460"/>
          </w:cols>
          <w:pgMar w:left="240" w:top="123" w:right="199" w:bottom="1440" w:gutter="0" w:footer="0" w:header="0"/>
        </w:sectPr>
      </w:pPr>
    </w:p>
    <w:bookmarkStart w:id="78" w:name="page79"/>
    <w:bookmarkEnd w:id="78"/>
    <w:p>
      <w:pPr>
        <w:spacing w:after="0"/>
        <w:rPr>
          <w:sz w:val="20"/>
          <w:szCs w:val="20"/>
          <w:color w:val="auto"/>
        </w:rPr>
      </w:pPr>
      <w:r>
        <w:rPr>
          <w:rFonts w:ascii="Arial" w:cs="Arial" w:eastAsia="Arial" w:hAnsi="Arial"/>
          <w:sz w:val="16"/>
          <w:szCs w:val="16"/>
          <w:color w:val="auto"/>
        </w:rPr>
        <w:t>The significant components of deferred tax assets and liabilities were as follows (in millions):</w:t>
      </w:r>
    </w:p>
    <w:p>
      <w:pPr>
        <w:spacing w:after="0" w:line="288"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4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40" w:type="dxa"/>
            <w:vAlign w:val="bottom"/>
            <w:gridSpan w:val="4"/>
          </w:tcPr>
          <w:p>
            <w:pPr>
              <w:jc w:val="right"/>
              <w:ind w:right="207"/>
              <w:spacing w:after="0"/>
              <w:rPr>
                <w:sz w:val="20"/>
                <w:szCs w:val="20"/>
                <w:color w:val="auto"/>
              </w:rPr>
            </w:pPr>
            <w:r>
              <w:rPr>
                <w:rFonts w:ascii="Arial" w:cs="Arial" w:eastAsia="Arial" w:hAnsi="Arial"/>
                <w:sz w:val="13"/>
                <w:szCs w:val="13"/>
                <w:b w:val="1"/>
                <w:bCs w:val="1"/>
                <w:color w:val="auto"/>
              </w:rPr>
              <w:t>As of December 31,</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340" w:type="dxa"/>
            <w:vAlign w:val="bottom"/>
          </w:tcPr>
          <w:p>
            <w:pPr>
              <w:spacing w:after="0"/>
              <w:rPr>
                <w:sz w:val="13"/>
                <w:szCs w:val="13"/>
                <w:color w:val="auto"/>
              </w:rPr>
            </w:pPr>
          </w:p>
        </w:tc>
        <w:tc>
          <w:tcPr>
            <w:tcW w:w="1820" w:type="dxa"/>
            <w:vAlign w:val="bottom"/>
            <w:gridSpan w:val="2"/>
          </w:tcPr>
          <w:p>
            <w:pPr>
              <w:jc w:val="right"/>
              <w:spacing w:after="0"/>
              <w:rPr>
                <w:sz w:val="20"/>
                <w:szCs w:val="20"/>
                <w:color w:val="auto"/>
              </w:rPr>
            </w:pPr>
            <w:r>
              <w:rPr>
                <w:rFonts w:ascii="Arial" w:cs="Arial" w:eastAsia="Arial" w:hAnsi="Arial"/>
                <w:sz w:val="13"/>
                <w:szCs w:val="13"/>
                <w:b w:val="1"/>
                <w:bCs w:val="1"/>
                <w:color w:val="auto"/>
              </w:rPr>
              <w:t>2017</w:t>
            </w: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b w:val="1"/>
                <w:bCs w:val="1"/>
                <w:color w:val="auto"/>
              </w:rPr>
              <w:t>2016</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Deferred tax assets</w:t>
            </w:r>
          </w:p>
        </w:tc>
        <w:tc>
          <w:tcPr>
            <w:tcW w:w="1100" w:type="dxa"/>
            <w:vAlign w:val="bottom"/>
            <w:tcBorders>
              <w:top w:val="single" w:sz="8" w:color="CFF0FC"/>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42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42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340" w:type="dxa"/>
            <w:vAlign w:val="bottom"/>
          </w:tcPr>
          <w:p>
            <w:pPr>
              <w:ind w:left="200"/>
              <w:spacing w:after="0"/>
              <w:rPr>
                <w:sz w:val="20"/>
                <w:szCs w:val="20"/>
                <w:color w:val="auto"/>
              </w:rPr>
            </w:pPr>
            <w:r>
              <w:rPr>
                <w:rFonts w:ascii="Arial" w:cs="Arial" w:eastAsia="Arial" w:hAnsi="Arial"/>
                <w:sz w:val="16"/>
                <w:szCs w:val="16"/>
                <w:color w:val="auto"/>
              </w:rPr>
              <w:t>Pension and postretirement obligations</w:t>
            </w:r>
          </w:p>
        </w:tc>
        <w:tc>
          <w:tcPr>
            <w:tcW w:w="1820" w:type="dxa"/>
            <w:vAlign w:val="bottom"/>
            <w:gridSpan w:val="2"/>
          </w:tcPr>
          <w:p>
            <w:pPr>
              <w:jc w:val="right"/>
              <w:ind w:right="568"/>
              <w:spacing w:after="0"/>
              <w:rPr>
                <w:sz w:val="20"/>
                <w:szCs w:val="20"/>
                <w:color w:val="auto"/>
              </w:rPr>
            </w:pPr>
            <w:r>
              <w:rPr>
                <w:rFonts w:ascii="Arial" w:cs="Arial" w:eastAsia="Arial" w:hAnsi="Arial"/>
                <w:sz w:val="16"/>
                <w:szCs w:val="16"/>
                <w:color w:val="auto"/>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96</w:t>
            </w:r>
          </w:p>
        </w:tc>
        <w:tc>
          <w:tcPr>
            <w:tcW w:w="180" w:type="dxa"/>
            <w:vAlign w:val="bottom"/>
          </w:tcPr>
          <w:p>
            <w:pPr>
              <w:spacing w:after="0"/>
              <w:rPr>
                <w:sz w:val="17"/>
                <w:szCs w:val="17"/>
                <w:color w:val="auto"/>
              </w:rPr>
            </w:pPr>
          </w:p>
        </w:tc>
        <w:tc>
          <w:tcPr>
            <w:tcW w:w="720" w:type="dxa"/>
            <w:vAlign w:val="bottom"/>
          </w:tcPr>
          <w:p>
            <w:pPr>
              <w:jc w:val="right"/>
              <w:ind w:right="567"/>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162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3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Restructuring programs</w:t>
            </w:r>
          </w:p>
        </w:tc>
        <w:tc>
          <w:tcPr>
            <w:tcW w:w="11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18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340" w:type="dxa"/>
            <w:vAlign w:val="bottom"/>
          </w:tcPr>
          <w:p>
            <w:pPr>
              <w:ind w:left="200"/>
              <w:spacing w:after="0"/>
              <w:rPr>
                <w:sz w:val="20"/>
                <w:szCs w:val="20"/>
                <w:color w:val="auto"/>
              </w:rPr>
            </w:pPr>
            <w:r>
              <w:rPr>
                <w:rFonts w:ascii="Arial" w:cs="Arial" w:eastAsia="Arial" w:hAnsi="Arial"/>
                <w:sz w:val="16"/>
                <w:szCs w:val="16"/>
                <w:color w:val="auto"/>
              </w:rPr>
              <w:t>Foreign tax credit</w:t>
            </w:r>
          </w:p>
        </w:tc>
        <w:tc>
          <w:tcPr>
            <w:tcW w:w="1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343</w:t>
            </w: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335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3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Inventories</w:t>
            </w:r>
          </w:p>
        </w:tc>
        <w:tc>
          <w:tcPr>
            <w:tcW w:w="11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w:t>
            </w:r>
          </w:p>
        </w:tc>
        <w:tc>
          <w:tcPr>
            <w:tcW w:w="18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340" w:type="dxa"/>
            <w:vAlign w:val="bottom"/>
          </w:tcPr>
          <w:p>
            <w:pPr>
              <w:ind w:left="200"/>
              <w:spacing w:after="0"/>
              <w:rPr>
                <w:sz w:val="20"/>
                <w:szCs w:val="20"/>
                <w:color w:val="auto"/>
              </w:rPr>
            </w:pPr>
            <w:r>
              <w:rPr>
                <w:rFonts w:ascii="Arial" w:cs="Arial" w:eastAsia="Arial" w:hAnsi="Arial"/>
                <w:sz w:val="16"/>
                <w:szCs w:val="16"/>
                <w:color w:val="auto"/>
              </w:rPr>
              <w:t>Investment tax credit</w:t>
            </w:r>
          </w:p>
        </w:tc>
        <w:tc>
          <w:tcPr>
            <w:tcW w:w="1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58</w:t>
            </w: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71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3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Employee deferred compensation</w:t>
            </w:r>
          </w:p>
        </w:tc>
        <w:tc>
          <w:tcPr>
            <w:tcW w:w="11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w:t>
            </w:r>
          </w:p>
        </w:tc>
        <w:tc>
          <w:tcPr>
            <w:tcW w:w="18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340" w:type="dxa"/>
            <w:vAlign w:val="bottom"/>
          </w:tcPr>
          <w:p>
            <w:pPr>
              <w:ind w:left="200"/>
              <w:spacing w:after="0"/>
              <w:rPr>
                <w:sz w:val="20"/>
                <w:szCs w:val="20"/>
                <w:color w:val="auto"/>
              </w:rPr>
            </w:pPr>
            <w:r>
              <w:rPr>
                <w:rFonts w:ascii="Arial" w:cs="Arial" w:eastAsia="Arial" w:hAnsi="Arial"/>
                <w:sz w:val="16"/>
                <w:szCs w:val="16"/>
                <w:color w:val="auto"/>
              </w:rPr>
              <w:t>Depreciation</w:t>
            </w:r>
          </w:p>
        </w:tc>
        <w:tc>
          <w:tcPr>
            <w:tcW w:w="1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68</w:t>
            </w: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63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3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Research and development costs</w:t>
            </w:r>
          </w:p>
        </w:tc>
        <w:tc>
          <w:tcPr>
            <w:tcW w:w="11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w:t>
            </w:r>
          </w:p>
        </w:tc>
        <w:tc>
          <w:tcPr>
            <w:tcW w:w="18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144</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340" w:type="dxa"/>
            <w:vAlign w:val="bottom"/>
          </w:tcPr>
          <w:p>
            <w:pPr>
              <w:ind w:left="200"/>
              <w:spacing w:after="0"/>
              <w:rPr>
                <w:sz w:val="20"/>
                <w:szCs w:val="20"/>
                <w:color w:val="auto"/>
              </w:rPr>
            </w:pPr>
            <w:r>
              <w:rPr>
                <w:rFonts w:ascii="Arial" w:cs="Arial" w:eastAsia="Arial" w:hAnsi="Arial"/>
                <w:sz w:val="16"/>
                <w:szCs w:val="16"/>
                <w:color w:val="auto"/>
              </w:rPr>
              <w:t>Tax loss carryforwards</w:t>
            </w:r>
          </w:p>
        </w:tc>
        <w:tc>
          <w:tcPr>
            <w:tcW w:w="1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307</w:t>
            </w: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435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3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Other deferred revenue</w:t>
            </w:r>
          </w:p>
        </w:tc>
        <w:tc>
          <w:tcPr>
            <w:tcW w:w="11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18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340" w:type="dxa"/>
            <w:vAlign w:val="bottom"/>
            <w:tcBorders>
              <w:bottom w:val="single" w:sz="8" w:color="CFF0FC"/>
            </w:tcBorders>
          </w:tcPr>
          <w:p>
            <w:pPr>
              <w:ind w:left="200"/>
              <w:spacing w:after="0"/>
              <w:rPr>
                <w:sz w:val="20"/>
                <w:szCs w:val="20"/>
                <w:color w:val="auto"/>
              </w:rPr>
            </w:pPr>
            <w:r>
              <w:rPr>
                <w:rFonts w:ascii="Arial" w:cs="Arial" w:eastAsia="Arial" w:hAnsi="Arial"/>
                <w:sz w:val="16"/>
                <w:szCs w:val="16"/>
                <w:color w:val="auto"/>
              </w:rPr>
              <w:t>Other</w:t>
            </w:r>
          </w:p>
        </w:tc>
        <w:tc>
          <w:tcPr>
            <w:tcW w:w="1100" w:type="dxa"/>
            <w:vAlign w:val="bottom"/>
            <w:tcBorders>
              <w:bottom w:val="single" w:sz="8" w:color="CFF0FC"/>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w:t>
            </w:r>
          </w:p>
        </w:tc>
        <w:tc>
          <w:tcPr>
            <w:tcW w:w="180" w:type="dxa"/>
            <w:vAlign w:val="bottom"/>
            <w:tcBorders>
              <w:bottom w:val="single" w:sz="8" w:color="CFF0FC"/>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w:t>
            </w:r>
          </w:p>
        </w:tc>
        <w:tc>
          <w:tcPr>
            <w:tcW w:w="8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3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Total deferred tax assets</w:t>
            </w:r>
          </w:p>
        </w:tc>
        <w:tc>
          <w:tcPr>
            <w:tcW w:w="1100" w:type="dxa"/>
            <w:vAlign w:val="bottom"/>
            <w:tcBorders>
              <w:bottom w:val="single" w:sz="8" w:color="CFF0FC"/>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jc w:val="right"/>
              <w:ind w:right="568"/>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94"/>
              </w:rPr>
              <w:t>1,066</w:t>
            </w:r>
          </w:p>
        </w:tc>
        <w:tc>
          <w:tcPr>
            <w:tcW w:w="180" w:type="dxa"/>
            <w:vAlign w:val="bottom"/>
            <w:tcBorders>
              <w:bottom w:val="single" w:sz="8" w:color="CFF0FC"/>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jc w:val="right"/>
              <w:ind w:right="567"/>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94"/>
              </w:rPr>
              <w:t>1,353</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vMerge w:val="restart"/>
          </w:tcPr>
          <w:p>
            <w:pPr>
              <w:spacing w:after="0"/>
              <w:rPr>
                <w:sz w:val="15"/>
                <w:szCs w:val="15"/>
                <w:color w:val="auto"/>
              </w:rPr>
            </w:pPr>
          </w:p>
        </w:tc>
        <w:tc>
          <w:tcPr>
            <w:tcW w:w="4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43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Deferred tax liabilities</w:t>
            </w:r>
          </w:p>
        </w:tc>
        <w:tc>
          <w:tcPr>
            <w:tcW w:w="11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340" w:type="dxa"/>
            <w:vAlign w:val="bottom"/>
          </w:tcPr>
          <w:p>
            <w:pPr>
              <w:ind w:left="200"/>
              <w:spacing w:after="0"/>
              <w:rPr>
                <w:sz w:val="20"/>
                <w:szCs w:val="20"/>
                <w:color w:val="auto"/>
              </w:rPr>
            </w:pPr>
            <w:r>
              <w:rPr>
                <w:rFonts w:ascii="Arial" w:cs="Arial" w:eastAsia="Arial" w:hAnsi="Arial"/>
                <w:sz w:val="16"/>
                <w:szCs w:val="16"/>
                <w:color w:val="auto"/>
              </w:rPr>
              <w:t>Leasing</w:t>
            </w:r>
          </w:p>
        </w:tc>
        <w:tc>
          <w:tcPr>
            <w:tcW w:w="1820" w:type="dxa"/>
            <w:vAlign w:val="bottom"/>
            <w:gridSpan w:val="2"/>
          </w:tcPr>
          <w:p>
            <w:pPr>
              <w:jc w:val="right"/>
              <w:ind w:right="568"/>
              <w:spacing w:after="0"/>
              <w:rPr>
                <w:sz w:val="20"/>
                <w:szCs w:val="20"/>
                <w:color w:val="auto"/>
              </w:rPr>
            </w:pPr>
            <w:r>
              <w:rPr>
                <w:rFonts w:ascii="Arial" w:cs="Arial" w:eastAsia="Arial" w:hAnsi="Arial"/>
                <w:sz w:val="16"/>
                <w:szCs w:val="16"/>
                <w:color w:val="auto"/>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2</w:t>
            </w:r>
          </w:p>
        </w:tc>
        <w:tc>
          <w:tcPr>
            <w:tcW w:w="180" w:type="dxa"/>
            <w:vAlign w:val="bottom"/>
          </w:tcPr>
          <w:p>
            <w:pPr>
              <w:spacing w:after="0"/>
              <w:rPr>
                <w:sz w:val="17"/>
                <w:szCs w:val="17"/>
                <w:color w:val="auto"/>
              </w:rPr>
            </w:pPr>
          </w:p>
        </w:tc>
        <w:tc>
          <w:tcPr>
            <w:tcW w:w="720" w:type="dxa"/>
            <w:vAlign w:val="bottom"/>
          </w:tcPr>
          <w:p>
            <w:pPr>
              <w:jc w:val="right"/>
              <w:ind w:right="567"/>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3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Goodwill/intangibles</w:t>
            </w:r>
          </w:p>
        </w:tc>
        <w:tc>
          <w:tcPr>
            <w:tcW w:w="11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w:t>
            </w:r>
          </w:p>
        </w:tc>
        <w:tc>
          <w:tcPr>
            <w:tcW w:w="18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340" w:type="dxa"/>
            <w:vAlign w:val="bottom"/>
            <w:tcBorders>
              <w:bottom w:val="single" w:sz="8" w:color="CFF0FC"/>
            </w:tcBorders>
          </w:tcPr>
          <w:p>
            <w:pPr>
              <w:ind w:left="200"/>
              <w:spacing w:after="0"/>
              <w:rPr>
                <w:sz w:val="20"/>
                <w:szCs w:val="20"/>
                <w:color w:val="auto"/>
              </w:rPr>
            </w:pPr>
            <w:r>
              <w:rPr>
                <w:rFonts w:ascii="Arial" w:cs="Arial" w:eastAsia="Arial" w:hAnsi="Arial"/>
                <w:sz w:val="16"/>
                <w:szCs w:val="16"/>
                <w:color w:val="auto"/>
              </w:rPr>
              <w:t>Unremitted foreign earnings</w:t>
            </w:r>
          </w:p>
        </w:tc>
        <w:tc>
          <w:tcPr>
            <w:tcW w:w="1100" w:type="dxa"/>
            <w:vAlign w:val="bottom"/>
            <w:tcBorders>
              <w:bottom w:val="single" w:sz="8" w:color="CFF0FC"/>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180" w:type="dxa"/>
            <w:vAlign w:val="bottom"/>
            <w:tcBorders>
              <w:bottom w:val="single" w:sz="8" w:color="CFF0FC"/>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w:t>
            </w:r>
          </w:p>
        </w:tc>
        <w:tc>
          <w:tcPr>
            <w:tcW w:w="8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340" w:type="dxa"/>
            <w:vAlign w:val="bottom"/>
            <w:shd w:val="clear" w:color="auto" w:fill="CFF0FC"/>
          </w:tcPr>
          <w:p>
            <w:pPr>
              <w:spacing w:after="0"/>
              <w:rPr>
                <w:sz w:val="20"/>
                <w:szCs w:val="20"/>
                <w:color w:val="auto"/>
              </w:rPr>
            </w:pPr>
            <w:r>
              <w:rPr>
                <w:rFonts w:ascii="Arial" w:cs="Arial" w:eastAsia="Arial" w:hAnsi="Arial"/>
                <w:sz w:val="16"/>
                <w:szCs w:val="16"/>
                <w:color w:val="auto"/>
              </w:rPr>
              <w:t>Total deferred tax liabilities</w:t>
            </w:r>
          </w:p>
        </w:tc>
        <w:tc>
          <w:tcPr>
            <w:tcW w:w="1100" w:type="dxa"/>
            <w:vAlign w:val="bottom"/>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38</w:t>
            </w:r>
          </w:p>
        </w:tc>
        <w:tc>
          <w:tcPr>
            <w:tcW w:w="180" w:type="dxa"/>
            <w:vAlign w:val="bottom"/>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125</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360" w:type="dxa"/>
            <w:vAlign w:val="bottom"/>
            <w:gridSpan w:val="2"/>
          </w:tcPr>
          <w:p>
            <w:pPr>
              <w:spacing w:after="0"/>
              <w:rPr>
                <w:sz w:val="20"/>
                <w:szCs w:val="20"/>
                <w:color w:val="auto"/>
              </w:rPr>
            </w:pPr>
            <w:r>
              <w:rPr>
                <w:rFonts w:ascii="Arial" w:cs="Arial" w:eastAsia="Arial" w:hAnsi="Arial"/>
                <w:sz w:val="16"/>
                <w:szCs w:val="16"/>
                <w:color w:val="auto"/>
              </w:rPr>
              <w:t>Net deferred tax assets before valuation allowance</w:t>
            </w:r>
          </w:p>
        </w:tc>
        <w:tc>
          <w:tcPr>
            <w:tcW w:w="1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w w:val="94"/>
              </w:rPr>
              <w:t>1,028</w:t>
            </w: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w w:val="94"/>
              </w:rPr>
              <w:t>1,228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340" w:type="dxa"/>
            <w:vAlign w:val="bottom"/>
            <w:shd w:val="clear" w:color="auto" w:fill="CFF0FC"/>
          </w:tcPr>
          <w:p>
            <w:pPr>
              <w:spacing w:after="0"/>
              <w:rPr>
                <w:sz w:val="20"/>
                <w:szCs w:val="20"/>
                <w:color w:val="auto"/>
              </w:rPr>
            </w:pPr>
            <w:r>
              <w:rPr>
                <w:rFonts w:ascii="Arial" w:cs="Arial" w:eastAsia="Arial" w:hAnsi="Arial"/>
                <w:sz w:val="16"/>
                <w:szCs w:val="16"/>
                <w:color w:val="auto"/>
              </w:rPr>
              <w:t>Valuation allowance</w:t>
            </w:r>
          </w:p>
        </w:tc>
        <w:tc>
          <w:tcPr>
            <w:tcW w:w="1100" w:type="dxa"/>
            <w:vAlign w:val="bottom"/>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856</w:t>
            </w:r>
          </w:p>
        </w:tc>
        <w:tc>
          <w:tcPr>
            <w:tcW w:w="180" w:type="dxa"/>
            <w:vAlign w:val="bottom"/>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94"/>
              </w:rPr>
              <w:t>1,209</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340" w:type="dxa"/>
            <w:vAlign w:val="bottom"/>
          </w:tcPr>
          <w:p>
            <w:pPr>
              <w:ind w:left="200"/>
              <w:spacing w:after="0"/>
              <w:rPr>
                <w:sz w:val="20"/>
                <w:szCs w:val="20"/>
                <w:color w:val="auto"/>
              </w:rPr>
            </w:pPr>
            <w:r>
              <w:rPr>
                <w:rFonts w:ascii="Arial" w:cs="Arial" w:eastAsia="Arial" w:hAnsi="Arial"/>
                <w:sz w:val="16"/>
                <w:szCs w:val="16"/>
                <w:color w:val="auto"/>
              </w:rPr>
              <w:t>Net deferred tax assets</w:t>
            </w:r>
          </w:p>
        </w:tc>
        <w:tc>
          <w:tcPr>
            <w:tcW w:w="1100" w:type="dxa"/>
            <w:vAlign w:val="bottom"/>
          </w:tcPr>
          <w:p>
            <w:pPr>
              <w:spacing w:after="0"/>
              <w:rPr>
                <w:sz w:val="17"/>
                <w:szCs w:val="17"/>
                <w:color w:val="auto"/>
              </w:rPr>
            </w:pPr>
          </w:p>
        </w:tc>
        <w:tc>
          <w:tcPr>
            <w:tcW w:w="720" w:type="dxa"/>
            <w:vAlign w:val="bottom"/>
            <w:tcBorders>
              <w:bottom w:val="single" w:sz="8" w:color="auto"/>
            </w:tcBorders>
          </w:tcPr>
          <w:p>
            <w:pPr>
              <w:jc w:val="right"/>
              <w:ind w:right="568"/>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w:t>
            </w:r>
          </w:p>
        </w:tc>
        <w:tc>
          <w:tcPr>
            <w:tcW w:w="180" w:type="dxa"/>
            <w:vAlign w:val="bottom"/>
          </w:tcPr>
          <w:p>
            <w:pPr>
              <w:spacing w:after="0"/>
              <w:rPr>
                <w:sz w:val="17"/>
                <w:szCs w:val="17"/>
                <w:color w:val="auto"/>
              </w:rPr>
            </w:pPr>
          </w:p>
        </w:tc>
        <w:tc>
          <w:tcPr>
            <w:tcW w:w="720" w:type="dxa"/>
            <w:vAlign w:val="bottom"/>
            <w:tcBorders>
              <w:bottom w:val="single" w:sz="8" w:color="auto"/>
            </w:tcBorders>
          </w:tcPr>
          <w:p>
            <w:pPr>
              <w:jc w:val="right"/>
              <w:ind w:right="567"/>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Deferred tax assets (liabilities) are reported in the following components within the Consolidated Statement of Financial Position (in millions):</w:t>
      </w:r>
    </w:p>
    <w:p>
      <w:pPr>
        <w:spacing w:after="0" w:line="235" w:lineRule="exact"/>
        <w:rPr>
          <w:sz w:val="20"/>
          <w:szCs w:val="20"/>
          <w:color w:val="auto"/>
        </w:rPr>
      </w:pPr>
    </w:p>
    <w:tbl>
      <w:tblPr>
        <w:tblLayout w:type="fixed"/>
        <w:tblInd w:w="1720" w:type="dxa"/>
        <w:tblCellMar>
          <w:top w:w="0" w:type="dxa"/>
          <w:left w:w="0" w:type="dxa"/>
          <w:bottom w:w="0" w:type="dxa"/>
          <w:right w:w="0" w:type="dxa"/>
        </w:tblCellMar>
      </w:tblPr>
      <w:tr>
        <w:trPr>
          <w:trHeight w:val="205"/>
        </w:trPr>
        <w:tc>
          <w:tcPr>
            <w:tcW w:w="35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140" w:type="dxa"/>
            <w:vAlign w:val="bottom"/>
            <w:gridSpan w:val="4"/>
          </w:tcPr>
          <w:p>
            <w:pPr>
              <w:jc w:val="right"/>
              <w:ind w:right="163"/>
              <w:spacing w:after="0"/>
              <w:rPr>
                <w:sz w:val="20"/>
                <w:szCs w:val="20"/>
                <w:color w:val="auto"/>
              </w:rPr>
            </w:pPr>
            <w:r>
              <w:rPr>
                <w:rFonts w:ascii="Arial" w:cs="Arial" w:eastAsia="Arial" w:hAnsi="Arial"/>
                <w:sz w:val="16"/>
                <w:szCs w:val="16"/>
                <w:b w:val="1"/>
                <w:bCs w:val="1"/>
                <w:color w:val="auto"/>
              </w:rPr>
              <w:t>As of December 31,</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0"/>
        </w:trPr>
        <w:tc>
          <w:tcPr>
            <w:tcW w:w="3580" w:type="dxa"/>
            <w:vAlign w:val="bottom"/>
          </w:tcPr>
          <w:p>
            <w:pPr>
              <w:spacing w:after="0"/>
              <w:rPr>
                <w:sz w:val="18"/>
                <w:szCs w:val="18"/>
                <w:color w:val="auto"/>
              </w:rPr>
            </w:pPr>
          </w:p>
        </w:tc>
        <w:tc>
          <w:tcPr>
            <w:tcW w:w="2680" w:type="dxa"/>
            <w:vAlign w:val="bottom"/>
            <w:gridSpan w:val="2"/>
          </w:tcPr>
          <w:p>
            <w:pPr>
              <w:jc w:val="right"/>
              <w:ind w:right="3"/>
              <w:spacing w:after="0"/>
              <w:rPr>
                <w:sz w:val="20"/>
                <w:szCs w:val="20"/>
                <w:color w:val="auto"/>
              </w:rPr>
            </w:pPr>
            <w:r>
              <w:rPr>
                <w:rFonts w:ascii="Arial" w:cs="Arial" w:eastAsia="Arial" w:hAnsi="Arial"/>
                <w:sz w:val="16"/>
                <w:szCs w:val="16"/>
                <w:b w:val="1"/>
                <w:bCs w:val="1"/>
                <w:color w:val="auto"/>
              </w:rPr>
              <w:t>2017</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23"/>
              <w:spacing w:after="0"/>
              <w:rPr>
                <w:sz w:val="20"/>
                <w:szCs w:val="20"/>
                <w:color w:val="auto"/>
              </w:rPr>
            </w:pPr>
            <w:r>
              <w:rPr>
                <w:rFonts w:ascii="Arial" w:cs="Arial" w:eastAsia="Arial" w:hAnsi="Arial"/>
                <w:sz w:val="16"/>
                <w:szCs w:val="16"/>
                <w:b w:val="1"/>
                <w:bCs w:val="1"/>
                <w:color w:val="auto"/>
              </w:rPr>
              <w:t>2016</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8"/>
        </w:trPr>
        <w:tc>
          <w:tcPr>
            <w:tcW w:w="3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Deferred income taxes</w:t>
            </w:r>
          </w:p>
        </w:tc>
        <w:tc>
          <w:tcPr>
            <w:tcW w:w="1880" w:type="dxa"/>
            <w:vAlign w:val="bottom"/>
            <w:tcBorders>
              <w:top w:val="single" w:sz="8" w:color="CFF0FC"/>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jc w:val="right"/>
              <w:ind w:right="643"/>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188</w:t>
            </w:r>
          </w:p>
        </w:tc>
        <w:tc>
          <w:tcPr>
            <w:tcW w:w="180" w:type="dxa"/>
            <w:vAlign w:val="bottom"/>
            <w:tcBorders>
              <w:top w:val="single" w:sz="8" w:color="CFF0FC"/>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jc w:val="right"/>
              <w:ind w:right="663"/>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35</w:t>
            </w:r>
          </w:p>
        </w:tc>
        <w:tc>
          <w:tcPr>
            <w:tcW w:w="80" w:type="dxa"/>
            <w:vAlign w:val="bottom"/>
            <w:tcBorders>
              <w:top w:val="single" w:sz="8" w:color="CFF0FC"/>
            </w:tcBorders>
            <w:shd w:val="clear" w:color="auto" w:fill="CFF0FC"/>
          </w:tcPr>
          <w:p>
            <w:pPr>
              <w:spacing w:after="0"/>
              <w:rPr>
                <w:sz w:val="17"/>
                <w:szCs w:val="17"/>
                <w:color w:val="auto"/>
              </w:rPr>
            </w:pPr>
          </w:p>
        </w:tc>
      </w:tr>
      <w:tr>
        <w:trPr>
          <w:trHeight w:val="205"/>
        </w:trPr>
        <w:tc>
          <w:tcPr>
            <w:tcW w:w="3580" w:type="dxa"/>
            <w:vAlign w:val="bottom"/>
          </w:tcPr>
          <w:p>
            <w:pPr>
              <w:spacing w:after="0"/>
              <w:rPr>
                <w:sz w:val="20"/>
                <w:szCs w:val="20"/>
                <w:color w:val="auto"/>
              </w:rPr>
            </w:pPr>
            <w:r>
              <w:rPr>
                <w:rFonts w:ascii="Arial" w:cs="Arial" w:eastAsia="Arial" w:hAnsi="Arial"/>
                <w:sz w:val="16"/>
                <w:szCs w:val="16"/>
                <w:color w:val="auto"/>
              </w:rPr>
              <w:t>Other long-term liabilities</w:t>
            </w:r>
          </w:p>
        </w:tc>
        <w:tc>
          <w:tcPr>
            <w:tcW w:w="1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6"/>
                <w:szCs w:val="16"/>
                <w:color w:val="auto"/>
              </w:rPr>
              <w:t>(16)</w:t>
            </w:r>
          </w:p>
        </w:tc>
        <w:tc>
          <w:tcPr>
            <w:tcW w:w="820" w:type="dxa"/>
            <w:vAlign w:val="bottom"/>
          </w:tcPr>
          <w:p>
            <w:pPr>
              <w:spacing w:after="0"/>
              <w:rPr>
                <w:sz w:val="17"/>
                <w:szCs w:val="17"/>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6"/>
                <w:szCs w:val="16"/>
                <w:color w:val="auto"/>
              </w:rPr>
              <w:t>(16)</w:t>
            </w:r>
          </w:p>
        </w:tc>
      </w:tr>
      <w:tr>
        <w:trPr>
          <w:trHeight w:val="198"/>
        </w:trPr>
        <w:tc>
          <w:tcPr>
            <w:tcW w:w="35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Net deferred tax assets</w:t>
            </w:r>
          </w:p>
        </w:tc>
        <w:tc>
          <w:tcPr>
            <w:tcW w:w="1880" w:type="dxa"/>
            <w:vAlign w:val="bottom"/>
            <w:tcBorders>
              <w:top w:val="single" w:sz="8" w:color="CFF0FC"/>
              <w:bottom w:val="single" w:sz="8" w:color="CFF0FC"/>
            </w:tcBorders>
            <w:shd w:val="clear" w:color="auto" w:fill="CFF0FC"/>
          </w:tcPr>
          <w:p>
            <w:pPr>
              <w:spacing w:after="0"/>
              <w:rPr>
                <w:sz w:val="17"/>
                <w:szCs w:val="17"/>
                <w:color w:val="auto"/>
              </w:rPr>
            </w:pPr>
          </w:p>
        </w:tc>
        <w:tc>
          <w:tcPr>
            <w:tcW w:w="800" w:type="dxa"/>
            <w:vAlign w:val="bottom"/>
            <w:tcBorders>
              <w:top w:val="single" w:sz="8" w:color="auto"/>
              <w:bottom w:val="single" w:sz="8" w:color="auto"/>
            </w:tcBorders>
            <w:shd w:val="clear" w:color="auto" w:fill="CFF0FC"/>
          </w:tcPr>
          <w:p>
            <w:pPr>
              <w:jc w:val="right"/>
              <w:ind w:right="643"/>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172</w:t>
            </w:r>
          </w:p>
        </w:tc>
        <w:tc>
          <w:tcPr>
            <w:tcW w:w="180" w:type="dxa"/>
            <w:vAlign w:val="bottom"/>
            <w:tcBorders>
              <w:top w:val="single" w:sz="8" w:color="CFF0FC"/>
              <w:bottom w:val="single" w:sz="8" w:color="CFF0FC"/>
            </w:tcBorders>
            <w:shd w:val="clear" w:color="auto" w:fill="CFF0FC"/>
          </w:tcPr>
          <w:p>
            <w:pPr>
              <w:spacing w:after="0"/>
              <w:rPr>
                <w:sz w:val="17"/>
                <w:szCs w:val="17"/>
                <w:color w:val="auto"/>
              </w:rPr>
            </w:pPr>
          </w:p>
        </w:tc>
        <w:tc>
          <w:tcPr>
            <w:tcW w:w="820" w:type="dxa"/>
            <w:vAlign w:val="bottom"/>
            <w:tcBorders>
              <w:top w:val="single" w:sz="8" w:color="auto"/>
              <w:bottom w:val="single" w:sz="8" w:color="auto"/>
            </w:tcBorders>
            <w:shd w:val="clear" w:color="auto" w:fill="CFF0FC"/>
          </w:tcPr>
          <w:p>
            <w:pPr>
              <w:jc w:val="right"/>
              <w:ind w:right="663"/>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w:t>
            </w: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r>
      <w:tr>
        <w:trPr>
          <w:trHeight w:val="20"/>
        </w:trPr>
        <w:tc>
          <w:tcPr>
            <w:tcW w:w="35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02" w:lineRule="exact"/>
        <w:rPr>
          <w:sz w:val="20"/>
          <w:szCs w:val="20"/>
          <w:color w:val="auto"/>
        </w:rPr>
      </w:pPr>
    </w:p>
    <w:p>
      <w:pPr>
        <w:ind w:right="240"/>
        <w:spacing w:after="0" w:line="292" w:lineRule="auto"/>
        <w:rPr>
          <w:sz w:val="20"/>
          <w:szCs w:val="20"/>
          <w:color w:val="auto"/>
        </w:rPr>
      </w:pPr>
      <w:r>
        <w:rPr>
          <w:rFonts w:ascii="Arial" w:cs="Arial" w:eastAsia="Arial" w:hAnsi="Arial"/>
          <w:sz w:val="15"/>
          <w:szCs w:val="15"/>
          <w:color w:val="auto"/>
        </w:rPr>
        <w:t>As of December 31, 2017, Kodak had available domestic and foreign NOL carry-forwards for income tax purposes of approximately $1,375 million, of which approximately $542 million have an indefinite carry-forward period. The remaining $833 million expire between the years 2018 and 2037. As of December 31, 2017, Kodak had unused foreign tax credits and investment tax credits of $343 million and $58 million, respectively, with various expiration dates through 2032.</w:t>
      </w:r>
    </w:p>
    <w:p>
      <w:pPr>
        <w:spacing w:after="0" w:line="168" w:lineRule="exact"/>
        <w:rPr>
          <w:sz w:val="20"/>
          <w:szCs w:val="20"/>
          <w:color w:val="auto"/>
        </w:rPr>
      </w:pPr>
    </w:p>
    <w:p>
      <w:pPr>
        <w:ind w:right="620"/>
        <w:spacing w:after="0" w:line="284" w:lineRule="auto"/>
        <w:rPr>
          <w:sz w:val="20"/>
          <w:szCs w:val="20"/>
          <w:color w:val="auto"/>
        </w:rPr>
      </w:pPr>
      <w:r>
        <w:rPr>
          <w:rFonts w:ascii="Arial" w:cs="Arial" w:eastAsia="Arial" w:hAnsi="Arial"/>
          <w:sz w:val="15"/>
          <w:szCs w:val="15"/>
          <w:color w:val="auto"/>
        </w:rPr>
        <w:t>Utilization of post-emergence NOL carry-forwards and tax credits may be subject to limitations in the event of significant changes in stock ownership of the Company in the future. Section 382 of the Internal Revenue Code of 1986, as amended, imposes annual limitations on the utilization of NOL carryforwards, other tax carryforwards, and certain built-in losses as defined under that Section, upon an ownership change. In general terms, an ownership change may result from transactions that increase the aggregate ownership of certain stockholders in Kodak’s stock by more than 50 percentage points over a three-year testing period.</w:t>
      </w:r>
    </w:p>
    <w:p>
      <w:pPr>
        <w:spacing w:after="0" w:line="175"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The 2017 Tax Act includes a one-time transition tax on the mandatory deemed repatriation of cumulative foreign earnings as of December 31, 2017. The one-time transition tax as of December 31, 2017 resulted in the recognition of a previously recorded deferred tax liability on the undistributed foreign earnings and was fully offset by Kodak’s U.S. valuation allowance, resulting in no net tax benefit. Kodak had a deferred tax liability (net of related foreign tax credits) of $56 million on the foreign subsidiaries’ undistributed earnings as of December 31, 2016. Kodak has a deferred tax liability of $20 million for the potential foreign withholding taxes on the undistributed earnings as of December 31, 2017 and 2016.</w:t>
      </w:r>
    </w:p>
    <w:p>
      <w:pPr>
        <w:spacing w:after="0" w:line="192" w:lineRule="exact"/>
        <w:rPr>
          <w:sz w:val="20"/>
          <w:szCs w:val="20"/>
          <w:color w:val="auto"/>
        </w:rPr>
      </w:pPr>
    </w:p>
    <w:p>
      <w:pPr>
        <w:ind w:right="120"/>
        <w:spacing w:after="0" w:line="266" w:lineRule="auto"/>
        <w:rPr>
          <w:sz w:val="20"/>
          <w:szCs w:val="20"/>
          <w:color w:val="auto"/>
        </w:rPr>
      </w:pPr>
      <w:r>
        <w:rPr>
          <w:rFonts w:ascii="Arial" w:cs="Arial" w:eastAsia="Arial" w:hAnsi="Arial"/>
          <w:sz w:val="16"/>
          <w:szCs w:val="16"/>
          <w:color w:val="auto"/>
        </w:rPr>
        <w:t>Kodak’s valuation allowance as of December 31, 2017 was $856 million. Of this amount, $159 million was attributable to Kodak’s net deferred tax assets outside the U.S. of $353 million, and $697 million related to Kodak’s net deferred tax assets in the U.S. of $675 million, for which Kodak believes it is not more likely than not that the assets will be realized.</w:t>
      </w:r>
    </w:p>
    <w:p>
      <w:pPr>
        <w:spacing w:after="0" w:line="65" w:lineRule="exact"/>
        <w:rPr>
          <w:sz w:val="20"/>
          <w:szCs w:val="20"/>
          <w:color w:val="auto"/>
        </w:rPr>
      </w:pPr>
    </w:p>
    <w:p>
      <w:pPr>
        <w:ind w:right="240"/>
        <w:spacing w:after="0" w:line="280" w:lineRule="auto"/>
        <w:rPr>
          <w:sz w:val="20"/>
          <w:szCs w:val="20"/>
          <w:color w:val="auto"/>
        </w:rPr>
      </w:pPr>
      <w:r>
        <w:rPr>
          <w:rFonts w:ascii="Arial" w:cs="Arial" w:eastAsia="Arial" w:hAnsi="Arial"/>
          <w:sz w:val="16"/>
          <w:szCs w:val="16"/>
          <w:color w:val="auto"/>
        </w:rPr>
        <w:t>During 2017, Kodak determined that it was more likely than not that a portion of the deferred tax assets outside the U.S. would be realized as a result of increased profits in a location outside the U.S. and accordingly, recorded a benefit of $101 million associated with the release of a valuation</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62865</wp:posOffset>
            </wp:positionV>
            <wp:extent cx="7301865" cy="406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301865" cy="4064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79" w:name="page80"/>
    <w:bookmarkEnd w:id="79"/>
    <w:p>
      <w:pPr>
        <w:ind w:right="20"/>
        <w:spacing w:after="0" w:line="266" w:lineRule="auto"/>
        <w:rPr>
          <w:sz w:val="20"/>
          <w:szCs w:val="20"/>
          <w:color w:val="auto"/>
        </w:rPr>
      </w:pPr>
      <w:r>
        <w:rPr>
          <w:rFonts w:ascii="Arial" w:cs="Arial" w:eastAsia="Arial" w:hAnsi="Arial"/>
          <w:sz w:val="16"/>
          <w:szCs w:val="16"/>
          <w:color w:val="auto"/>
        </w:rPr>
        <w:t>allowance on those deferred tax assets. Additionally, during 2017, Kodak determined that it was more likely than not that a portion of the deferred tax assets outside the U.S. would not be realized due to reduced manufacturing volumes negatively impacting profitability in a location outside the U.S. and accordingly, recorded a provision of $7 million associated with the establishment of a valuation allowance on those deferred tax assets.</w:t>
      </w:r>
    </w:p>
    <w:p>
      <w:pPr>
        <w:spacing w:after="0" w:line="65" w:lineRule="exact"/>
        <w:rPr>
          <w:sz w:val="20"/>
          <w:szCs w:val="20"/>
          <w:color w:val="auto"/>
        </w:rPr>
      </w:pPr>
    </w:p>
    <w:p>
      <w:pPr>
        <w:jc w:val="both"/>
        <w:ind w:right="80"/>
        <w:spacing w:after="0" w:line="266" w:lineRule="auto"/>
        <w:rPr>
          <w:sz w:val="20"/>
          <w:szCs w:val="20"/>
          <w:color w:val="auto"/>
        </w:rPr>
      </w:pPr>
      <w:r>
        <w:rPr>
          <w:rFonts w:ascii="Arial" w:cs="Arial" w:eastAsia="Arial" w:hAnsi="Arial"/>
          <w:sz w:val="16"/>
          <w:szCs w:val="16"/>
          <w:color w:val="auto"/>
        </w:rPr>
        <w:t>Kodak’s valuation allowance as of December 31, 2016 was $1,209 million. Of this amount, $237 million was attributable to Kodak’s net deferred tax assets outside the U.S. of $312 million, and $972 million related to Kodak’s net deferred tax assets in the U.S. of $916 million, for which Kodak believes it is not more likely than not that the assets will be realized.</w:t>
      </w:r>
    </w:p>
    <w:p>
      <w:pPr>
        <w:spacing w:after="0" w:line="65" w:lineRule="exact"/>
        <w:rPr>
          <w:sz w:val="20"/>
          <w:szCs w:val="20"/>
          <w:color w:val="auto"/>
        </w:rPr>
      </w:pPr>
    </w:p>
    <w:p>
      <w:pPr>
        <w:ind w:right="40"/>
        <w:spacing w:after="0" w:line="315" w:lineRule="auto"/>
        <w:rPr>
          <w:sz w:val="20"/>
          <w:szCs w:val="20"/>
          <w:color w:val="auto"/>
        </w:rPr>
      </w:pPr>
      <w:r>
        <w:rPr>
          <w:rFonts w:ascii="Arial" w:cs="Arial" w:eastAsia="Arial" w:hAnsi="Arial"/>
          <w:sz w:val="15"/>
          <w:szCs w:val="15"/>
          <w:color w:val="auto"/>
        </w:rPr>
        <w:t>The net deferred tax assets in excess of the valuation allowance of approximately $172 million and $19 million as of December 31, 2017 and 2016, respectively, relate primarily to NOL carry-forwards, certain tax credits, and pension related tax benefits for which Kodak believes it is more likely than not that the assets will be realized.</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Accounting for Uncertainty in Income Taxes</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A reconciliation of the beginning and ending amount of Kodak’s liability for income taxes associated with unrecognized tax benefits is as follows</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(in millions):</w:t>
      </w:r>
    </w:p>
    <w:p>
      <w:pPr>
        <w:spacing w:after="0" w:line="235" w:lineRule="exact"/>
        <w:rPr>
          <w:sz w:val="20"/>
          <w:szCs w:val="20"/>
          <w:color w:val="auto"/>
        </w:rPr>
      </w:pPr>
    </w:p>
    <w:tbl>
      <w:tblPr>
        <w:tblLayout w:type="fixed"/>
        <w:tblInd w:w="1140" w:type="dxa"/>
        <w:tblCellMar>
          <w:top w:w="0" w:type="dxa"/>
          <w:left w:w="0" w:type="dxa"/>
          <w:bottom w:w="0" w:type="dxa"/>
          <w:right w:w="0" w:type="dxa"/>
        </w:tblCellMar>
      </w:tblPr>
      <w:tr>
        <w:trPr>
          <w:trHeight w:val="205"/>
        </w:trPr>
        <w:tc>
          <w:tcPr>
            <w:tcW w:w="4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60" w:type="dxa"/>
            <w:vAlign w:val="bottom"/>
            <w:gridSpan w:val="7"/>
          </w:tcPr>
          <w:p>
            <w:pPr>
              <w:jc w:val="right"/>
              <w:ind w:right="44"/>
              <w:spacing w:after="0"/>
              <w:rPr>
                <w:sz w:val="20"/>
                <w:szCs w:val="20"/>
                <w:color w:val="auto"/>
              </w:rPr>
            </w:pPr>
            <w:r>
              <w:rPr>
                <w:rFonts w:ascii="Arial" w:cs="Arial" w:eastAsia="Arial" w:hAnsi="Arial"/>
                <w:sz w:val="16"/>
                <w:szCs w:val="16"/>
                <w:b w:val="1"/>
                <w:bCs w:val="1"/>
                <w:color w:val="auto"/>
                <w:w w:val="97"/>
              </w:rPr>
              <w:t>Year Ended December 31,</w:t>
            </w: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0"/>
        </w:trPr>
        <w:tc>
          <w:tcPr>
            <w:tcW w:w="4120" w:type="dxa"/>
            <w:vAlign w:val="bottom"/>
          </w:tcPr>
          <w:p>
            <w:pPr>
              <w:spacing w:after="0"/>
              <w:rPr>
                <w:sz w:val="18"/>
                <w:szCs w:val="18"/>
                <w:color w:val="auto"/>
              </w:rPr>
            </w:pPr>
          </w:p>
        </w:tc>
        <w:tc>
          <w:tcPr>
            <w:tcW w:w="2060" w:type="dxa"/>
            <w:vAlign w:val="bottom"/>
            <w:gridSpan w:val="2"/>
          </w:tcPr>
          <w:p>
            <w:pPr>
              <w:jc w:val="right"/>
              <w:ind w:right="4"/>
              <w:spacing w:after="0"/>
              <w:rPr>
                <w:sz w:val="20"/>
                <w:szCs w:val="20"/>
                <w:color w:val="auto"/>
              </w:rPr>
            </w:pPr>
            <w:r>
              <w:rPr>
                <w:rFonts w:ascii="Arial" w:cs="Arial" w:eastAsia="Arial" w:hAnsi="Arial"/>
                <w:sz w:val="16"/>
                <w:szCs w:val="16"/>
                <w:b w:val="1"/>
                <w:bCs w:val="1"/>
                <w:color w:val="auto"/>
              </w:rPr>
              <w:t>2017</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299"/>
              <w:spacing w:after="0"/>
              <w:rPr>
                <w:sz w:val="20"/>
                <w:szCs w:val="20"/>
                <w:color w:val="auto"/>
              </w:rPr>
            </w:pPr>
            <w:r>
              <w:rPr>
                <w:rFonts w:ascii="Arial" w:cs="Arial" w:eastAsia="Arial" w:hAnsi="Arial"/>
                <w:sz w:val="16"/>
                <w:szCs w:val="16"/>
                <w:b w:val="1"/>
                <w:bCs w:val="1"/>
                <w:color w:val="auto"/>
              </w:rPr>
              <w:t>2016</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ind w:right="319"/>
              <w:spacing w:after="0"/>
              <w:rPr>
                <w:sz w:val="20"/>
                <w:szCs w:val="20"/>
                <w:color w:val="auto"/>
              </w:rPr>
            </w:pPr>
            <w:r>
              <w:rPr>
                <w:rFonts w:ascii="Arial" w:cs="Arial" w:eastAsia="Arial" w:hAnsi="Arial"/>
                <w:sz w:val="16"/>
                <w:szCs w:val="16"/>
                <w:b w:val="1"/>
                <w:bCs w:val="1"/>
                <w:color w:val="auto"/>
              </w:rPr>
              <w:t>2015</w:t>
            </w:r>
          </w:p>
        </w:tc>
        <w:tc>
          <w:tcPr>
            <w:tcW w:w="80" w:type="dxa"/>
            <w:vAlign w:val="bottom"/>
          </w:tcPr>
          <w:p>
            <w:pPr>
              <w:spacing w:after="0"/>
              <w:rPr>
                <w:sz w:val="18"/>
                <w:szCs w:val="18"/>
                <w:color w:val="auto"/>
              </w:rPr>
            </w:pPr>
          </w:p>
        </w:tc>
      </w:tr>
      <w:tr>
        <w:trPr>
          <w:trHeight w:val="198"/>
        </w:trPr>
        <w:tc>
          <w:tcPr>
            <w:tcW w:w="4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Balance as of January 1</w:t>
            </w:r>
          </w:p>
        </w:tc>
        <w:tc>
          <w:tcPr>
            <w:tcW w:w="1280" w:type="dxa"/>
            <w:vAlign w:val="bottom"/>
            <w:tcBorders>
              <w:top w:val="single" w:sz="8" w:color="CFF0FC"/>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jc w:val="right"/>
              <w:ind w:right="624"/>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84</w:t>
            </w:r>
          </w:p>
        </w:tc>
        <w:tc>
          <w:tcPr>
            <w:tcW w:w="14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85</w:t>
            </w:r>
          </w:p>
        </w:tc>
        <w:tc>
          <w:tcPr>
            <w:tcW w:w="22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92</w:t>
            </w:r>
          </w:p>
        </w:tc>
        <w:tc>
          <w:tcPr>
            <w:tcW w:w="80" w:type="dxa"/>
            <w:vAlign w:val="bottom"/>
            <w:tcBorders>
              <w:top w:val="single" w:sz="8" w:color="CFF0FC"/>
            </w:tcBorders>
            <w:shd w:val="clear" w:color="auto" w:fill="CFF0FC"/>
          </w:tcPr>
          <w:p>
            <w:pPr>
              <w:spacing w:after="0"/>
              <w:rPr>
                <w:sz w:val="17"/>
                <w:szCs w:val="17"/>
                <w:color w:val="auto"/>
              </w:rPr>
            </w:pPr>
          </w:p>
        </w:tc>
      </w:tr>
      <w:tr>
        <w:trPr>
          <w:trHeight w:val="205"/>
        </w:trPr>
        <w:tc>
          <w:tcPr>
            <w:tcW w:w="4120" w:type="dxa"/>
            <w:vAlign w:val="bottom"/>
          </w:tcPr>
          <w:p>
            <w:pPr>
              <w:spacing w:after="0"/>
              <w:rPr>
                <w:sz w:val="20"/>
                <w:szCs w:val="20"/>
                <w:color w:val="auto"/>
              </w:rPr>
            </w:pPr>
            <w:r>
              <w:rPr>
                <w:rFonts w:ascii="Arial" w:cs="Arial" w:eastAsia="Arial" w:hAnsi="Arial"/>
                <w:sz w:val="16"/>
                <w:szCs w:val="16"/>
                <w:b w:val="1"/>
                <w:bCs w:val="1"/>
                <w:color w:val="auto"/>
              </w:rPr>
              <w:t>Tax positions related to the current year:</w:t>
            </w:r>
          </w:p>
        </w:tc>
        <w:tc>
          <w:tcPr>
            <w:tcW w:w="1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5"/>
        </w:trPr>
        <w:tc>
          <w:tcPr>
            <w:tcW w:w="4120" w:type="dxa"/>
            <w:vAlign w:val="bottom"/>
            <w:shd w:val="clear" w:color="auto" w:fill="CFF0FC"/>
          </w:tcPr>
          <w:p>
            <w:pPr>
              <w:spacing w:after="0"/>
              <w:rPr>
                <w:sz w:val="20"/>
                <w:szCs w:val="20"/>
                <w:color w:val="auto"/>
              </w:rPr>
            </w:pPr>
            <w:r>
              <w:rPr>
                <w:rFonts w:ascii="Arial" w:cs="Arial" w:eastAsia="Arial" w:hAnsi="Arial"/>
                <w:sz w:val="16"/>
                <w:szCs w:val="16"/>
                <w:color w:val="auto"/>
              </w:rPr>
              <w:t>Additions</w:t>
            </w:r>
          </w:p>
        </w:tc>
        <w:tc>
          <w:tcPr>
            <w:tcW w:w="12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w:t>
            </w:r>
          </w:p>
        </w:tc>
        <w:tc>
          <w:tcPr>
            <w:tcW w:w="1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FF0FC"/>
          </w:tcPr>
          <w:p>
            <w:pPr>
              <w:spacing w:after="0"/>
              <w:rPr>
                <w:sz w:val="17"/>
                <w:szCs w:val="17"/>
                <w:color w:val="auto"/>
              </w:rPr>
            </w:pPr>
          </w:p>
        </w:tc>
      </w:tr>
      <w:tr>
        <w:trPr>
          <w:trHeight w:val="205"/>
        </w:trPr>
        <w:tc>
          <w:tcPr>
            <w:tcW w:w="4120" w:type="dxa"/>
            <w:vAlign w:val="bottom"/>
          </w:tcPr>
          <w:p>
            <w:pPr>
              <w:spacing w:after="0"/>
              <w:rPr>
                <w:sz w:val="20"/>
                <w:szCs w:val="20"/>
                <w:color w:val="auto"/>
              </w:rPr>
            </w:pPr>
            <w:r>
              <w:rPr>
                <w:rFonts w:ascii="Arial" w:cs="Arial" w:eastAsia="Arial" w:hAnsi="Arial"/>
                <w:sz w:val="16"/>
                <w:szCs w:val="16"/>
                <w:b w:val="1"/>
                <w:bCs w:val="1"/>
                <w:color w:val="auto"/>
              </w:rPr>
              <w:t>Tax positions related to prior years:</w:t>
            </w:r>
          </w:p>
        </w:tc>
        <w:tc>
          <w:tcPr>
            <w:tcW w:w="1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5"/>
        </w:trPr>
        <w:tc>
          <w:tcPr>
            <w:tcW w:w="4120" w:type="dxa"/>
            <w:vAlign w:val="bottom"/>
            <w:shd w:val="clear" w:color="auto" w:fill="CFF0FC"/>
          </w:tcPr>
          <w:p>
            <w:pPr>
              <w:spacing w:after="0"/>
              <w:rPr>
                <w:sz w:val="20"/>
                <w:szCs w:val="20"/>
                <w:color w:val="auto"/>
              </w:rPr>
            </w:pPr>
            <w:r>
              <w:rPr>
                <w:rFonts w:ascii="Arial" w:cs="Arial" w:eastAsia="Arial" w:hAnsi="Arial"/>
                <w:sz w:val="16"/>
                <w:szCs w:val="16"/>
                <w:color w:val="auto"/>
              </w:rPr>
              <w:t>Additions</w:t>
            </w:r>
          </w:p>
        </w:tc>
        <w:tc>
          <w:tcPr>
            <w:tcW w:w="12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w:t>
            </w:r>
          </w:p>
        </w:tc>
        <w:tc>
          <w:tcPr>
            <w:tcW w:w="1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r>
      <w:tr>
        <w:trPr>
          <w:trHeight w:val="205"/>
        </w:trPr>
        <w:tc>
          <w:tcPr>
            <w:tcW w:w="4120" w:type="dxa"/>
            <w:vAlign w:val="bottom"/>
          </w:tcPr>
          <w:p>
            <w:pPr>
              <w:spacing w:after="0"/>
              <w:rPr>
                <w:sz w:val="20"/>
                <w:szCs w:val="20"/>
                <w:color w:val="auto"/>
              </w:rPr>
            </w:pPr>
            <w:r>
              <w:rPr>
                <w:rFonts w:ascii="Arial" w:cs="Arial" w:eastAsia="Arial" w:hAnsi="Arial"/>
                <w:sz w:val="16"/>
                <w:szCs w:val="16"/>
                <w:color w:val="auto"/>
              </w:rPr>
              <w:t>Reductions</w:t>
            </w:r>
          </w:p>
        </w:tc>
        <w:tc>
          <w:tcPr>
            <w:tcW w:w="1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6"/>
                <w:szCs w:val="16"/>
                <w:color w:val="auto"/>
              </w:rPr>
              <w:t>(28)</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(2)</w:t>
            </w:r>
          </w:p>
        </w:tc>
        <w:tc>
          <w:tcPr>
            <w:tcW w:w="26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(7)</w:t>
            </w:r>
          </w:p>
        </w:tc>
      </w:tr>
      <w:tr>
        <w:trPr>
          <w:trHeight w:val="205"/>
        </w:trPr>
        <w:tc>
          <w:tcPr>
            <w:tcW w:w="4120" w:type="dxa"/>
            <w:vAlign w:val="bottom"/>
            <w:shd w:val="clear" w:color="auto" w:fill="CFF0FC"/>
          </w:tcPr>
          <w:p>
            <w:pPr>
              <w:spacing w:after="0"/>
              <w:rPr>
                <w:sz w:val="20"/>
                <w:szCs w:val="20"/>
                <w:color w:val="auto"/>
              </w:rPr>
            </w:pPr>
            <w:r>
              <w:rPr>
                <w:rFonts w:ascii="Arial" w:cs="Arial" w:eastAsia="Arial" w:hAnsi="Arial"/>
                <w:sz w:val="16"/>
                <w:szCs w:val="16"/>
                <w:color w:val="auto"/>
              </w:rPr>
              <w:t>Settlements with taxing jurisdictions</w:t>
            </w:r>
          </w:p>
        </w:tc>
        <w:tc>
          <w:tcPr>
            <w:tcW w:w="12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4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(4)</w:t>
            </w:r>
          </w:p>
        </w:tc>
        <w:tc>
          <w:tcPr>
            <w:tcW w:w="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r>
      <w:tr>
        <w:trPr>
          <w:trHeight w:val="205"/>
        </w:trPr>
        <w:tc>
          <w:tcPr>
            <w:tcW w:w="4120" w:type="dxa"/>
            <w:vAlign w:val="bottom"/>
          </w:tcPr>
          <w:p>
            <w:pPr>
              <w:spacing w:after="0"/>
              <w:rPr>
                <w:sz w:val="20"/>
                <w:szCs w:val="20"/>
                <w:color w:val="auto"/>
              </w:rPr>
            </w:pPr>
            <w:r>
              <w:rPr>
                <w:rFonts w:ascii="Arial" w:cs="Arial" w:eastAsia="Arial" w:hAnsi="Arial"/>
                <w:sz w:val="16"/>
                <w:szCs w:val="16"/>
                <w:color w:val="auto"/>
              </w:rPr>
              <w:t>Lapses in statute of limitations</w:t>
            </w:r>
          </w:p>
        </w:tc>
        <w:tc>
          <w:tcPr>
            <w:tcW w:w="1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6"/>
                <w:szCs w:val="16"/>
                <w:color w:val="auto"/>
              </w:rPr>
              <w:t>(4)</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(1)</w:t>
            </w:r>
          </w:p>
        </w:tc>
      </w:tr>
      <w:tr>
        <w:trPr>
          <w:trHeight w:val="198"/>
        </w:trPr>
        <w:tc>
          <w:tcPr>
            <w:tcW w:w="41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Balance as of December 31</w:t>
            </w:r>
          </w:p>
        </w:tc>
        <w:tc>
          <w:tcPr>
            <w:tcW w:w="1280" w:type="dxa"/>
            <w:vAlign w:val="bottom"/>
            <w:tcBorders>
              <w:top w:val="single" w:sz="8" w:color="CFF0FC"/>
              <w:bottom w:val="single" w:sz="8" w:color="CFF0FC"/>
            </w:tcBorders>
            <w:shd w:val="clear" w:color="auto" w:fill="CFF0FC"/>
          </w:tcPr>
          <w:p>
            <w:pPr>
              <w:spacing w:after="0"/>
              <w:rPr>
                <w:sz w:val="17"/>
                <w:szCs w:val="17"/>
                <w:color w:val="auto"/>
              </w:rPr>
            </w:pPr>
          </w:p>
        </w:tc>
        <w:tc>
          <w:tcPr>
            <w:tcW w:w="780" w:type="dxa"/>
            <w:vAlign w:val="bottom"/>
            <w:tcBorders>
              <w:top w:val="single" w:sz="8" w:color="auto"/>
              <w:bottom w:val="single" w:sz="8" w:color="auto"/>
            </w:tcBorders>
            <w:shd w:val="clear" w:color="auto" w:fill="CFF0FC"/>
          </w:tcPr>
          <w:p>
            <w:pPr>
              <w:jc w:val="right"/>
              <w:ind w:right="624"/>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61</w:t>
            </w:r>
          </w:p>
        </w:tc>
        <w:tc>
          <w:tcPr>
            <w:tcW w:w="140" w:type="dxa"/>
            <w:vAlign w:val="bottom"/>
            <w:tcBorders>
              <w:top w:val="single" w:sz="8" w:color="CFF0FC"/>
              <w:bottom w:val="single" w:sz="8" w:color="CFF0FC"/>
            </w:tcBorders>
            <w:shd w:val="clear" w:color="auto" w:fill="CFF0FC"/>
          </w:tcPr>
          <w:p>
            <w:pPr>
              <w:spacing w:after="0"/>
              <w:rPr>
                <w:sz w:val="17"/>
                <w:szCs w:val="17"/>
                <w:color w:val="auto"/>
              </w:rPr>
            </w:pPr>
          </w:p>
        </w:tc>
        <w:tc>
          <w:tcPr>
            <w:tcW w:w="60" w:type="dxa"/>
            <w:vAlign w:val="bottom"/>
            <w:tcBorders>
              <w:top w:val="single" w:sz="8" w:color="CFF0FC"/>
              <w:bottom w:val="single" w:sz="8" w:color="CFF0FC"/>
            </w:tcBorders>
            <w:shd w:val="clear" w:color="auto" w:fill="CFF0FC"/>
          </w:tcPr>
          <w:p>
            <w:pPr>
              <w:spacing w:after="0"/>
              <w:rPr>
                <w:sz w:val="17"/>
                <w:szCs w:val="17"/>
                <w:color w:val="auto"/>
              </w:rPr>
            </w:pPr>
          </w:p>
        </w:tc>
        <w:tc>
          <w:tcPr>
            <w:tcW w:w="240" w:type="dxa"/>
            <w:vAlign w:val="bottom"/>
            <w:tcBorders>
              <w:top w:val="single" w:sz="8" w:color="auto"/>
              <w:bottom w:val="single" w:sz="8" w:color="auto"/>
            </w:tcBorders>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84</w:t>
            </w:r>
          </w:p>
        </w:tc>
        <w:tc>
          <w:tcPr>
            <w:tcW w:w="220" w:type="dxa"/>
            <w:vAlign w:val="bottom"/>
            <w:tcBorders>
              <w:top w:val="single" w:sz="8" w:color="CFF0FC"/>
              <w:bottom w:val="single" w:sz="8" w:color="CFF0FC"/>
            </w:tcBorders>
            <w:shd w:val="clear" w:color="auto" w:fill="CFF0FC"/>
          </w:tcPr>
          <w:p>
            <w:pPr>
              <w:spacing w:after="0"/>
              <w:rPr>
                <w:sz w:val="17"/>
                <w:szCs w:val="17"/>
                <w:color w:val="auto"/>
              </w:rPr>
            </w:pPr>
          </w:p>
        </w:tc>
        <w:tc>
          <w:tcPr>
            <w:tcW w:w="260" w:type="dxa"/>
            <w:vAlign w:val="bottom"/>
            <w:tcBorders>
              <w:top w:val="single" w:sz="8" w:color="auto"/>
              <w:bottom w:val="single" w:sz="8" w:color="auto"/>
            </w:tcBorders>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85</w:t>
            </w: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r>
      <w:tr>
        <w:trPr>
          <w:trHeight w:val="20"/>
        </w:trPr>
        <w:tc>
          <w:tcPr>
            <w:tcW w:w="4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ind w:right="640"/>
        <w:spacing w:after="0" w:line="336" w:lineRule="auto"/>
        <w:rPr>
          <w:sz w:val="20"/>
          <w:szCs w:val="20"/>
          <w:color w:val="auto"/>
        </w:rPr>
      </w:pPr>
      <w:r>
        <w:rPr>
          <w:rFonts w:ascii="Arial" w:cs="Arial" w:eastAsia="Arial" w:hAnsi="Arial"/>
          <w:sz w:val="14"/>
          <w:szCs w:val="14"/>
          <w:color w:val="auto"/>
        </w:rPr>
        <w:t>Kodak’s policy regarding interest and/or penalties related to income tax matters is to recognize such items as a component of income tax (benefit) expense. Kodak had approximately $17 million and $23 million of interest and penalties associated with uncertain tax benefits accrued as of December 31, 2017 and 2016, respectively.</w:t>
      </w:r>
    </w:p>
    <w:p>
      <w:pPr>
        <w:spacing w:after="0" w:line="20" w:lineRule="exact"/>
        <w:rPr>
          <w:sz w:val="20"/>
          <w:szCs w:val="20"/>
          <w:color w:val="auto"/>
        </w:rPr>
      </w:pPr>
    </w:p>
    <w:p>
      <w:pPr>
        <w:ind w:right="180"/>
        <w:spacing w:after="0" w:line="261" w:lineRule="auto"/>
        <w:rPr>
          <w:sz w:val="20"/>
          <w:szCs w:val="20"/>
          <w:color w:val="auto"/>
        </w:rPr>
      </w:pPr>
      <w:r>
        <w:rPr>
          <w:rFonts w:ascii="Arial" w:cs="Arial" w:eastAsia="Arial" w:hAnsi="Arial"/>
          <w:sz w:val="16"/>
          <w:szCs w:val="16"/>
          <w:color w:val="auto"/>
        </w:rPr>
        <w:t>Kodak had uncertain tax benefits of approximately $29 and $36 million as of December 31, 2017 and 2016, respectively, that, if recognized, would affect the effective income tax rate. Kodak has classified certain income tax liabilities as current or noncurrent based on management’s estimate of when these liabilities will be settled. The current liabilities are recorded in Other current liabilities in the Consolidated Statement of Financial Position. Noncurrent income tax liabilities are recorded in Other long-term liabilities in the Consolidated Statement of Financial Position.</w:t>
      </w:r>
    </w:p>
    <w:p>
      <w:pPr>
        <w:spacing w:after="0" w:line="70" w:lineRule="exact"/>
        <w:rPr>
          <w:sz w:val="20"/>
          <w:szCs w:val="20"/>
          <w:color w:val="auto"/>
        </w:rPr>
      </w:pPr>
    </w:p>
    <w:p>
      <w:pPr>
        <w:ind w:right="80"/>
        <w:spacing w:after="0" w:line="280" w:lineRule="auto"/>
        <w:rPr>
          <w:sz w:val="20"/>
          <w:szCs w:val="20"/>
          <w:color w:val="auto"/>
        </w:rPr>
      </w:pPr>
      <w:r>
        <w:rPr>
          <w:rFonts w:ascii="Arial" w:cs="Arial" w:eastAsia="Arial" w:hAnsi="Arial"/>
          <w:sz w:val="15"/>
          <w:szCs w:val="15"/>
          <w:color w:val="auto"/>
        </w:rPr>
        <w:t>It is reasonably possible that the liability associated with Kodak’s unrecognized tax benefits will increase or decrease within the next twelve months. These changes may be the result of settling ongoing audits or the expiration of statutes of limitations. Such changes to the unrecognized tax benefits could range from $0 to $15 million based on current estimates. Audit outcomes and the timing of audit settlements are subject to significant uncertainty. Although management believes that adequate provision has been made for such issues, there is the possibility that the ultimate resolution of such issues could have an adverse effect on the earnings of Kodak. Conversely, if these issues are resolved favorably in the future, the related provision would be reduced, thus having a positive impact on earnings.</w:t>
      </w:r>
    </w:p>
    <w:p>
      <w:pPr>
        <w:spacing w:after="0" w:line="58"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The 2017 Tax Act corporate tax rate decrease from 35% to 21% resulted in the re-measurement of uncertain tax positions (“UTPs”), reducing a reserve held in the U.S. by approximately $22 million. Unrecognized tax benefits are presented in the financial statements as a reduction to deferred tax assets for a NOL carryforward, a similar tax loss or a tax credit carryforward. As a result, the reduction of this UTP has been recorded as a reduction in Kodak’s deferred tax asset and is fully offset by valuation allowance, therefore there is no net tax provision associated with this change.</w:t>
      </w:r>
    </w:p>
    <w:p>
      <w:pPr>
        <w:spacing w:after="0" w:line="191"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During 2017, Kodak agreed to terms with a tax authority outside of the U.S. and settled audits for calendar years 2008 through 2012. For these years, Kodak originally recorded liabilities for a UTP totaling $6 million (plus interest of approximately $2 million). The settlement resulted in a reduction in Other current liabilities in the Consolidated Statement of Financial Position and the recognition of a $1 million tax benefit.</w:t>
      </w:r>
    </w:p>
    <w:p>
      <w:pPr>
        <w:spacing w:after="0" w:line="65" w:lineRule="exact"/>
        <w:rPr>
          <w:sz w:val="20"/>
          <w:szCs w:val="20"/>
          <w:color w:val="auto"/>
        </w:rPr>
      </w:pPr>
    </w:p>
    <w:p>
      <w:pPr>
        <w:ind w:right="120"/>
        <w:spacing w:after="0" w:line="261" w:lineRule="auto"/>
        <w:rPr>
          <w:sz w:val="20"/>
          <w:szCs w:val="20"/>
          <w:color w:val="auto"/>
        </w:rPr>
      </w:pPr>
      <w:r>
        <w:rPr>
          <w:rFonts w:ascii="Arial" w:cs="Arial" w:eastAsia="Arial" w:hAnsi="Arial"/>
          <w:sz w:val="16"/>
          <w:szCs w:val="16"/>
          <w:color w:val="auto"/>
        </w:rPr>
        <w:t>Kodak is subject to taxation and files income tax returns in the U.S. federal jurisdiction and in many state and foreign jurisdictions. Kodak has substantially concluded all U.S. federal and state income tax matters for years through 2012 with respective tax authorities. Kodak is currently under examination by the Internal Revenue Service for years 2013 and 2014. With respect to countries outside the U.S., Kodak has substantially concluded all material foreign income tax matters through 2010 with respective foreign tax jurisdiction authorities.</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62865</wp:posOffset>
            </wp:positionV>
            <wp:extent cx="7301865" cy="406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301865" cy="40640"/>
                    </a:xfrm>
                    <a:prstGeom prst="rect">
                      <a:avLst/>
                    </a:prstGeom>
                    <a:noFill/>
                  </pic:spPr>
                </pic:pic>
              </a:graphicData>
            </a:graphic>
          </wp:anchor>
        </w:drawing>
      </w:r>
    </w:p>
    <w:p>
      <w:pPr>
        <w:sectPr>
          <w:pgSz w:w="11900" w:h="16838" w:orient="portrait"/>
          <w:cols w:equalWidth="0" w:num="1">
            <w:col w:w="11420"/>
          </w:cols>
          <w:pgMar w:left="240" w:top="224" w:right="239" w:bottom="1440" w:gutter="0" w:footer="0" w:header="0"/>
        </w:sectPr>
      </w:pPr>
    </w:p>
    <w:bookmarkStart w:id="80" w:name="page81"/>
    <w:bookmarkEnd w:id="80"/>
    <w:p>
      <w:pPr>
        <w:ind w:left="3"/>
        <w:spacing w:after="0"/>
        <w:rPr>
          <w:sz w:val="20"/>
          <w:szCs w:val="20"/>
          <w:color w:val="auto"/>
        </w:rPr>
      </w:pPr>
      <w:r>
        <w:rPr>
          <w:rFonts w:ascii="Arial" w:cs="Arial" w:eastAsia="Arial" w:hAnsi="Arial"/>
          <w:sz w:val="16"/>
          <w:szCs w:val="16"/>
          <w:b w:val="1"/>
          <w:bCs w:val="1"/>
          <w:color w:val="auto"/>
        </w:rPr>
        <w:t>NOTE 16: RESTRUCTURING COSTS AND OTHER</w:t>
      </w:r>
    </w:p>
    <w:p>
      <w:pPr>
        <w:spacing w:after="0" w:line="110" w:lineRule="exact"/>
        <w:rPr>
          <w:sz w:val="20"/>
          <w:szCs w:val="20"/>
          <w:color w:val="auto"/>
        </w:rPr>
      </w:pPr>
    </w:p>
    <w:p>
      <w:pPr>
        <w:ind w:left="3" w:right="160"/>
        <w:spacing w:after="0" w:line="266" w:lineRule="auto"/>
        <w:rPr>
          <w:sz w:val="20"/>
          <w:szCs w:val="20"/>
          <w:color w:val="auto"/>
        </w:rPr>
      </w:pPr>
      <w:r>
        <w:rPr>
          <w:rFonts w:ascii="Arial" w:cs="Arial" w:eastAsia="Arial" w:hAnsi="Arial"/>
          <w:sz w:val="16"/>
          <w:szCs w:val="16"/>
          <w:color w:val="auto"/>
        </w:rPr>
        <w:t>Kodak recognizes the need to continually rationalize its workforce and streamline its operations in the face of ongoing business and economic changes. Charges for restructuring initiatives are recorded in the period in which Kodak commits to a formalized restructuring plan, or executes the specific actions contemplated by the plan and all criteria for liability recognition under the applicable accounting guidance have been met.</w:t>
      </w:r>
    </w:p>
    <w:p>
      <w:pPr>
        <w:spacing w:after="0" w:line="162" w:lineRule="exact"/>
        <w:rPr>
          <w:sz w:val="20"/>
          <w:szCs w:val="20"/>
          <w:color w:val="auto"/>
        </w:rPr>
      </w:pPr>
    </w:p>
    <w:p>
      <w:pPr>
        <w:ind w:left="3" w:right="80"/>
        <w:spacing w:after="0" w:line="280" w:lineRule="auto"/>
        <w:rPr>
          <w:sz w:val="20"/>
          <w:szCs w:val="20"/>
          <w:color w:val="auto"/>
        </w:rPr>
      </w:pPr>
      <w:r>
        <w:rPr>
          <w:rFonts w:ascii="Arial" w:cs="Arial" w:eastAsia="Arial" w:hAnsi="Arial"/>
          <w:sz w:val="16"/>
          <w:szCs w:val="16"/>
          <w:color w:val="auto"/>
        </w:rPr>
        <w:t>The activity in the accrued balances and the non-cash charges and credits incurred in relation to restructuring programs during the three years ended December 31, 2017 were as follows (in millions):</w:t>
      </w:r>
    </w:p>
    <w:p>
      <w:pPr>
        <w:spacing w:after="0" w:line="163" w:lineRule="exact"/>
        <w:rPr>
          <w:sz w:val="20"/>
          <w:szCs w:val="20"/>
          <w:color w:val="auto"/>
        </w:rPr>
      </w:pPr>
    </w:p>
    <w:tbl>
      <w:tblPr>
        <w:tblLayout w:type="fixed"/>
        <w:tblInd w:w="3" w:type="dxa"/>
        <w:tblCellMar>
          <w:top w:w="0" w:type="dxa"/>
          <w:left w:w="0" w:type="dxa"/>
          <w:bottom w:w="0" w:type="dxa"/>
          <w:right w:w="0" w:type="dxa"/>
        </w:tblCellMar>
      </w:tblPr>
      <w:tr>
        <w:trPr>
          <w:trHeight w:val="149"/>
        </w:trPr>
        <w:tc>
          <w:tcPr>
            <w:tcW w:w="43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91"/>
              </w:rPr>
              <w:t>Long-lived</w:t>
            </w: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43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2"/>
          </w:tcPr>
          <w:p>
            <w:pPr>
              <w:jc w:val="center"/>
              <w:ind w:right="380"/>
              <w:spacing w:after="0" w:line="133" w:lineRule="exact"/>
              <w:rPr>
                <w:sz w:val="20"/>
                <w:szCs w:val="20"/>
                <w:color w:val="auto"/>
              </w:rPr>
            </w:pPr>
            <w:r>
              <w:rPr>
                <w:rFonts w:ascii="Arial" w:cs="Arial" w:eastAsia="Arial" w:hAnsi="Arial"/>
                <w:sz w:val="13"/>
                <w:szCs w:val="13"/>
                <w:b w:val="1"/>
                <w:bCs w:val="1"/>
                <w:color w:val="auto"/>
                <w:w w:val="78"/>
              </w:rPr>
              <w:t>Asset</w:t>
            </w: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438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Severance</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vMerge w:val="restart"/>
          </w:tcPr>
          <w:p>
            <w:pPr>
              <w:jc w:val="right"/>
              <w:ind w:right="10"/>
              <w:spacing w:after="0"/>
              <w:rPr>
                <w:sz w:val="20"/>
                <w:szCs w:val="20"/>
                <w:color w:val="auto"/>
              </w:rPr>
            </w:pPr>
            <w:r>
              <w:rPr>
                <w:rFonts w:ascii="Arial" w:cs="Arial" w:eastAsia="Arial" w:hAnsi="Arial"/>
                <w:sz w:val="13"/>
                <w:szCs w:val="13"/>
                <w:b w:val="1"/>
                <w:bCs w:val="1"/>
                <w:color w:val="auto"/>
              </w:rPr>
              <w:t>Exit Costs</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2"/>
          </w:tcPr>
          <w:p>
            <w:pPr>
              <w:jc w:val="center"/>
              <w:ind w:right="380"/>
              <w:spacing w:after="0" w:line="133" w:lineRule="exact"/>
              <w:rPr>
                <w:sz w:val="20"/>
                <w:szCs w:val="20"/>
                <w:color w:val="auto"/>
              </w:rPr>
            </w:pPr>
            <w:r>
              <w:rPr>
                <w:rFonts w:ascii="Arial" w:cs="Arial" w:eastAsia="Arial" w:hAnsi="Arial"/>
                <w:sz w:val="13"/>
                <w:szCs w:val="13"/>
                <w:b w:val="1"/>
                <w:bCs w:val="1"/>
                <w:color w:val="auto"/>
                <w:w w:val="93"/>
              </w:rPr>
              <w:t>Impairments</w:t>
            </w:r>
          </w:p>
        </w:tc>
        <w:tc>
          <w:tcPr>
            <w:tcW w:w="120" w:type="dxa"/>
            <w:vAlign w:val="bottom"/>
          </w:tcPr>
          <w:p>
            <w:pPr>
              <w:spacing w:after="0"/>
              <w:rPr>
                <w:sz w:val="11"/>
                <w:szCs w:val="11"/>
                <w:color w:val="auto"/>
              </w:rPr>
            </w:pPr>
          </w:p>
        </w:tc>
        <w:tc>
          <w:tcPr>
            <w:tcW w:w="1220" w:type="dxa"/>
            <w:vAlign w:val="bottom"/>
            <w:gridSpan w:val="2"/>
            <w:vMerge w:val="restart"/>
          </w:tcPr>
          <w:p>
            <w:pPr>
              <w:jc w:val="right"/>
              <w:ind w:right="420"/>
              <w:spacing w:after="0"/>
              <w:rPr>
                <w:sz w:val="20"/>
                <w:szCs w:val="20"/>
                <w:color w:val="auto"/>
              </w:rPr>
            </w:pPr>
            <w:r>
              <w:rPr>
                <w:rFonts w:ascii="Arial" w:cs="Arial" w:eastAsia="Arial" w:hAnsi="Arial"/>
                <w:sz w:val="13"/>
                <w:szCs w:val="13"/>
                <w:b w:val="1"/>
                <w:bCs w:val="1"/>
                <w:color w:val="auto"/>
              </w:rPr>
              <w:t>Accelerated</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438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2"/>
          </w:tcPr>
          <w:p>
            <w:pPr>
              <w:jc w:val="center"/>
              <w:ind w:right="360"/>
              <w:spacing w:after="0" w:line="133" w:lineRule="exact"/>
              <w:rPr>
                <w:sz w:val="20"/>
                <w:szCs w:val="20"/>
                <w:color w:val="auto"/>
              </w:rPr>
            </w:pPr>
            <w:r>
              <w:rPr>
                <w:rFonts w:ascii="Arial" w:cs="Arial" w:eastAsia="Arial" w:hAnsi="Arial"/>
                <w:sz w:val="13"/>
                <w:szCs w:val="13"/>
                <w:b w:val="1"/>
                <w:bCs w:val="1"/>
                <w:color w:val="auto"/>
                <w:w w:val="91"/>
              </w:rPr>
              <w:t>and Inventory</w:t>
            </w:r>
          </w:p>
        </w:tc>
        <w:tc>
          <w:tcPr>
            <w:tcW w:w="12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gridSpan w:val="2"/>
            <w:vMerge w:val="restart"/>
          </w:tcPr>
          <w:p>
            <w:pPr>
              <w:jc w:val="right"/>
              <w:ind w:right="60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53"/>
        </w:trPr>
        <w:tc>
          <w:tcPr>
            <w:tcW w:w="43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b w:val="1"/>
                <w:bCs w:val="1"/>
                <w:color w:val="auto"/>
              </w:rPr>
              <w:t xml:space="preserve">Reserve </w:t>
            </w:r>
            <w:r>
              <w:rPr>
                <w:rFonts w:ascii="Arial" w:cs="Arial" w:eastAsia="Arial" w:hAnsi="Arial"/>
                <w:sz w:val="10"/>
                <w:szCs w:val="10"/>
                <w:b w:val="1"/>
                <w:bCs w:val="1"/>
                <w:color w:val="auto"/>
              </w:rPr>
              <w:t>(1)</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3"/>
                <w:szCs w:val="13"/>
                <w:b w:val="1"/>
                <w:bCs w:val="1"/>
                <w:color w:val="auto"/>
              </w:rPr>
              <w:t xml:space="preserve">Reserve </w:t>
            </w:r>
            <w:r>
              <w:rPr>
                <w:rFonts w:ascii="Arial" w:cs="Arial" w:eastAsia="Arial" w:hAnsi="Arial"/>
                <w:sz w:val="10"/>
                <w:szCs w:val="10"/>
                <w:b w:val="1"/>
                <w:bCs w:val="1"/>
                <w:color w:val="auto"/>
              </w:rPr>
              <w:t>(1)</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93"/>
              </w:rPr>
              <w:t xml:space="preserve">Write-downs </w:t>
            </w:r>
            <w:r>
              <w:rPr>
                <w:rFonts w:ascii="Arial" w:cs="Arial" w:eastAsia="Arial" w:hAnsi="Arial"/>
                <w:sz w:val="10"/>
                <w:szCs w:val="10"/>
                <w:b w:val="1"/>
                <w:bCs w:val="1"/>
                <w:color w:val="auto"/>
                <w:w w:val="93"/>
              </w:rPr>
              <w:t>(1)</w:t>
            </w:r>
          </w:p>
        </w:tc>
        <w:tc>
          <w:tcPr>
            <w:tcW w:w="120" w:type="dxa"/>
            <w:vAlign w:val="bottom"/>
          </w:tcPr>
          <w:p>
            <w:pPr>
              <w:spacing w:after="0"/>
              <w:rPr>
                <w:sz w:val="13"/>
                <w:szCs w:val="13"/>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w w:val="92"/>
              </w:rPr>
              <w:t xml:space="preserve">Depreciation </w:t>
            </w:r>
            <w:r>
              <w:rPr>
                <w:rFonts w:ascii="Arial" w:cs="Arial" w:eastAsia="Arial" w:hAnsi="Arial"/>
                <w:sz w:val="10"/>
                <w:szCs w:val="10"/>
                <w:b w:val="1"/>
                <w:bCs w:val="1"/>
                <w:color w:val="auto"/>
                <w:w w:val="92"/>
              </w:rPr>
              <w:t>(1)</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4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Balance as of December 31, 2014</w:t>
            </w:r>
          </w:p>
        </w:tc>
        <w:tc>
          <w:tcPr>
            <w:tcW w:w="920" w:type="dxa"/>
            <w:vAlign w:val="bottom"/>
            <w:tcBorders>
              <w:top w:val="single" w:sz="8" w:color="auto"/>
              <w:bottom w:val="single" w:sz="8" w:color="auto"/>
            </w:tcBorders>
            <w:shd w:val="clear" w:color="auto" w:fill="CFF0FC"/>
          </w:tcPr>
          <w:p>
            <w:pPr>
              <w:jc w:val="right"/>
              <w:ind w:right="770"/>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w:t>
            </w:r>
          </w:p>
        </w:tc>
        <w:tc>
          <w:tcPr>
            <w:tcW w:w="1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940" w:type="dxa"/>
            <w:vAlign w:val="bottom"/>
            <w:tcBorders>
              <w:top w:val="single" w:sz="8" w:color="auto"/>
              <w:bottom w:val="single" w:sz="8" w:color="auto"/>
            </w:tcBorders>
            <w:shd w:val="clear" w:color="auto" w:fill="CFF0FC"/>
          </w:tcPr>
          <w:p>
            <w:pPr>
              <w:jc w:val="right"/>
              <w:ind w:right="790"/>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1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280" w:type="dxa"/>
            <w:vAlign w:val="bottom"/>
            <w:tcBorders>
              <w:top w:val="single" w:sz="8" w:color="auto"/>
              <w:bottom w:val="single" w:sz="8" w:color="auto"/>
            </w:tcBorders>
            <w:shd w:val="clear" w:color="auto" w:fill="CFF0FC"/>
          </w:tcPr>
          <w:p>
            <w:pPr>
              <w:jc w:val="right"/>
              <w:ind w:right="124"/>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w:t>
            </w: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380" w:type="dxa"/>
            <w:vAlign w:val="bottom"/>
          </w:tcPr>
          <w:p>
            <w:pPr>
              <w:spacing w:after="0"/>
              <w:rPr>
                <w:sz w:val="20"/>
                <w:szCs w:val="20"/>
                <w:color w:val="auto"/>
              </w:rPr>
            </w:pPr>
            <w:r>
              <w:rPr>
                <w:rFonts w:ascii="Arial" w:cs="Arial" w:eastAsia="Arial" w:hAnsi="Arial"/>
                <w:sz w:val="16"/>
                <w:szCs w:val="16"/>
                <w:color w:val="auto"/>
              </w:rPr>
              <w:t>Charges</w:t>
            </w:r>
          </w:p>
        </w:tc>
        <w:tc>
          <w:tcPr>
            <w:tcW w:w="92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33</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380" w:type="dxa"/>
            <w:vAlign w:val="bottom"/>
            <w:shd w:val="clear" w:color="auto" w:fill="CFF0FC"/>
          </w:tcPr>
          <w:p>
            <w:pPr>
              <w:spacing w:after="0"/>
              <w:rPr>
                <w:sz w:val="20"/>
                <w:szCs w:val="20"/>
                <w:color w:val="auto"/>
              </w:rPr>
            </w:pPr>
            <w:r>
              <w:rPr>
                <w:rFonts w:ascii="Arial" w:cs="Arial" w:eastAsia="Arial" w:hAnsi="Arial"/>
                <w:sz w:val="16"/>
                <w:szCs w:val="16"/>
                <w:color w:val="auto"/>
              </w:rPr>
              <w:t>Utilization/cash payments</w:t>
            </w:r>
          </w:p>
        </w:tc>
        <w:tc>
          <w:tcPr>
            <w:tcW w:w="920" w:type="dxa"/>
            <w:vAlign w:val="bottom"/>
            <w:shd w:val="clear" w:color="auto" w:fill="CFF0FC"/>
          </w:tcPr>
          <w:p>
            <w:pPr>
              <w:spacing w:after="0"/>
              <w:rPr>
                <w:sz w:val="17"/>
                <w:szCs w:val="17"/>
                <w:color w:val="auto"/>
              </w:rPr>
            </w:pPr>
          </w:p>
        </w:tc>
        <w:tc>
          <w:tcPr>
            <w:tcW w:w="4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(36)</w:t>
            </w:r>
          </w:p>
        </w:tc>
        <w:tc>
          <w:tcPr>
            <w:tcW w:w="1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3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(5)</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w:t>
            </w:r>
          </w:p>
        </w:tc>
        <w:tc>
          <w:tcPr>
            <w:tcW w:w="12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(8)</w:t>
            </w: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05"/>
        </w:trPr>
        <w:tc>
          <w:tcPr>
            <w:tcW w:w="4380" w:type="dxa"/>
            <w:vAlign w:val="bottom"/>
          </w:tcPr>
          <w:p>
            <w:pPr>
              <w:spacing w:after="0"/>
              <w:rPr>
                <w:sz w:val="20"/>
                <w:szCs w:val="20"/>
                <w:color w:val="auto"/>
              </w:rPr>
            </w:pPr>
            <w:r>
              <w:rPr>
                <w:rFonts w:ascii="Arial" w:cs="Arial" w:eastAsia="Arial" w:hAnsi="Arial"/>
                <w:sz w:val="16"/>
                <w:szCs w:val="16"/>
                <w:color w:val="auto"/>
              </w:rPr>
              <w:t xml:space="preserve">Other adjustments &amp; reclasses </w:t>
            </w:r>
            <w:r>
              <w:rPr>
                <w:rFonts w:ascii="Arial" w:cs="Arial" w:eastAsia="Arial" w:hAnsi="Arial"/>
                <w:sz w:val="13"/>
                <w:szCs w:val="13"/>
                <w:color w:val="auto"/>
              </w:rPr>
              <w:t>(2)</w:t>
            </w:r>
          </w:p>
        </w:tc>
        <w:tc>
          <w:tcPr>
            <w:tcW w:w="920" w:type="dxa"/>
            <w:vAlign w:val="bottom"/>
          </w:tcPr>
          <w:p>
            <w:pPr>
              <w:spacing w:after="0"/>
              <w:rPr>
                <w:sz w:val="17"/>
                <w:szCs w:val="17"/>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198"/>
        </w:trPr>
        <w:tc>
          <w:tcPr>
            <w:tcW w:w="4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Balance as of December 31, 2015</w:t>
            </w:r>
          </w:p>
        </w:tc>
        <w:tc>
          <w:tcPr>
            <w:tcW w:w="920" w:type="dxa"/>
            <w:vAlign w:val="bottom"/>
            <w:tcBorders>
              <w:top w:val="single" w:sz="8" w:color="auto"/>
              <w:bottom w:val="single" w:sz="8" w:color="auto"/>
            </w:tcBorders>
            <w:shd w:val="clear" w:color="auto" w:fill="CFF0FC"/>
          </w:tcPr>
          <w:p>
            <w:pPr>
              <w:spacing w:after="0"/>
              <w:rPr>
                <w:sz w:val="17"/>
                <w:szCs w:val="17"/>
                <w:color w:val="auto"/>
              </w:rPr>
            </w:pPr>
          </w:p>
        </w:tc>
        <w:tc>
          <w:tcPr>
            <w:tcW w:w="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w:t>
            </w:r>
          </w:p>
        </w:tc>
        <w:tc>
          <w:tcPr>
            <w:tcW w:w="1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940" w:type="dxa"/>
            <w:vAlign w:val="bottom"/>
            <w:tcBorders>
              <w:top w:val="single" w:sz="8" w:color="auto"/>
              <w:bottom w:val="single" w:sz="8" w:color="auto"/>
            </w:tcBorders>
            <w:shd w:val="clear" w:color="auto" w:fill="CFF0FC"/>
          </w:tcPr>
          <w:p>
            <w:pPr>
              <w:spacing w:after="0"/>
              <w:rPr>
                <w:sz w:val="17"/>
                <w:szCs w:val="17"/>
                <w:color w:val="auto"/>
              </w:rPr>
            </w:pPr>
          </w:p>
        </w:tc>
        <w:tc>
          <w:tcPr>
            <w:tcW w:w="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1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spacing w:after="0"/>
              <w:rPr>
                <w:sz w:val="17"/>
                <w:szCs w:val="17"/>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spacing w:after="0"/>
              <w:rPr>
                <w:sz w:val="17"/>
                <w:szCs w:val="17"/>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280" w:type="dxa"/>
            <w:vAlign w:val="bottom"/>
            <w:tcBorders>
              <w:top w:val="single" w:sz="8" w:color="auto"/>
              <w:bottom w:val="single" w:sz="8" w:color="auto"/>
            </w:tcBorders>
            <w:shd w:val="clear" w:color="auto" w:fill="CFF0FC"/>
          </w:tcPr>
          <w:p>
            <w:pPr>
              <w:spacing w:after="0"/>
              <w:rPr>
                <w:sz w:val="17"/>
                <w:szCs w:val="17"/>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w:t>
            </w: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380" w:type="dxa"/>
            <w:vAlign w:val="bottom"/>
          </w:tcPr>
          <w:p>
            <w:pPr>
              <w:spacing w:after="0"/>
              <w:rPr>
                <w:sz w:val="20"/>
                <w:szCs w:val="20"/>
                <w:color w:val="auto"/>
              </w:rPr>
            </w:pPr>
            <w:r>
              <w:rPr>
                <w:rFonts w:ascii="Arial" w:cs="Arial" w:eastAsia="Arial" w:hAnsi="Arial"/>
                <w:sz w:val="16"/>
                <w:szCs w:val="16"/>
                <w:color w:val="auto"/>
              </w:rPr>
              <w:t>Charges</w:t>
            </w:r>
          </w:p>
        </w:tc>
        <w:tc>
          <w:tcPr>
            <w:tcW w:w="92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14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380" w:type="dxa"/>
            <w:vAlign w:val="bottom"/>
            <w:shd w:val="clear" w:color="auto" w:fill="CFF0FC"/>
          </w:tcPr>
          <w:p>
            <w:pPr>
              <w:spacing w:after="0"/>
              <w:rPr>
                <w:sz w:val="20"/>
                <w:szCs w:val="20"/>
                <w:color w:val="auto"/>
              </w:rPr>
            </w:pPr>
            <w:r>
              <w:rPr>
                <w:rFonts w:ascii="Arial" w:cs="Arial" w:eastAsia="Arial" w:hAnsi="Arial"/>
                <w:sz w:val="16"/>
                <w:szCs w:val="16"/>
                <w:color w:val="auto"/>
              </w:rPr>
              <w:t>Utilization/cash payments</w:t>
            </w:r>
          </w:p>
        </w:tc>
        <w:tc>
          <w:tcPr>
            <w:tcW w:w="920" w:type="dxa"/>
            <w:vAlign w:val="bottom"/>
            <w:shd w:val="clear" w:color="auto" w:fill="CFF0FC"/>
          </w:tcPr>
          <w:p>
            <w:pPr>
              <w:spacing w:after="0"/>
              <w:rPr>
                <w:sz w:val="17"/>
                <w:szCs w:val="17"/>
                <w:color w:val="auto"/>
              </w:rPr>
            </w:pPr>
          </w:p>
        </w:tc>
        <w:tc>
          <w:tcPr>
            <w:tcW w:w="4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3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(2)</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w:t>
            </w:r>
          </w:p>
        </w:tc>
        <w:tc>
          <w:tcPr>
            <w:tcW w:w="12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05"/>
        </w:trPr>
        <w:tc>
          <w:tcPr>
            <w:tcW w:w="4380" w:type="dxa"/>
            <w:vAlign w:val="bottom"/>
          </w:tcPr>
          <w:p>
            <w:pPr>
              <w:spacing w:after="0"/>
              <w:rPr>
                <w:sz w:val="20"/>
                <w:szCs w:val="20"/>
                <w:color w:val="auto"/>
              </w:rPr>
            </w:pPr>
            <w:r>
              <w:rPr>
                <w:rFonts w:ascii="Arial" w:cs="Arial" w:eastAsia="Arial" w:hAnsi="Arial"/>
                <w:sz w:val="16"/>
                <w:szCs w:val="16"/>
                <w:color w:val="auto"/>
              </w:rPr>
              <w:t xml:space="preserve">Other adjustments &amp; reclasses </w:t>
            </w:r>
            <w:r>
              <w:rPr>
                <w:rFonts w:ascii="Arial" w:cs="Arial" w:eastAsia="Arial" w:hAnsi="Arial"/>
                <w:sz w:val="13"/>
                <w:szCs w:val="13"/>
                <w:color w:val="auto"/>
              </w:rPr>
              <w:t>(3)</w:t>
            </w:r>
          </w:p>
        </w:tc>
        <w:tc>
          <w:tcPr>
            <w:tcW w:w="920" w:type="dxa"/>
            <w:vAlign w:val="bottom"/>
          </w:tcPr>
          <w:p>
            <w:pPr>
              <w:spacing w:after="0"/>
              <w:rPr>
                <w:sz w:val="17"/>
                <w:szCs w:val="17"/>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98"/>
        </w:trPr>
        <w:tc>
          <w:tcPr>
            <w:tcW w:w="4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Balance as of December 31, 2016</w:t>
            </w:r>
          </w:p>
        </w:tc>
        <w:tc>
          <w:tcPr>
            <w:tcW w:w="920" w:type="dxa"/>
            <w:vAlign w:val="bottom"/>
            <w:tcBorders>
              <w:top w:val="single" w:sz="8" w:color="auto"/>
              <w:bottom w:val="single" w:sz="8" w:color="auto"/>
            </w:tcBorders>
            <w:shd w:val="clear" w:color="auto" w:fill="CFF0FC"/>
          </w:tcPr>
          <w:p>
            <w:pPr>
              <w:spacing w:after="0"/>
              <w:rPr>
                <w:sz w:val="17"/>
                <w:szCs w:val="17"/>
                <w:color w:val="auto"/>
              </w:rPr>
            </w:pPr>
          </w:p>
        </w:tc>
        <w:tc>
          <w:tcPr>
            <w:tcW w:w="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1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940" w:type="dxa"/>
            <w:vAlign w:val="bottom"/>
            <w:tcBorders>
              <w:top w:val="single" w:sz="8" w:color="auto"/>
              <w:bottom w:val="single" w:sz="8" w:color="auto"/>
            </w:tcBorders>
            <w:shd w:val="clear" w:color="auto" w:fill="CFF0FC"/>
          </w:tcPr>
          <w:p>
            <w:pPr>
              <w:spacing w:after="0"/>
              <w:rPr>
                <w:sz w:val="17"/>
                <w:szCs w:val="17"/>
                <w:color w:val="auto"/>
              </w:rPr>
            </w:pPr>
          </w:p>
        </w:tc>
        <w:tc>
          <w:tcPr>
            <w:tcW w:w="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1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spacing w:after="0"/>
              <w:rPr>
                <w:sz w:val="17"/>
                <w:szCs w:val="17"/>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spacing w:after="0"/>
              <w:rPr>
                <w:sz w:val="17"/>
                <w:szCs w:val="17"/>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280" w:type="dxa"/>
            <w:vAlign w:val="bottom"/>
            <w:tcBorders>
              <w:top w:val="single" w:sz="8" w:color="auto"/>
              <w:bottom w:val="single" w:sz="8" w:color="auto"/>
            </w:tcBorders>
            <w:shd w:val="clear" w:color="auto" w:fill="CFF0FC"/>
          </w:tcPr>
          <w:p>
            <w:pPr>
              <w:spacing w:after="0"/>
              <w:rPr>
                <w:sz w:val="17"/>
                <w:szCs w:val="17"/>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w:t>
            </w: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380" w:type="dxa"/>
            <w:vAlign w:val="bottom"/>
          </w:tcPr>
          <w:p>
            <w:pPr>
              <w:spacing w:after="0"/>
              <w:rPr>
                <w:sz w:val="20"/>
                <w:szCs w:val="20"/>
                <w:color w:val="auto"/>
              </w:rPr>
            </w:pPr>
            <w:r>
              <w:rPr>
                <w:rFonts w:ascii="Arial" w:cs="Arial" w:eastAsia="Arial" w:hAnsi="Arial"/>
                <w:sz w:val="16"/>
                <w:szCs w:val="16"/>
                <w:color w:val="auto"/>
              </w:rPr>
              <w:t>Charges</w:t>
            </w:r>
          </w:p>
        </w:tc>
        <w:tc>
          <w:tcPr>
            <w:tcW w:w="92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26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3</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380" w:type="dxa"/>
            <w:vAlign w:val="bottom"/>
            <w:shd w:val="clear" w:color="auto" w:fill="CFF0FC"/>
          </w:tcPr>
          <w:p>
            <w:pPr>
              <w:spacing w:after="0"/>
              <w:rPr>
                <w:sz w:val="20"/>
                <w:szCs w:val="20"/>
                <w:color w:val="auto"/>
              </w:rPr>
            </w:pPr>
            <w:r>
              <w:rPr>
                <w:rFonts w:ascii="Arial" w:cs="Arial" w:eastAsia="Arial" w:hAnsi="Arial"/>
                <w:sz w:val="16"/>
                <w:szCs w:val="16"/>
                <w:color w:val="auto"/>
              </w:rPr>
              <w:t>Utilization/cash payments</w:t>
            </w:r>
          </w:p>
        </w:tc>
        <w:tc>
          <w:tcPr>
            <w:tcW w:w="920" w:type="dxa"/>
            <w:vAlign w:val="bottom"/>
            <w:shd w:val="clear" w:color="auto" w:fill="CFF0FC"/>
          </w:tcPr>
          <w:p>
            <w:pPr>
              <w:spacing w:after="0"/>
              <w:rPr>
                <w:sz w:val="17"/>
                <w:szCs w:val="17"/>
                <w:color w:val="auto"/>
              </w:rPr>
            </w:pPr>
          </w:p>
        </w:tc>
        <w:tc>
          <w:tcPr>
            <w:tcW w:w="4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3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(2)</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(9)</w:t>
            </w:r>
          </w:p>
        </w:tc>
        <w:tc>
          <w:tcPr>
            <w:tcW w:w="12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05"/>
        </w:trPr>
        <w:tc>
          <w:tcPr>
            <w:tcW w:w="4380" w:type="dxa"/>
            <w:vAlign w:val="bottom"/>
          </w:tcPr>
          <w:p>
            <w:pPr>
              <w:spacing w:after="0"/>
              <w:rPr>
                <w:sz w:val="20"/>
                <w:szCs w:val="20"/>
                <w:color w:val="auto"/>
              </w:rPr>
            </w:pPr>
            <w:r>
              <w:rPr>
                <w:rFonts w:ascii="Arial" w:cs="Arial" w:eastAsia="Arial" w:hAnsi="Arial"/>
                <w:sz w:val="16"/>
                <w:szCs w:val="16"/>
                <w:color w:val="auto"/>
              </w:rPr>
              <w:t xml:space="preserve">Other adjustments &amp; reclasses </w:t>
            </w:r>
            <w:r>
              <w:rPr>
                <w:rFonts w:ascii="Arial" w:cs="Arial" w:eastAsia="Arial" w:hAnsi="Arial"/>
                <w:sz w:val="13"/>
                <w:szCs w:val="13"/>
                <w:color w:val="auto"/>
              </w:rPr>
              <w:t>(4)</w:t>
            </w:r>
          </w:p>
        </w:tc>
        <w:tc>
          <w:tcPr>
            <w:tcW w:w="920" w:type="dxa"/>
            <w:vAlign w:val="bottom"/>
          </w:tcPr>
          <w:p>
            <w:pPr>
              <w:spacing w:after="0"/>
              <w:rPr>
                <w:sz w:val="17"/>
                <w:szCs w:val="17"/>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198"/>
        </w:trPr>
        <w:tc>
          <w:tcPr>
            <w:tcW w:w="43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Balance as of December 31, 2017</w:t>
            </w:r>
          </w:p>
        </w:tc>
        <w:tc>
          <w:tcPr>
            <w:tcW w:w="920" w:type="dxa"/>
            <w:vAlign w:val="bottom"/>
            <w:tcBorders>
              <w:top w:val="single" w:sz="8" w:color="auto"/>
              <w:bottom w:val="single" w:sz="8" w:color="auto"/>
            </w:tcBorders>
            <w:shd w:val="clear" w:color="auto" w:fill="CFF0FC"/>
          </w:tcPr>
          <w:p>
            <w:pPr>
              <w:jc w:val="right"/>
              <w:ind w:right="770"/>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w:t>
            </w:r>
          </w:p>
        </w:tc>
        <w:tc>
          <w:tcPr>
            <w:tcW w:w="16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940" w:type="dxa"/>
            <w:vAlign w:val="bottom"/>
            <w:tcBorders>
              <w:top w:val="single" w:sz="8" w:color="auto"/>
              <w:bottom w:val="single" w:sz="8" w:color="auto"/>
            </w:tcBorders>
            <w:shd w:val="clear" w:color="auto" w:fill="CFF0FC"/>
          </w:tcPr>
          <w:p>
            <w:pPr>
              <w:jc w:val="right"/>
              <w:ind w:right="790"/>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14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280" w:type="dxa"/>
            <w:vAlign w:val="bottom"/>
            <w:tcBorders>
              <w:top w:val="single" w:sz="8" w:color="auto"/>
              <w:bottom w:val="single" w:sz="8" w:color="auto"/>
            </w:tcBorders>
            <w:shd w:val="clear" w:color="auto" w:fill="CFF0FC"/>
          </w:tcPr>
          <w:p>
            <w:pPr>
              <w:jc w:val="right"/>
              <w:ind w:right="124"/>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w:t>
            </w: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ind w:left="383" w:right="260" w:hanging="383"/>
        <w:spacing w:after="0" w:line="280" w:lineRule="auto"/>
        <w:tabs>
          <w:tab w:leader="none" w:pos="383" w:val="left"/>
        </w:tabs>
        <w:numPr>
          <w:ilvl w:val="0"/>
          <w:numId w:val="38"/>
        </w:numPr>
        <w:rPr>
          <w:rFonts w:ascii="Arial" w:cs="Arial" w:eastAsia="Arial" w:hAnsi="Arial"/>
          <w:sz w:val="14"/>
          <w:szCs w:val="14"/>
          <w:color w:val="auto"/>
        </w:rPr>
      </w:pPr>
      <w:r>
        <w:rPr>
          <w:rFonts w:ascii="Arial" w:cs="Arial" w:eastAsia="Arial" w:hAnsi="Arial"/>
          <w:sz w:val="16"/>
          <w:szCs w:val="16"/>
          <w:color w:val="auto"/>
        </w:rPr>
        <w:t>The severance and exit costs reserves require the outlay of cash, while long-lived asset impairments, accelerated depreciation and inventory write-downs represent non-cash items.</w:t>
      </w:r>
    </w:p>
    <w:p>
      <w:pPr>
        <w:spacing w:after="0" w:line="54" w:lineRule="exact"/>
        <w:rPr>
          <w:rFonts w:ascii="Arial" w:cs="Arial" w:eastAsia="Arial" w:hAnsi="Arial"/>
          <w:sz w:val="14"/>
          <w:szCs w:val="14"/>
          <w:color w:val="auto"/>
        </w:rPr>
      </w:pPr>
    </w:p>
    <w:p>
      <w:pPr>
        <w:ind w:left="383" w:right="800" w:hanging="383"/>
        <w:spacing w:after="0" w:line="280" w:lineRule="auto"/>
        <w:tabs>
          <w:tab w:leader="none" w:pos="383" w:val="left"/>
        </w:tabs>
        <w:numPr>
          <w:ilvl w:val="0"/>
          <w:numId w:val="38"/>
        </w:numPr>
        <w:rPr>
          <w:rFonts w:ascii="Arial" w:cs="Arial" w:eastAsia="Arial" w:hAnsi="Arial"/>
          <w:sz w:val="14"/>
          <w:szCs w:val="14"/>
          <w:color w:val="auto"/>
        </w:rPr>
      </w:pPr>
      <w:r>
        <w:rPr>
          <w:rFonts w:ascii="Arial" w:cs="Arial" w:eastAsia="Arial" w:hAnsi="Arial"/>
          <w:sz w:val="16"/>
          <w:szCs w:val="16"/>
          <w:color w:val="auto"/>
        </w:rPr>
        <w:t>The $(12) million includes $(9) million of severance related charges for pension plan special termination benefits, which were reclassified to Pension and other postretirement liabilities and $(3) million of foreign currency translation adjustments.</w:t>
      </w:r>
    </w:p>
    <w:p>
      <w:pPr>
        <w:spacing w:after="0" w:line="54" w:lineRule="exact"/>
        <w:rPr>
          <w:rFonts w:ascii="Arial" w:cs="Arial" w:eastAsia="Arial" w:hAnsi="Arial"/>
          <w:sz w:val="14"/>
          <w:szCs w:val="14"/>
          <w:color w:val="auto"/>
        </w:rPr>
      </w:pPr>
    </w:p>
    <w:p>
      <w:pPr>
        <w:ind w:left="383" w:right="640" w:hanging="383"/>
        <w:spacing w:after="0" w:line="280" w:lineRule="auto"/>
        <w:tabs>
          <w:tab w:leader="none" w:pos="383" w:val="left"/>
        </w:tabs>
        <w:numPr>
          <w:ilvl w:val="0"/>
          <w:numId w:val="38"/>
        </w:numPr>
        <w:rPr>
          <w:rFonts w:ascii="Arial" w:cs="Arial" w:eastAsia="Arial" w:hAnsi="Arial"/>
          <w:sz w:val="14"/>
          <w:szCs w:val="14"/>
          <w:color w:val="auto"/>
        </w:rPr>
      </w:pPr>
      <w:r>
        <w:rPr>
          <w:rFonts w:ascii="Arial" w:cs="Arial" w:eastAsia="Arial" w:hAnsi="Arial"/>
          <w:sz w:val="16"/>
          <w:szCs w:val="16"/>
          <w:color w:val="auto"/>
        </w:rPr>
        <w:t>The $(2) million represents severance related charges for pension plan curtailments and special termination benefits, which were reclassified to Pension and other postretirement liabilities.</w:t>
      </w:r>
    </w:p>
    <w:p>
      <w:pPr>
        <w:spacing w:after="0" w:line="54" w:lineRule="exact"/>
        <w:rPr>
          <w:rFonts w:ascii="Arial" w:cs="Arial" w:eastAsia="Arial" w:hAnsi="Arial"/>
          <w:sz w:val="14"/>
          <w:szCs w:val="14"/>
          <w:color w:val="auto"/>
        </w:rPr>
      </w:pPr>
    </w:p>
    <w:p>
      <w:pPr>
        <w:ind w:left="383" w:right="720" w:hanging="383"/>
        <w:spacing w:after="0" w:line="280" w:lineRule="auto"/>
        <w:tabs>
          <w:tab w:leader="none" w:pos="383" w:val="left"/>
        </w:tabs>
        <w:numPr>
          <w:ilvl w:val="0"/>
          <w:numId w:val="38"/>
        </w:numPr>
        <w:rPr>
          <w:rFonts w:ascii="Arial" w:cs="Arial" w:eastAsia="Arial" w:hAnsi="Arial"/>
          <w:sz w:val="14"/>
          <w:szCs w:val="14"/>
          <w:color w:val="auto"/>
        </w:rPr>
      </w:pPr>
      <w:r>
        <w:rPr>
          <w:rFonts w:ascii="Arial" w:cs="Arial" w:eastAsia="Arial" w:hAnsi="Arial"/>
          <w:sz w:val="16"/>
          <w:szCs w:val="16"/>
          <w:color w:val="auto"/>
        </w:rPr>
        <w:t>The $(12) million includes $(13) million of severance related charges for pension plan special termination benefits, which were reclassified to Pension and other postretirement liabilities, and $1 million of foreign currency translation adjustments.</w:t>
      </w:r>
    </w:p>
    <w:p>
      <w:pPr>
        <w:spacing w:after="0" w:line="50"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2015 Activity</w:t>
      </w:r>
    </w:p>
    <w:p>
      <w:pPr>
        <w:spacing w:after="0" w:line="110" w:lineRule="exact"/>
        <w:rPr>
          <w:sz w:val="20"/>
          <w:szCs w:val="20"/>
          <w:color w:val="auto"/>
        </w:rPr>
      </w:pPr>
    </w:p>
    <w:p>
      <w:pPr>
        <w:ind w:left="3" w:right="200"/>
        <w:spacing w:after="0" w:line="280" w:lineRule="auto"/>
        <w:rPr>
          <w:sz w:val="20"/>
          <w:szCs w:val="20"/>
          <w:color w:val="auto"/>
        </w:rPr>
      </w:pPr>
      <w:r>
        <w:rPr>
          <w:rFonts w:ascii="Arial" w:cs="Arial" w:eastAsia="Arial" w:hAnsi="Arial"/>
          <w:sz w:val="16"/>
          <w:szCs w:val="16"/>
          <w:color w:val="auto"/>
        </w:rPr>
        <w:t>The $46 million of charges for the year ended December 31, 2015 included $8 million for accelerated depreciation which was reported in Cost of revenues, $38 million which was reported as Restructuring costs and other in the accompanying Consolidated Statement of Operations.</w:t>
      </w:r>
    </w:p>
    <w:p>
      <w:pPr>
        <w:spacing w:after="0" w:line="54" w:lineRule="exact"/>
        <w:rPr>
          <w:sz w:val="20"/>
          <w:szCs w:val="20"/>
          <w:color w:val="auto"/>
        </w:rPr>
      </w:pPr>
    </w:p>
    <w:p>
      <w:pPr>
        <w:ind w:left="3" w:right="240"/>
        <w:spacing w:after="0" w:line="354" w:lineRule="auto"/>
        <w:rPr>
          <w:sz w:val="20"/>
          <w:szCs w:val="20"/>
          <w:color w:val="auto"/>
        </w:rPr>
      </w:pPr>
      <w:r>
        <w:rPr>
          <w:rFonts w:ascii="Arial" w:cs="Arial" w:eastAsia="Arial" w:hAnsi="Arial"/>
          <w:sz w:val="14"/>
          <w:szCs w:val="14"/>
          <w:color w:val="auto"/>
        </w:rPr>
        <w:t>The 2015 severance costs related to the elimination of approximately 600 positions, including approximately 250 manufacturing/service, 250 administrative and 100 research and development positions. The geographic composition of these positions included approximately 275 in the U.S. and Canada, and 325 throughout the rest of the world.</w:t>
      </w:r>
    </w:p>
    <w:p>
      <w:pPr>
        <w:spacing w:after="0" w:line="9" w:lineRule="exact"/>
        <w:rPr>
          <w:sz w:val="20"/>
          <w:szCs w:val="20"/>
          <w:color w:val="auto"/>
        </w:rPr>
      </w:pPr>
    </w:p>
    <w:p>
      <w:pPr>
        <w:ind w:left="3" w:right="320"/>
        <w:spacing w:after="0" w:line="315" w:lineRule="auto"/>
        <w:rPr>
          <w:sz w:val="20"/>
          <w:szCs w:val="20"/>
          <w:color w:val="auto"/>
        </w:rPr>
      </w:pPr>
      <w:r>
        <w:rPr>
          <w:rFonts w:ascii="Arial" w:cs="Arial" w:eastAsia="Arial" w:hAnsi="Arial"/>
          <w:sz w:val="15"/>
          <w:szCs w:val="15"/>
          <w:color w:val="auto"/>
        </w:rPr>
        <w:t>Severance relating to these initiatives was paid in periods through 2016 since, in many instances, the employees whose positions were eliminated can elect or are required to receive their payments over an extended period of time. In addition, certain exit costs, such as long-term lease payments, will continue beyond 2017.</w:t>
      </w:r>
    </w:p>
    <w:p>
      <w:pPr>
        <w:spacing w:after="0" w:line="27"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2016 Activity</w:t>
      </w:r>
    </w:p>
    <w:p>
      <w:pPr>
        <w:spacing w:after="0" w:line="110" w:lineRule="exact"/>
        <w:rPr>
          <w:sz w:val="20"/>
          <w:szCs w:val="20"/>
          <w:color w:val="auto"/>
        </w:rPr>
      </w:pPr>
    </w:p>
    <w:p>
      <w:pPr>
        <w:ind w:left="3" w:right="60"/>
        <w:spacing w:after="0" w:line="280" w:lineRule="auto"/>
        <w:rPr>
          <w:sz w:val="20"/>
          <w:szCs w:val="20"/>
          <w:color w:val="auto"/>
        </w:rPr>
      </w:pPr>
      <w:r>
        <w:rPr>
          <w:rFonts w:ascii="Arial" w:cs="Arial" w:eastAsia="Arial" w:hAnsi="Arial"/>
          <w:sz w:val="16"/>
          <w:szCs w:val="16"/>
          <w:color w:val="auto"/>
        </w:rPr>
        <w:t>The $16 million of charges for the year ended December 31, 2016 included $1 million for inventory write-downs which was reported in Cost of revenues and $15 million which was reported as Restructuring costs and other in the accompanying Consolidated Statement of Operations.</w:t>
      </w:r>
    </w:p>
    <w:p>
      <w:pPr>
        <w:spacing w:after="0" w:line="175" w:lineRule="exact"/>
        <w:rPr>
          <w:sz w:val="20"/>
          <w:szCs w:val="20"/>
          <w:color w:val="auto"/>
        </w:rPr>
      </w:pPr>
    </w:p>
    <w:p>
      <w:pPr>
        <w:ind w:left="3" w:right="100"/>
        <w:spacing w:after="0" w:line="315" w:lineRule="auto"/>
        <w:rPr>
          <w:sz w:val="20"/>
          <w:szCs w:val="20"/>
          <w:color w:val="auto"/>
        </w:rPr>
      </w:pPr>
      <w:r>
        <w:rPr>
          <w:rFonts w:ascii="Arial" w:cs="Arial" w:eastAsia="Arial" w:hAnsi="Arial"/>
          <w:sz w:val="15"/>
          <w:szCs w:val="15"/>
          <w:color w:val="auto"/>
        </w:rPr>
        <w:t>The 2016 severance costs related to the elimination of approximately 200 positions, including approximately 100 administrative, 75 manufacturing/service, and 25 research and development positions. The geographic composition of these positions included approximately 75 in the U.S. and Canada, and 125 throughout the rest of the world.</w:t>
      </w:r>
    </w:p>
    <w:p>
      <w:pPr>
        <w:spacing w:after="0" w:line="127"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62865</wp:posOffset>
            </wp:positionV>
            <wp:extent cx="7301865" cy="406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301865" cy="40640"/>
                    </a:xfrm>
                    <a:prstGeom prst="rect">
                      <a:avLst/>
                    </a:prstGeom>
                    <a:noFill/>
                  </pic:spPr>
                </pic:pic>
              </a:graphicData>
            </a:graphic>
          </wp:anchor>
        </w:drawing>
      </w:r>
    </w:p>
    <w:p>
      <w:pPr>
        <w:sectPr>
          <w:pgSz w:w="11900" w:h="16838" w:orient="portrait"/>
          <w:cols w:equalWidth="0" w:num="1">
            <w:col w:w="11443"/>
          </w:cols>
          <w:pgMar w:left="237" w:top="341" w:right="219" w:bottom="1440" w:gutter="0" w:footer="0" w:header="0"/>
        </w:sectPr>
      </w:pPr>
    </w:p>
    <w:bookmarkStart w:id="81" w:name="page82"/>
    <w:bookmarkEnd w:id="81"/>
    <w:p>
      <w:pPr>
        <w:ind w:right="300"/>
        <w:spacing w:after="0" w:line="315" w:lineRule="auto"/>
        <w:rPr>
          <w:sz w:val="20"/>
          <w:szCs w:val="20"/>
          <w:color w:val="auto"/>
        </w:rPr>
      </w:pPr>
      <w:r>
        <w:rPr>
          <w:rFonts w:ascii="Arial" w:cs="Arial" w:eastAsia="Arial" w:hAnsi="Arial"/>
          <w:sz w:val="15"/>
          <w:szCs w:val="15"/>
          <w:color w:val="auto"/>
        </w:rPr>
        <w:t>Severance relating to these initiatives was paid in periods through 2017 since, in many instances, the employees whose positions were eliminated can elect or are required to receive their payments over an extended period of time. In addition, certain exit costs, such as long-term lease payments, will continue beyond 2017.</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2017 Activity</w:t>
      </w:r>
    </w:p>
    <w:p>
      <w:pPr>
        <w:spacing w:after="0" w:line="110" w:lineRule="exact"/>
        <w:rPr>
          <w:sz w:val="20"/>
          <w:szCs w:val="20"/>
          <w:color w:val="auto"/>
        </w:rPr>
      </w:pPr>
    </w:p>
    <w:p>
      <w:pPr>
        <w:ind w:right="80"/>
        <w:spacing w:after="0" w:line="292" w:lineRule="auto"/>
        <w:rPr>
          <w:sz w:val="20"/>
          <w:szCs w:val="20"/>
          <w:color w:val="auto"/>
        </w:rPr>
      </w:pPr>
      <w:r>
        <w:rPr>
          <w:rFonts w:ascii="Arial" w:cs="Arial" w:eastAsia="Arial" w:hAnsi="Arial"/>
          <w:sz w:val="15"/>
          <w:szCs w:val="15"/>
          <w:color w:val="auto"/>
        </w:rPr>
        <w:t>Restructuring actions taken in 2017 were initiated to reduce Kodak’s cost structure as part of its commitment to drive sustainable profitability and included actions associated with the Prosper business cost reduction, voluntary workforce transition plans in the U.S., an office closure in Switzerland, the cancellation of the copper touch screen program, as well as various targeted reductions in manufacturing, service, sales, research and development and other administrative functions.</w:t>
      </w:r>
    </w:p>
    <w:p>
      <w:pPr>
        <w:spacing w:after="0" w:line="47" w:lineRule="exact"/>
        <w:rPr>
          <w:sz w:val="20"/>
          <w:szCs w:val="20"/>
          <w:color w:val="auto"/>
        </w:rPr>
      </w:pPr>
    </w:p>
    <w:p>
      <w:pPr>
        <w:ind w:right="140"/>
        <w:spacing w:after="0" w:line="315" w:lineRule="auto"/>
        <w:rPr>
          <w:sz w:val="20"/>
          <w:szCs w:val="20"/>
          <w:color w:val="auto"/>
        </w:rPr>
      </w:pPr>
      <w:r>
        <w:rPr>
          <w:rFonts w:ascii="Arial" w:cs="Arial" w:eastAsia="Arial" w:hAnsi="Arial"/>
          <w:sz w:val="15"/>
          <w:szCs w:val="15"/>
          <w:color w:val="auto"/>
        </w:rPr>
        <w:t>As a result of these actions, for the year ended December 31, 2017 Kodak recorded $38 million of charges, including $7 million for inventory write-downs which was reported in Cost of revenues and $31 million which was reported as Restructuring costs and other in the accompanying Consolidated Statement of Operations.</w:t>
      </w:r>
    </w:p>
    <w:p>
      <w:pPr>
        <w:spacing w:after="0" w:line="31" w:lineRule="exact"/>
        <w:rPr>
          <w:sz w:val="20"/>
          <w:szCs w:val="20"/>
          <w:color w:val="auto"/>
        </w:rPr>
      </w:pPr>
    </w:p>
    <w:p>
      <w:pPr>
        <w:ind w:right="180"/>
        <w:spacing w:after="0" w:line="354" w:lineRule="auto"/>
        <w:rPr>
          <w:sz w:val="20"/>
          <w:szCs w:val="20"/>
          <w:color w:val="auto"/>
        </w:rPr>
      </w:pPr>
      <w:r>
        <w:rPr>
          <w:rFonts w:ascii="Arial" w:cs="Arial" w:eastAsia="Arial" w:hAnsi="Arial"/>
          <w:sz w:val="14"/>
          <w:szCs w:val="14"/>
          <w:color w:val="auto"/>
        </w:rPr>
        <w:t>The 2017 severance costs related to the elimination of approximately 475 positions, including approximately 225 administrative, 150 manufacturing/service, and 100 research and development positions. The geographic composition of these positions included approximately 325 in the U.S. and Canada, and 150 throughout the rest of the world.</w:t>
      </w:r>
    </w:p>
    <w:p>
      <w:pPr>
        <w:spacing w:after="0" w:line="9" w:lineRule="exact"/>
        <w:rPr>
          <w:sz w:val="20"/>
          <w:szCs w:val="20"/>
          <w:color w:val="auto"/>
        </w:rPr>
      </w:pPr>
    </w:p>
    <w:p>
      <w:pPr>
        <w:ind w:right="140"/>
        <w:spacing w:after="0" w:line="266" w:lineRule="auto"/>
        <w:rPr>
          <w:sz w:val="20"/>
          <w:szCs w:val="20"/>
          <w:color w:val="auto"/>
        </w:rPr>
      </w:pPr>
      <w:r>
        <w:rPr>
          <w:rFonts w:ascii="Arial" w:cs="Arial" w:eastAsia="Arial" w:hAnsi="Arial"/>
          <w:sz w:val="16"/>
          <w:szCs w:val="16"/>
          <w:color w:val="auto"/>
        </w:rPr>
        <w:t>As a result of these initiatives, the majority of severance payments will be completed by the end of the first half of 2018. However, in some instances, the employees whose positions were eliminated can elect or are required to receive their payments over an extended period of time. In addition, certain exit costs, such as long-term lease payments, will be paid throughout 2017 and beyond.</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Prosper Business Cost Reduction</w:t>
      </w:r>
    </w:p>
    <w:p>
      <w:pPr>
        <w:spacing w:after="0" w:line="231" w:lineRule="exact"/>
        <w:rPr>
          <w:sz w:val="20"/>
          <w:szCs w:val="20"/>
          <w:color w:val="auto"/>
        </w:rPr>
      </w:pPr>
    </w:p>
    <w:p>
      <w:pPr>
        <w:jc w:val="both"/>
        <w:ind w:right="380"/>
        <w:spacing w:after="0" w:line="321" w:lineRule="auto"/>
        <w:rPr>
          <w:sz w:val="20"/>
          <w:szCs w:val="20"/>
          <w:color w:val="auto"/>
        </w:rPr>
      </w:pPr>
      <w:r>
        <w:rPr>
          <w:rFonts w:ascii="Arial" w:cs="Arial" w:eastAsia="Arial" w:hAnsi="Arial"/>
          <w:sz w:val="14"/>
          <w:szCs w:val="14"/>
          <w:color w:val="auto"/>
        </w:rPr>
        <w:t xml:space="preserve">On January 12, 2017, Kodak announced an action to streamline costs in its Prosper business. This action is pursuant to Kodak’s initiative to focus the Prosper business on developing next generation Ultrastream technology with solutions that place writing systems in original equipment manufacturer and hybrid applications and the continued placement of Prosper 6000 presses and components in suitable high volume applications. </w:t>
      </w:r>
      <w:r>
        <w:rPr>
          <w:rFonts w:ascii="Arial" w:cs="Arial" w:eastAsia="Arial" w:hAnsi="Arial"/>
          <w:sz w:val="14"/>
          <w:szCs w:val="14"/>
          <w:color w:val="auto"/>
          <w:highlight w:val="white"/>
        </w:rPr>
        <w:t>The action has been substantially completed as of December 31, 2017.</w:t>
      </w:r>
    </w:p>
    <w:p>
      <w:pPr>
        <w:spacing w:after="0" w:line="31" w:lineRule="exact"/>
        <w:rPr>
          <w:sz w:val="20"/>
          <w:szCs w:val="20"/>
          <w:color w:val="auto"/>
        </w:rPr>
      </w:pPr>
    </w:p>
    <w:p>
      <w:pPr>
        <w:ind w:right="180"/>
        <w:spacing w:after="0" w:line="280" w:lineRule="auto"/>
        <w:rPr>
          <w:sz w:val="20"/>
          <w:szCs w:val="20"/>
          <w:color w:val="auto"/>
        </w:rPr>
      </w:pPr>
      <w:r>
        <w:rPr>
          <w:rFonts w:ascii="Arial" w:cs="Arial" w:eastAsia="Arial" w:hAnsi="Arial"/>
          <w:sz w:val="16"/>
          <w:szCs w:val="16"/>
          <w:color w:val="auto"/>
        </w:rPr>
        <w:t>Under this program for the year ended December 31, 2017, Kodak recorded severance charges of $4 million, long-lived asset impairment charges of $2 million, and inventory write-downs of $6 million.</w:t>
      </w: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17: RETIREMENT PLANS</w:t>
      </w:r>
    </w:p>
    <w:p>
      <w:pPr>
        <w:spacing w:after="0" w:line="110" w:lineRule="exact"/>
        <w:rPr>
          <w:sz w:val="20"/>
          <w:szCs w:val="20"/>
          <w:color w:val="auto"/>
        </w:rPr>
      </w:pPr>
    </w:p>
    <w:p>
      <w:pPr>
        <w:spacing w:after="0" w:line="280" w:lineRule="auto"/>
        <w:rPr>
          <w:sz w:val="20"/>
          <w:szCs w:val="20"/>
          <w:color w:val="auto"/>
        </w:rPr>
      </w:pPr>
      <w:r>
        <w:rPr>
          <w:rFonts w:ascii="Arial" w:cs="Arial" w:eastAsia="Arial" w:hAnsi="Arial"/>
          <w:sz w:val="15"/>
          <w:szCs w:val="15"/>
          <w:color w:val="auto"/>
        </w:rPr>
        <w:t>Substantially all U.S. employees are covered by a noncontributory defined benefit plan, the Kodak Retirement Income Plan (“KRIP”), which is funded by Company contributions to an irrevocable trust fund. The funding policy for KRIP is to contribute amounts sufficient to meet minimum funding requirements as determined by employee benefit and tax laws plus any additional amounts the Company determines to be appropriate. Assets in the trust fund are held for the sole benefit of participating employees and retirees. They are composed of corporate equity and debt securities, U.S. government securities, partnership investments, interests in pooled funds, commodities, real estate, and various types of interest rate, foreign currency, debt, and equity market financial instruments.</w:t>
      </w:r>
    </w:p>
    <w:p>
      <w:pPr>
        <w:spacing w:after="0" w:line="58"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For U.S. employees hired prior to March 1999 KRIP’s benefits were generally based on a formula recognizing length of service and final average earnings. KRIP included a separate cash balance formula for all U.S. employees hired after February 1999, as well as employees hired prior to that date who opted in to the cash balance formula during a special election period. Effective January 1, 2015 the KRIP was amended to provide that all participants accrue benefits under a single, revised cash balance formula (the “Cash Balance Plan”). The Cash Balance Plan credits employees' hypothetical accounts with an amount equal to either 7% or 8% of their pay, plus interest based on the 30-year Treasury bond rate.</w:t>
      </w:r>
    </w:p>
    <w:p>
      <w:pPr>
        <w:spacing w:after="0" w:line="71" w:lineRule="exact"/>
        <w:rPr>
          <w:sz w:val="20"/>
          <w:szCs w:val="20"/>
          <w:color w:val="auto"/>
        </w:rPr>
      </w:pPr>
    </w:p>
    <w:p>
      <w:pPr>
        <w:ind w:right="160"/>
        <w:spacing w:after="0" w:line="261" w:lineRule="auto"/>
        <w:rPr>
          <w:sz w:val="20"/>
          <w:szCs w:val="20"/>
          <w:color w:val="auto"/>
        </w:rPr>
      </w:pPr>
      <w:r>
        <w:rPr>
          <w:rFonts w:ascii="Arial" w:cs="Arial" w:eastAsia="Arial" w:hAnsi="Arial"/>
          <w:sz w:val="16"/>
          <w:szCs w:val="16"/>
          <w:color w:val="auto"/>
        </w:rPr>
        <w:t>Many subsidiaries and branches operating outside the U.S. have defined benefit retirement plans covering substantially all employees. Contributions by Kodak for these plans are typically deposited under government or other fiduciary-type arrangements. Retirement benefits are generally based on contractual agreements that provide for benefit formulas using years of service and/or compensation prior to retirement. The actuarial assumptions used for these plans reflect the diverse economic environments within the various countries in which Kodak operates.</w:t>
      </w:r>
    </w:p>
    <w:p>
      <w:pPr>
        <w:spacing w:after="0" w:line="70" w:lineRule="exact"/>
        <w:rPr>
          <w:sz w:val="20"/>
          <w:szCs w:val="20"/>
          <w:color w:val="auto"/>
        </w:rPr>
      </w:pPr>
    </w:p>
    <w:p>
      <w:pPr>
        <w:ind w:right="80"/>
        <w:spacing w:after="0" w:line="280" w:lineRule="auto"/>
        <w:rPr>
          <w:sz w:val="20"/>
          <w:szCs w:val="20"/>
          <w:color w:val="auto"/>
        </w:rPr>
      </w:pPr>
      <w:r>
        <w:rPr>
          <w:rFonts w:ascii="Arial" w:cs="Arial" w:eastAsia="Arial" w:hAnsi="Arial"/>
          <w:sz w:val="16"/>
          <w:szCs w:val="16"/>
          <w:color w:val="auto"/>
        </w:rPr>
        <w:t>Information on the major funded and unfunded U.S. and Non-U.S. defined benefit pension plans is presented below. The composition of the major plans may vary from year to year. If the major plan composition changes, prior year data is conformed to ensure comparability.</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62865</wp:posOffset>
            </wp:positionV>
            <wp:extent cx="7301865" cy="406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301865" cy="40640"/>
                    </a:xfrm>
                    <a:prstGeom prst="rect">
                      <a:avLst/>
                    </a:prstGeom>
                    <a:noFill/>
                  </pic:spPr>
                </pic:pic>
              </a:graphicData>
            </a:graphic>
          </wp:anchor>
        </w:drawing>
      </w:r>
    </w:p>
    <w:p>
      <w:pPr>
        <w:sectPr>
          <w:pgSz w:w="11900" w:h="16838" w:orient="portrait"/>
          <w:cols w:equalWidth="0" w:num="1">
            <w:col w:w="11420"/>
          </w:cols>
          <w:pgMar w:left="240" w:top="224" w:right="239" w:bottom="1440" w:gutter="0" w:footer="0" w:header="0"/>
        </w:sectPr>
      </w:pPr>
    </w:p>
    <w:bookmarkStart w:id="82" w:name="page83"/>
    <w:bookmarkEnd w:id="82"/>
    <w:p>
      <w:pPr>
        <w:spacing w:after="0"/>
        <w:rPr>
          <w:sz w:val="20"/>
          <w:szCs w:val="20"/>
          <w:color w:val="auto"/>
        </w:rPr>
      </w:pPr>
      <w:r>
        <w:rPr>
          <w:rFonts w:ascii="Arial" w:cs="Arial" w:eastAsia="Arial" w:hAnsi="Arial"/>
          <w:sz w:val="16"/>
          <w:szCs w:val="16"/>
          <w:color w:val="auto"/>
        </w:rPr>
        <w:t>The measurement date used to determine the pension obligation for all funded and unfunded U.S. and Non-U.S. defined benefit plans is December 31.</w:t>
      </w:r>
    </w:p>
    <w:p>
      <w:pPr>
        <w:spacing w:after="0" w:line="215" w:lineRule="exact"/>
        <w:rPr>
          <w:sz w:val="20"/>
          <w:szCs w:val="20"/>
          <w:color w:val="auto"/>
        </w:rPr>
      </w:pPr>
    </w:p>
    <w:tbl>
      <w:tblPr>
        <w:tblLayout w:type="fixed"/>
        <w:tblInd w:w="58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4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gridSpan w:val="4"/>
          </w:tcPr>
          <w:p>
            <w:pPr>
              <w:jc w:val="right"/>
              <w:spacing w:after="0"/>
              <w:rPr>
                <w:sz w:val="20"/>
                <w:szCs w:val="20"/>
                <w:color w:val="auto"/>
              </w:rPr>
            </w:pPr>
            <w:r>
              <w:rPr>
                <w:rFonts w:ascii="Arial" w:cs="Arial" w:eastAsia="Arial" w:hAnsi="Arial"/>
                <w:sz w:val="13"/>
                <w:szCs w:val="13"/>
                <w:b w:val="1"/>
                <w:bCs w:val="1"/>
                <w:color w:val="auto"/>
              </w:rPr>
              <w:t>Year Ended</w:t>
            </w: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gridSpan w:val="4"/>
          </w:tcPr>
          <w:p>
            <w:pPr>
              <w:jc w:val="right"/>
              <w:spacing w:after="0"/>
              <w:rPr>
                <w:sz w:val="20"/>
                <w:szCs w:val="20"/>
                <w:color w:val="auto"/>
              </w:rPr>
            </w:pPr>
            <w:r>
              <w:rPr>
                <w:rFonts w:ascii="Arial" w:cs="Arial" w:eastAsia="Arial" w:hAnsi="Arial"/>
                <w:sz w:val="13"/>
                <w:szCs w:val="13"/>
                <w:b w:val="1"/>
                <w:bCs w:val="1"/>
                <w:color w:val="auto"/>
              </w:rPr>
              <w:t>Year Ended</w:t>
            </w: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300" w:type="dxa"/>
            <w:vAlign w:val="bottom"/>
            <w:gridSpan w:val="2"/>
            <w:vMerge w:val="restart"/>
          </w:tcPr>
          <w:p>
            <w:pPr>
              <w:spacing w:after="0"/>
              <w:rPr>
                <w:sz w:val="20"/>
                <w:szCs w:val="20"/>
                <w:color w:val="auto"/>
              </w:rPr>
            </w:pPr>
            <w:r>
              <w:rPr>
                <w:rFonts w:ascii="Arial" w:cs="Arial" w:eastAsia="Arial" w:hAnsi="Arial"/>
                <w:sz w:val="13"/>
                <w:szCs w:val="13"/>
                <w:color w:val="auto"/>
              </w:rPr>
              <w:t>(in millions)</w:t>
            </w: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0" w:type="dxa"/>
            <w:vAlign w:val="bottom"/>
            <w:gridSpan w:val="6"/>
          </w:tcPr>
          <w:p>
            <w:pPr>
              <w:jc w:val="right"/>
              <w:ind w:right="780"/>
              <w:spacing w:after="0"/>
              <w:rPr>
                <w:sz w:val="20"/>
                <w:szCs w:val="20"/>
                <w:color w:val="auto"/>
              </w:rPr>
            </w:pPr>
            <w:r>
              <w:rPr>
                <w:rFonts w:ascii="Arial" w:cs="Arial" w:eastAsia="Arial" w:hAnsi="Arial"/>
                <w:sz w:val="13"/>
                <w:szCs w:val="13"/>
                <w:b w:val="1"/>
                <w:bCs w:val="1"/>
                <w:color w:val="auto"/>
              </w:rPr>
              <w:t>December 31, 2017</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180" w:type="dxa"/>
            <w:vAlign w:val="bottom"/>
            <w:gridSpan w:val="6"/>
          </w:tcPr>
          <w:p>
            <w:pPr>
              <w:jc w:val="right"/>
              <w:ind w:right="740"/>
              <w:spacing w:after="0"/>
              <w:rPr>
                <w:sz w:val="20"/>
                <w:szCs w:val="20"/>
                <w:color w:val="auto"/>
              </w:rPr>
            </w:pPr>
            <w:r>
              <w:rPr>
                <w:rFonts w:ascii="Arial" w:cs="Arial" w:eastAsia="Arial" w:hAnsi="Arial"/>
                <w:sz w:val="13"/>
                <w:szCs w:val="13"/>
                <w:b w:val="1"/>
                <w:bCs w:val="1"/>
                <w:color w:val="auto"/>
              </w:rPr>
              <w:t>December 31, 2016</w:t>
            </w:r>
          </w:p>
        </w:tc>
        <w:tc>
          <w:tcPr>
            <w:tcW w:w="0" w:type="dxa"/>
            <w:vAlign w:val="bottom"/>
          </w:tcPr>
          <w:p>
            <w:pPr>
              <w:spacing w:after="0"/>
              <w:rPr>
                <w:sz w:val="1"/>
                <w:szCs w:val="1"/>
                <w:color w:val="auto"/>
              </w:rPr>
            </w:pPr>
          </w:p>
        </w:tc>
      </w:tr>
      <w:tr>
        <w:trPr>
          <w:trHeight w:val="137"/>
        </w:trPr>
        <w:tc>
          <w:tcPr>
            <w:tcW w:w="4300" w:type="dxa"/>
            <w:vAlign w:val="bottom"/>
            <w:gridSpan w:val="2"/>
            <w:vMerge w:val="continue"/>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2"/>
          </w:tcPr>
          <w:p>
            <w:pPr>
              <w:jc w:val="right"/>
              <w:ind w:right="540"/>
              <w:spacing w:after="0" w:line="138" w:lineRule="exact"/>
              <w:rPr>
                <w:sz w:val="20"/>
                <w:szCs w:val="20"/>
                <w:color w:val="auto"/>
              </w:rPr>
            </w:pPr>
            <w:r>
              <w:rPr>
                <w:rFonts w:ascii="Arial" w:cs="Arial" w:eastAsia="Arial" w:hAnsi="Arial"/>
                <w:sz w:val="13"/>
                <w:szCs w:val="13"/>
                <w:b w:val="1"/>
                <w:bCs w:val="1"/>
                <w:color w:val="auto"/>
              </w:rPr>
              <w:t>U.S.</w:t>
            </w:r>
          </w:p>
        </w:tc>
        <w:tc>
          <w:tcPr>
            <w:tcW w:w="1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ind w:right="200"/>
              <w:spacing w:after="0" w:line="138" w:lineRule="exact"/>
              <w:rPr>
                <w:sz w:val="20"/>
                <w:szCs w:val="20"/>
                <w:color w:val="auto"/>
              </w:rPr>
            </w:pPr>
            <w:r>
              <w:rPr>
                <w:rFonts w:ascii="Arial" w:cs="Arial" w:eastAsia="Arial" w:hAnsi="Arial"/>
                <w:sz w:val="13"/>
                <w:szCs w:val="13"/>
                <w:b w:val="1"/>
                <w:bCs w:val="1"/>
                <w:color w:val="auto"/>
                <w:w w:val="91"/>
              </w:rPr>
              <w:t>Non-U.S.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gridSpan w:val="2"/>
          </w:tcPr>
          <w:p>
            <w:pPr>
              <w:jc w:val="right"/>
              <w:ind w:right="540"/>
              <w:spacing w:after="0" w:line="138" w:lineRule="exact"/>
              <w:rPr>
                <w:sz w:val="20"/>
                <w:szCs w:val="20"/>
                <w:color w:val="auto"/>
              </w:rPr>
            </w:pPr>
            <w:r>
              <w:rPr>
                <w:rFonts w:ascii="Arial" w:cs="Arial" w:eastAsia="Arial" w:hAnsi="Arial"/>
                <w:sz w:val="13"/>
                <w:szCs w:val="13"/>
                <w:b w:val="1"/>
                <w:bCs w:val="1"/>
                <w:color w:val="auto"/>
              </w:rPr>
              <w:t>U.S.</w:t>
            </w:r>
          </w:p>
        </w:tc>
        <w:tc>
          <w:tcPr>
            <w:tcW w:w="1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right"/>
              <w:ind w:right="200"/>
              <w:spacing w:after="0" w:line="138" w:lineRule="exact"/>
              <w:rPr>
                <w:sz w:val="20"/>
                <w:szCs w:val="20"/>
                <w:color w:val="auto"/>
              </w:rPr>
            </w:pPr>
            <w:r>
              <w:rPr>
                <w:rFonts w:ascii="Arial" w:cs="Arial" w:eastAsia="Arial" w:hAnsi="Arial"/>
                <w:sz w:val="13"/>
                <w:szCs w:val="13"/>
                <w:b w:val="1"/>
                <w:bCs w:val="1"/>
                <w:color w:val="auto"/>
                <w:w w:val="94"/>
              </w:rPr>
              <w:t>Non-U.S.</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Change in Benefit Obligation</w:t>
            </w:r>
          </w:p>
        </w:tc>
        <w:tc>
          <w:tcPr>
            <w:tcW w:w="104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280" w:type="dxa"/>
            <w:vAlign w:val="bottom"/>
          </w:tcPr>
          <w:p>
            <w:pPr>
              <w:spacing w:after="0"/>
              <w:rPr>
                <w:sz w:val="20"/>
                <w:szCs w:val="20"/>
                <w:color w:val="auto"/>
              </w:rPr>
            </w:pPr>
            <w:r>
              <w:rPr>
                <w:rFonts w:ascii="Arial" w:cs="Arial" w:eastAsia="Arial" w:hAnsi="Arial"/>
                <w:sz w:val="16"/>
                <w:szCs w:val="16"/>
                <w:color w:val="auto"/>
              </w:rPr>
              <w:t>Projected benefit obligation at beginning of period</w:t>
            </w:r>
          </w:p>
        </w:tc>
        <w:tc>
          <w:tcPr>
            <w:tcW w:w="1280" w:type="dxa"/>
            <w:vAlign w:val="bottom"/>
            <w:gridSpan w:val="2"/>
          </w:tcPr>
          <w:p>
            <w:pPr>
              <w:jc w:val="right"/>
              <w:ind w:right="84"/>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3,908</w:t>
            </w:r>
          </w:p>
        </w:tc>
        <w:tc>
          <w:tcPr>
            <w:tcW w:w="120" w:type="dxa"/>
            <w:vAlign w:val="bottom"/>
          </w:tcPr>
          <w:p>
            <w:pPr>
              <w:spacing w:after="0"/>
              <w:rPr>
                <w:sz w:val="17"/>
                <w:szCs w:val="17"/>
                <w:color w:val="auto"/>
              </w:rPr>
            </w:pPr>
          </w:p>
        </w:tc>
        <w:tc>
          <w:tcPr>
            <w:tcW w:w="340" w:type="dxa"/>
            <w:vAlign w:val="bottom"/>
            <w:gridSpan w:val="2"/>
          </w:tcPr>
          <w:p>
            <w:pPr>
              <w:jc w:val="right"/>
              <w:ind w:right="84"/>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816</w:t>
            </w:r>
          </w:p>
        </w:tc>
        <w:tc>
          <w:tcPr>
            <w:tcW w:w="140" w:type="dxa"/>
            <w:vAlign w:val="bottom"/>
          </w:tcPr>
          <w:p>
            <w:pPr>
              <w:spacing w:after="0"/>
              <w:rPr>
                <w:sz w:val="17"/>
                <w:szCs w:val="17"/>
                <w:color w:val="auto"/>
              </w:rPr>
            </w:pPr>
          </w:p>
        </w:tc>
        <w:tc>
          <w:tcPr>
            <w:tcW w:w="320" w:type="dxa"/>
            <w:vAlign w:val="bottom"/>
            <w:gridSpan w:val="2"/>
          </w:tcPr>
          <w:p>
            <w:pPr>
              <w:jc w:val="right"/>
              <w:ind w:right="84"/>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4,099</w:t>
            </w:r>
          </w:p>
        </w:tc>
        <w:tc>
          <w:tcPr>
            <w:tcW w:w="120" w:type="dxa"/>
            <w:vAlign w:val="bottom"/>
          </w:tcPr>
          <w:p>
            <w:pPr>
              <w:spacing w:after="0"/>
              <w:rPr>
                <w:sz w:val="17"/>
                <w:szCs w:val="17"/>
                <w:color w:val="auto"/>
              </w:rPr>
            </w:pPr>
          </w:p>
        </w:tc>
        <w:tc>
          <w:tcPr>
            <w:tcW w:w="320" w:type="dxa"/>
            <w:vAlign w:val="bottom"/>
            <w:gridSpan w:val="2"/>
          </w:tcPr>
          <w:p>
            <w:pPr>
              <w:jc w:val="right"/>
              <w:ind w:right="11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800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2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Service cost</w:t>
            </w:r>
          </w:p>
        </w:tc>
        <w:tc>
          <w:tcPr>
            <w:tcW w:w="10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280" w:type="dxa"/>
            <w:vAlign w:val="bottom"/>
          </w:tcPr>
          <w:p>
            <w:pPr>
              <w:ind w:left="200"/>
              <w:spacing w:after="0"/>
              <w:rPr>
                <w:sz w:val="20"/>
                <w:szCs w:val="20"/>
                <w:color w:val="auto"/>
              </w:rPr>
            </w:pPr>
            <w:r>
              <w:rPr>
                <w:rFonts w:ascii="Arial" w:cs="Arial" w:eastAsia="Arial" w:hAnsi="Arial"/>
                <w:sz w:val="16"/>
                <w:szCs w:val="16"/>
                <w:color w:val="auto"/>
              </w:rPr>
              <w:t>Interest cost</w:t>
            </w: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2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Benefit payments</w:t>
            </w:r>
          </w:p>
        </w:tc>
        <w:tc>
          <w:tcPr>
            <w:tcW w:w="10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(352)</w:t>
            </w: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(48)</w:t>
            </w: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(395)</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280" w:type="dxa"/>
            <w:vAlign w:val="bottom"/>
          </w:tcPr>
          <w:p>
            <w:pPr>
              <w:ind w:left="200"/>
              <w:spacing w:after="0"/>
              <w:rPr>
                <w:sz w:val="20"/>
                <w:szCs w:val="20"/>
                <w:color w:val="auto"/>
              </w:rPr>
            </w:pPr>
            <w:r>
              <w:rPr>
                <w:rFonts w:ascii="Arial" w:cs="Arial" w:eastAsia="Arial" w:hAnsi="Arial"/>
                <w:sz w:val="16"/>
                <w:szCs w:val="16"/>
                <w:color w:val="auto"/>
              </w:rPr>
              <w:t>Actuarial loss</w:t>
            </w: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170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2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Special termination benefits</w:t>
            </w:r>
          </w:p>
        </w:tc>
        <w:tc>
          <w:tcPr>
            <w:tcW w:w="10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280" w:type="dxa"/>
            <w:vAlign w:val="bottom"/>
          </w:tcPr>
          <w:p>
            <w:pPr>
              <w:ind w:left="200"/>
              <w:spacing w:after="0"/>
              <w:rPr>
                <w:sz w:val="20"/>
                <w:szCs w:val="20"/>
                <w:color w:val="auto"/>
              </w:rPr>
            </w:pPr>
            <w:r>
              <w:rPr>
                <w:rFonts w:ascii="Arial" w:cs="Arial" w:eastAsia="Arial" w:hAnsi="Arial"/>
                <w:sz w:val="16"/>
                <w:szCs w:val="16"/>
                <w:color w:val="auto"/>
              </w:rPr>
              <w:t>Currency adjustments</w:t>
            </w: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2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Projected benefit obligation at end of period</w:t>
            </w:r>
          </w:p>
        </w:tc>
        <w:tc>
          <w:tcPr>
            <w:tcW w:w="1040" w:type="dxa"/>
            <w:vAlign w:val="bottom"/>
            <w:tcBorders>
              <w:top w:val="single" w:sz="8" w:color="CFF0FC"/>
              <w:bottom w:val="single" w:sz="8" w:color="CFF0FC"/>
            </w:tcBorders>
            <w:shd w:val="clear" w:color="auto" w:fill="CFF0FC"/>
          </w:tcPr>
          <w:p>
            <w:pPr>
              <w:spacing w:after="0"/>
              <w:rPr>
                <w:sz w:val="17"/>
                <w:szCs w:val="17"/>
                <w:color w:val="auto"/>
              </w:rPr>
            </w:pPr>
          </w:p>
        </w:tc>
        <w:tc>
          <w:tcPr>
            <w:tcW w:w="240" w:type="dxa"/>
            <w:vAlign w:val="bottom"/>
            <w:tcBorders>
              <w:top w:val="single" w:sz="8" w:color="auto"/>
              <w:bottom w:val="single" w:sz="8" w:color="auto"/>
            </w:tcBorders>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3,866</w:t>
            </w: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240" w:type="dxa"/>
            <w:vAlign w:val="bottom"/>
            <w:tcBorders>
              <w:top w:val="single" w:sz="8" w:color="auto"/>
              <w:bottom w:val="single" w:sz="8" w:color="auto"/>
            </w:tcBorders>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885</w:t>
            </w:r>
          </w:p>
        </w:tc>
        <w:tc>
          <w:tcPr>
            <w:tcW w:w="140" w:type="dxa"/>
            <w:vAlign w:val="bottom"/>
            <w:tcBorders>
              <w:top w:val="single" w:sz="8" w:color="CFF0FC"/>
              <w:bottom w:val="single" w:sz="8" w:color="CFF0FC"/>
            </w:tcBorders>
            <w:shd w:val="clear" w:color="auto" w:fill="CFF0FC"/>
          </w:tcPr>
          <w:p>
            <w:pPr>
              <w:spacing w:after="0"/>
              <w:rPr>
                <w:sz w:val="17"/>
                <w:szCs w:val="17"/>
                <w:color w:val="auto"/>
              </w:rPr>
            </w:pP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c>
          <w:tcPr>
            <w:tcW w:w="240" w:type="dxa"/>
            <w:vAlign w:val="bottom"/>
            <w:tcBorders>
              <w:top w:val="single" w:sz="8" w:color="auto"/>
              <w:bottom w:val="single" w:sz="8" w:color="auto"/>
            </w:tcBorders>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3,908</w:t>
            </w: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22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816</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vMerge w:val="restart"/>
          </w:tcPr>
          <w:p>
            <w:pPr>
              <w:spacing w:after="0"/>
              <w:rPr>
                <w:sz w:val="15"/>
                <w:szCs w:val="15"/>
                <w:color w:val="auto"/>
              </w:rPr>
            </w:pPr>
          </w:p>
        </w:tc>
        <w:tc>
          <w:tcPr>
            <w:tcW w:w="4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4280" w:type="dxa"/>
            <w:vAlign w:val="bottom"/>
            <w:shd w:val="clear" w:color="auto" w:fill="CFF0FC"/>
          </w:tcPr>
          <w:p>
            <w:pPr>
              <w:spacing w:after="0"/>
              <w:rPr>
                <w:sz w:val="20"/>
                <w:szCs w:val="20"/>
                <w:color w:val="auto"/>
              </w:rPr>
            </w:pPr>
            <w:r>
              <w:rPr>
                <w:rFonts w:ascii="Arial" w:cs="Arial" w:eastAsia="Arial" w:hAnsi="Arial"/>
                <w:sz w:val="16"/>
                <w:szCs w:val="16"/>
                <w:color w:val="auto"/>
              </w:rPr>
              <w:t>Change in Plan Assets</w:t>
            </w:r>
          </w:p>
        </w:tc>
        <w:tc>
          <w:tcPr>
            <w:tcW w:w="10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280" w:type="dxa"/>
            <w:vAlign w:val="bottom"/>
          </w:tcPr>
          <w:p>
            <w:pPr>
              <w:spacing w:after="0"/>
              <w:rPr>
                <w:sz w:val="20"/>
                <w:szCs w:val="20"/>
                <w:color w:val="auto"/>
              </w:rPr>
            </w:pPr>
            <w:r>
              <w:rPr>
                <w:rFonts w:ascii="Arial" w:cs="Arial" w:eastAsia="Arial" w:hAnsi="Arial"/>
                <w:sz w:val="16"/>
                <w:szCs w:val="16"/>
                <w:color w:val="auto"/>
              </w:rPr>
              <w:t>Fair value of plan assets at beginning of period</w:t>
            </w:r>
          </w:p>
        </w:tc>
        <w:tc>
          <w:tcPr>
            <w:tcW w:w="1280" w:type="dxa"/>
            <w:vAlign w:val="bottom"/>
            <w:gridSpan w:val="2"/>
          </w:tcPr>
          <w:p>
            <w:pPr>
              <w:jc w:val="right"/>
              <w:ind w:right="84"/>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3,653</w:t>
            </w:r>
          </w:p>
        </w:tc>
        <w:tc>
          <w:tcPr>
            <w:tcW w:w="120" w:type="dxa"/>
            <w:vAlign w:val="bottom"/>
          </w:tcPr>
          <w:p>
            <w:pPr>
              <w:spacing w:after="0"/>
              <w:rPr>
                <w:sz w:val="17"/>
                <w:szCs w:val="17"/>
                <w:color w:val="auto"/>
              </w:rPr>
            </w:pPr>
          </w:p>
        </w:tc>
        <w:tc>
          <w:tcPr>
            <w:tcW w:w="340" w:type="dxa"/>
            <w:vAlign w:val="bottom"/>
            <w:gridSpan w:val="2"/>
          </w:tcPr>
          <w:p>
            <w:pPr>
              <w:jc w:val="right"/>
              <w:ind w:right="84"/>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693</w:t>
            </w:r>
          </w:p>
        </w:tc>
        <w:tc>
          <w:tcPr>
            <w:tcW w:w="140" w:type="dxa"/>
            <w:vAlign w:val="bottom"/>
          </w:tcPr>
          <w:p>
            <w:pPr>
              <w:spacing w:after="0"/>
              <w:rPr>
                <w:sz w:val="17"/>
                <w:szCs w:val="17"/>
                <w:color w:val="auto"/>
              </w:rPr>
            </w:pPr>
          </w:p>
        </w:tc>
        <w:tc>
          <w:tcPr>
            <w:tcW w:w="320" w:type="dxa"/>
            <w:vAlign w:val="bottom"/>
            <w:gridSpan w:val="2"/>
          </w:tcPr>
          <w:p>
            <w:pPr>
              <w:jc w:val="right"/>
              <w:ind w:right="84"/>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3,793</w:t>
            </w:r>
          </w:p>
        </w:tc>
        <w:tc>
          <w:tcPr>
            <w:tcW w:w="120" w:type="dxa"/>
            <w:vAlign w:val="bottom"/>
          </w:tcPr>
          <w:p>
            <w:pPr>
              <w:spacing w:after="0"/>
              <w:rPr>
                <w:sz w:val="17"/>
                <w:szCs w:val="17"/>
                <w:color w:val="auto"/>
              </w:rPr>
            </w:pPr>
          </w:p>
        </w:tc>
        <w:tc>
          <w:tcPr>
            <w:tcW w:w="320" w:type="dxa"/>
            <w:vAlign w:val="bottom"/>
            <w:gridSpan w:val="2"/>
          </w:tcPr>
          <w:p>
            <w:pPr>
              <w:jc w:val="right"/>
              <w:ind w:right="11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728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2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Gain on plan assets</w:t>
            </w:r>
          </w:p>
        </w:tc>
        <w:tc>
          <w:tcPr>
            <w:tcW w:w="10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503</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255</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280" w:type="dxa"/>
            <w:vAlign w:val="bottom"/>
          </w:tcPr>
          <w:p>
            <w:pPr>
              <w:ind w:left="200"/>
              <w:spacing w:after="0"/>
              <w:rPr>
                <w:sz w:val="20"/>
                <w:szCs w:val="20"/>
                <w:color w:val="auto"/>
              </w:rPr>
            </w:pPr>
            <w:r>
              <w:rPr>
                <w:rFonts w:ascii="Arial" w:cs="Arial" w:eastAsia="Arial" w:hAnsi="Arial"/>
                <w:sz w:val="16"/>
                <w:szCs w:val="16"/>
                <w:color w:val="auto"/>
              </w:rPr>
              <w:t>Employer contributions</w:t>
            </w: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2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Benefit payments</w:t>
            </w:r>
          </w:p>
        </w:tc>
        <w:tc>
          <w:tcPr>
            <w:tcW w:w="10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(352)</w:t>
            </w: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(48)</w:t>
            </w: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(395)</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280" w:type="dxa"/>
            <w:vAlign w:val="bottom"/>
          </w:tcPr>
          <w:p>
            <w:pPr>
              <w:ind w:left="200"/>
              <w:spacing w:after="0"/>
              <w:rPr>
                <w:sz w:val="20"/>
                <w:szCs w:val="20"/>
                <w:color w:val="auto"/>
              </w:rPr>
            </w:pPr>
            <w:r>
              <w:rPr>
                <w:rFonts w:ascii="Arial" w:cs="Arial" w:eastAsia="Arial" w:hAnsi="Arial"/>
                <w:sz w:val="16"/>
                <w:szCs w:val="16"/>
                <w:color w:val="auto"/>
              </w:rPr>
              <w:t>Currency adjustments</w:t>
            </w: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2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Fair value of plan assets at end of period</w:t>
            </w:r>
          </w:p>
        </w:tc>
        <w:tc>
          <w:tcPr>
            <w:tcW w:w="1040" w:type="dxa"/>
            <w:vAlign w:val="bottom"/>
            <w:tcBorders>
              <w:top w:val="single" w:sz="8" w:color="CFF0FC"/>
              <w:bottom w:val="single" w:sz="8" w:color="CFF0FC"/>
            </w:tcBorders>
            <w:shd w:val="clear" w:color="auto" w:fill="CFF0FC"/>
          </w:tcPr>
          <w:p>
            <w:pPr>
              <w:spacing w:after="0"/>
              <w:rPr>
                <w:sz w:val="17"/>
                <w:szCs w:val="17"/>
                <w:color w:val="auto"/>
              </w:rPr>
            </w:pPr>
          </w:p>
        </w:tc>
        <w:tc>
          <w:tcPr>
            <w:tcW w:w="240" w:type="dxa"/>
            <w:vAlign w:val="bottom"/>
            <w:tcBorders>
              <w:top w:val="single" w:sz="8" w:color="auto"/>
              <w:bottom w:val="single" w:sz="8" w:color="auto"/>
            </w:tcBorders>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3,804</w:t>
            </w: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240" w:type="dxa"/>
            <w:vAlign w:val="bottom"/>
            <w:tcBorders>
              <w:top w:val="single" w:sz="8" w:color="auto"/>
              <w:bottom w:val="single" w:sz="8" w:color="auto"/>
            </w:tcBorders>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722</w:t>
            </w:r>
          </w:p>
        </w:tc>
        <w:tc>
          <w:tcPr>
            <w:tcW w:w="140" w:type="dxa"/>
            <w:vAlign w:val="bottom"/>
            <w:tcBorders>
              <w:top w:val="single" w:sz="8" w:color="CFF0FC"/>
              <w:bottom w:val="single" w:sz="8" w:color="CFF0FC"/>
            </w:tcBorders>
            <w:shd w:val="clear" w:color="auto" w:fill="CFF0FC"/>
          </w:tcPr>
          <w:p>
            <w:pPr>
              <w:spacing w:after="0"/>
              <w:rPr>
                <w:sz w:val="17"/>
                <w:szCs w:val="17"/>
                <w:color w:val="auto"/>
              </w:rPr>
            </w:pP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c>
          <w:tcPr>
            <w:tcW w:w="240" w:type="dxa"/>
            <w:vAlign w:val="bottom"/>
            <w:tcBorders>
              <w:top w:val="single" w:sz="8" w:color="auto"/>
              <w:bottom w:val="single" w:sz="8" w:color="auto"/>
            </w:tcBorders>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3,653</w:t>
            </w: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22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693</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0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4280" w:type="dxa"/>
            <w:vAlign w:val="bottom"/>
            <w:tcBorders>
              <w:bottom w:val="single" w:sz="8" w:color="CFF0FC"/>
            </w:tcBorders>
          </w:tcPr>
          <w:p>
            <w:pPr>
              <w:spacing w:after="0"/>
              <w:rPr>
                <w:sz w:val="15"/>
                <w:szCs w:val="15"/>
                <w:color w:val="auto"/>
              </w:rPr>
            </w:pPr>
          </w:p>
        </w:tc>
        <w:tc>
          <w:tcPr>
            <w:tcW w:w="104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4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Under Funded Status at end of period</w:t>
            </w:r>
          </w:p>
        </w:tc>
        <w:tc>
          <w:tcPr>
            <w:tcW w:w="10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(62)</w:t>
            </w:r>
          </w:p>
        </w:tc>
        <w:tc>
          <w:tcPr>
            <w:tcW w:w="1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(163)</w:t>
            </w:r>
          </w:p>
        </w:tc>
        <w:tc>
          <w:tcPr>
            <w:tcW w:w="14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(255)</w:t>
            </w:r>
          </w:p>
        </w:tc>
        <w:tc>
          <w:tcPr>
            <w:tcW w:w="1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(123)</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0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4280" w:type="dxa"/>
            <w:vAlign w:val="bottom"/>
            <w:tcBorders>
              <w:bottom w:val="single" w:sz="8" w:color="CFF0FC"/>
            </w:tcBorders>
          </w:tcPr>
          <w:p>
            <w:pPr>
              <w:spacing w:after="0"/>
              <w:rPr>
                <w:sz w:val="15"/>
                <w:szCs w:val="15"/>
                <w:color w:val="auto"/>
              </w:rPr>
            </w:pPr>
          </w:p>
        </w:tc>
        <w:tc>
          <w:tcPr>
            <w:tcW w:w="104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4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Accumulated benefit obligation at end of period</w:t>
            </w:r>
          </w:p>
        </w:tc>
        <w:tc>
          <w:tcPr>
            <w:tcW w:w="10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3,864</w:t>
            </w:r>
          </w:p>
        </w:tc>
        <w:tc>
          <w:tcPr>
            <w:tcW w:w="1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874</w:t>
            </w:r>
          </w:p>
        </w:tc>
        <w:tc>
          <w:tcPr>
            <w:tcW w:w="14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3,907</w:t>
            </w:r>
          </w:p>
        </w:tc>
        <w:tc>
          <w:tcPr>
            <w:tcW w:w="1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806</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spacing w:after="0"/>
        <w:rPr>
          <w:sz w:val="20"/>
          <w:szCs w:val="20"/>
          <w:color w:val="auto"/>
        </w:rPr>
      </w:pPr>
      <w:r>
        <w:rPr>
          <w:rFonts w:ascii="Arial" w:cs="Arial" w:eastAsia="Arial" w:hAnsi="Arial"/>
          <w:sz w:val="14"/>
          <w:szCs w:val="14"/>
          <w:color w:val="auto"/>
        </w:rPr>
        <w:t>Amounts recognized in the Consolidated Statement of Financial Position for all major funded and unfunded U.S. and Non-U.S. defined benefit plans are as follows (in millions):</w:t>
      </w:r>
    </w:p>
    <w:p>
      <w:pPr>
        <w:spacing w:after="0" w:line="311" w:lineRule="exact"/>
        <w:rPr>
          <w:sz w:val="20"/>
          <w:szCs w:val="20"/>
          <w:color w:val="auto"/>
        </w:rPr>
      </w:pPr>
    </w:p>
    <w:tbl>
      <w:tblPr>
        <w:tblLayout w:type="fixed"/>
        <w:tblInd w:w="580" w:type="dxa"/>
        <w:tblCellMar>
          <w:top w:w="0" w:type="dxa"/>
          <w:left w:w="0" w:type="dxa"/>
          <w:bottom w:w="0" w:type="dxa"/>
          <w:right w:w="0" w:type="dxa"/>
        </w:tblCellMar>
      </w:tblPr>
      <w:tr>
        <w:trPr>
          <w:trHeight w:val="149"/>
        </w:trPr>
        <w:tc>
          <w:tcPr>
            <w:tcW w:w="5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380" w:type="dxa"/>
            <w:vAlign w:val="bottom"/>
            <w:gridSpan w:val="6"/>
          </w:tcPr>
          <w:p>
            <w:pPr>
              <w:jc w:val="right"/>
              <w:ind w:right="860"/>
              <w:spacing w:after="0"/>
              <w:rPr>
                <w:sz w:val="20"/>
                <w:szCs w:val="20"/>
                <w:color w:val="auto"/>
              </w:rPr>
            </w:pPr>
            <w:r>
              <w:rPr>
                <w:rFonts w:ascii="Arial" w:cs="Arial" w:eastAsia="Arial" w:hAnsi="Arial"/>
                <w:sz w:val="13"/>
                <w:szCs w:val="13"/>
                <w:b w:val="1"/>
                <w:bCs w:val="1"/>
                <w:color w:val="auto"/>
              </w:rPr>
              <w:t>As of December 31,</w:t>
            </w: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3"/>
        </w:trPr>
        <w:tc>
          <w:tcPr>
            <w:tcW w:w="53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3"/>
          </w:tcPr>
          <w:p>
            <w:pPr>
              <w:jc w:val="right"/>
              <w:ind w:right="64"/>
              <w:spacing w:after="0"/>
              <w:rPr>
                <w:sz w:val="20"/>
                <w:szCs w:val="20"/>
                <w:color w:val="auto"/>
              </w:rPr>
            </w:pPr>
            <w:r>
              <w:rPr>
                <w:rFonts w:ascii="Arial" w:cs="Arial" w:eastAsia="Arial" w:hAnsi="Arial"/>
                <w:sz w:val="13"/>
                <w:szCs w:val="13"/>
                <w:b w:val="1"/>
                <w:bCs w:val="1"/>
                <w:color w:val="auto"/>
              </w:rPr>
              <w:t>2017</w:t>
            </w:r>
          </w:p>
        </w:tc>
        <w:tc>
          <w:tcPr>
            <w:tcW w:w="88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3"/>
                <w:szCs w:val="13"/>
                <w:b w:val="1"/>
                <w:bCs w:val="1"/>
                <w:color w:val="auto"/>
              </w:rPr>
              <w:t>2016</w:t>
            </w:r>
          </w:p>
        </w:tc>
        <w:tc>
          <w:tcPr>
            <w:tcW w:w="8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37"/>
        </w:trPr>
        <w:tc>
          <w:tcPr>
            <w:tcW w:w="5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gridSpan w:val="2"/>
          </w:tcPr>
          <w:p>
            <w:pPr>
              <w:jc w:val="right"/>
              <w:ind w:right="640"/>
              <w:spacing w:after="0" w:line="138" w:lineRule="exact"/>
              <w:rPr>
                <w:sz w:val="20"/>
                <w:szCs w:val="20"/>
                <w:color w:val="auto"/>
              </w:rPr>
            </w:pPr>
            <w:r>
              <w:rPr>
                <w:rFonts w:ascii="Arial" w:cs="Arial" w:eastAsia="Arial" w:hAnsi="Arial"/>
                <w:sz w:val="13"/>
                <w:szCs w:val="13"/>
                <w:b w:val="1"/>
                <w:bCs w:val="1"/>
                <w:color w:val="auto"/>
              </w:rPr>
              <w:t>U.S.</w:t>
            </w:r>
          </w:p>
        </w:tc>
        <w:tc>
          <w:tcPr>
            <w:tcW w:w="160" w:type="dxa"/>
            <w:vAlign w:val="bottom"/>
          </w:tcPr>
          <w:p>
            <w:pPr>
              <w:spacing w:after="0"/>
              <w:rPr>
                <w:sz w:val="11"/>
                <w:szCs w:val="11"/>
                <w:color w:val="auto"/>
              </w:rPr>
            </w:pPr>
          </w:p>
        </w:tc>
        <w:tc>
          <w:tcPr>
            <w:tcW w:w="880" w:type="dxa"/>
            <w:vAlign w:val="bottom"/>
          </w:tcPr>
          <w:p>
            <w:pPr>
              <w:jc w:val="right"/>
              <w:ind w:right="206"/>
              <w:spacing w:after="0" w:line="138" w:lineRule="exact"/>
              <w:rPr>
                <w:sz w:val="20"/>
                <w:szCs w:val="20"/>
                <w:color w:val="auto"/>
              </w:rPr>
            </w:pPr>
            <w:r>
              <w:rPr>
                <w:rFonts w:ascii="Arial" w:cs="Arial" w:eastAsia="Arial" w:hAnsi="Arial"/>
                <w:sz w:val="13"/>
                <w:szCs w:val="13"/>
                <w:b w:val="1"/>
                <w:bCs w:val="1"/>
                <w:color w:val="auto"/>
              </w:rPr>
              <w:t>Non-U.S.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gridSpan w:val="2"/>
          </w:tcPr>
          <w:p>
            <w:pPr>
              <w:jc w:val="right"/>
              <w:ind w:right="640"/>
              <w:spacing w:after="0" w:line="138" w:lineRule="exact"/>
              <w:rPr>
                <w:sz w:val="20"/>
                <w:szCs w:val="20"/>
                <w:color w:val="auto"/>
              </w:rPr>
            </w:pPr>
            <w:r>
              <w:rPr>
                <w:rFonts w:ascii="Arial" w:cs="Arial" w:eastAsia="Arial" w:hAnsi="Arial"/>
                <w:sz w:val="13"/>
                <w:szCs w:val="13"/>
                <w:b w:val="1"/>
                <w:bCs w:val="1"/>
                <w:color w:val="auto"/>
              </w:rPr>
              <w:t>U.S.</w:t>
            </w:r>
          </w:p>
        </w:tc>
        <w:tc>
          <w:tcPr>
            <w:tcW w:w="160" w:type="dxa"/>
            <w:vAlign w:val="bottom"/>
          </w:tcPr>
          <w:p>
            <w:pPr>
              <w:spacing w:after="0"/>
              <w:rPr>
                <w:sz w:val="11"/>
                <w:szCs w:val="11"/>
                <w:color w:val="auto"/>
              </w:rPr>
            </w:pPr>
          </w:p>
        </w:tc>
        <w:tc>
          <w:tcPr>
            <w:tcW w:w="880" w:type="dxa"/>
            <w:vAlign w:val="bottom"/>
          </w:tcPr>
          <w:p>
            <w:pPr>
              <w:jc w:val="right"/>
              <w:ind w:right="203"/>
              <w:spacing w:after="0" w:line="138" w:lineRule="exact"/>
              <w:rPr>
                <w:sz w:val="20"/>
                <w:szCs w:val="20"/>
                <w:color w:val="auto"/>
              </w:rPr>
            </w:pPr>
            <w:r>
              <w:rPr>
                <w:rFonts w:ascii="Arial" w:cs="Arial" w:eastAsia="Arial" w:hAnsi="Arial"/>
                <w:sz w:val="13"/>
                <w:szCs w:val="13"/>
                <w:b w:val="1"/>
                <w:bCs w:val="1"/>
                <w:color w:val="auto"/>
              </w:rPr>
              <w:t>Non-U.S.</w:t>
            </w:r>
          </w:p>
        </w:tc>
        <w:tc>
          <w:tcPr>
            <w:tcW w:w="100" w:type="dxa"/>
            <w:vAlign w:val="bottom"/>
          </w:tcPr>
          <w:p>
            <w:pPr>
              <w:spacing w:after="0"/>
              <w:rPr>
                <w:sz w:val="11"/>
                <w:szCs w:val="11"/>
                <w:color w:val="auto"/>
              </w:rPr>
            </w:pPr>
          </w:p>
        </w:tc>
      </w:tr>
      <w:tr>
        <w:trPr>
          <w:trHeight w:val="198"/>
        </w:trPr>
        <w:tc>
          <w:tcPr>
            <w:tcW w:w="5340" w:type="dxa"/>
            <w:vAlign w:val="bottom"/>
            <w:tcBorders>
              <w:top w:val="single" w:sz="8" w:color="CFF0FC"/>
            </w:tcBorders>
            <w:shd w:val="clear" w:color="auto" w:fill="CFF0FC"/>
          </w:tcPr>
          <w:p>
            <w:pPr>
              <w:ind w:left="220"/>
              <w:spacing w:after="0"/>
              <w:rPr>
                <w:sz w:val="20"/>
                <w:szCs w:val="20"/>
                <w:color w:val="auto"/>
              </w:rPr>
            </w:pPr>
            <w:r>
              <w:rPr>
                <w:rFonts w:ascii="Arial" w:cs="Arial" w:eastAsia="Arial" w:hAnsi="Arial"/>
                <w:sz w:val="16"/>
                <w:szCs w:val="16"/>
                <w:color w:val="auto"/>
              </w:rPr>
              <w:t>Other long-term assets</w:t>
            </w:r>
          </w:p>
        </w:tc>
        <w:tc>
          <w:tcPr>
            <w:tcW w:w="240" w:type="dxa"/>
            <w:vAlign w:val="bottom"/>
            <w:tcBorders>
              <w:top w:val="single" w:sz="8" w:color="auto"/>
            </w:tcBorders>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35</w:t>
            </w: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34</w:t>
            </w:r>
          </w:p>
        </w:tc>
        <w:tc>
          <w:tcPr>
            <w:tcW w:w="100" w:type="dxa"/>
            <w:vAlign w:val="bottom"/>
            <w:tcBorders>
              <w:top w:val="single" w:sz="8" w:color="CFF0FC"/>
            </w:tcBorders>
            <w:shd w:val="clear" w:color="auto" w:fill="CFF0FC"/>
          </w:tcPr>
          <w:p>
            <w:pPr>
              <w:spacing w:after="0"/>
              <w:rPr>
                <w:sz w:val="17"/>
                <w:szCs w:val="17"/>
                <w:color w:val="auto"/>
              </w:rPr>
            </w:pPr>
          </w:p>
        </w:tc>
      </w:tr>
      <w:tr>
        <w:trPr>
          <w:trHeight w:val="205"/>
        </w:trPr>
        <w:tc>
          <w:tcPr>
            <w:tcW w:w="5340" w:type="dxa"/>
            <w:vAlign w:val="bottom"/>
          </w:tcPr>
          <w:p>
            <w:pPr>
              <w:ind w:left="220"/>
              <w:spacing w:after="0"/>
              <w:rPr>
                <w:sz w:val="20"/>
                <w:szCs w:val="20"/>
                <w:color w:val="auto"/>
              </w:rPr>
            </w:pPr>
            <w:r>
              <w:rPr>
                <w:rFonts w:ascii="Arial" w:cs="Arial" w:eastAsia="Arial" w:hAnsi="Arial"/>
                <w:sz w:val="16"/>
                <w:szCs w:val="16"/>
                <w:color w:val="auto"/>
              </w:rPr>
              <w:t>Pension and other postretirement liabilities</w:t>
            </w:r>
          </w:p>
        </w:tc>
        <w:tc>
          <w:tcPr>
            <w:tcW w:w="24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(62)</w:t>
            </w:r>
          </w:p>
        </w:tc>
        <w:tc>
          <w:tcPr>
            <w:tcW w:w="160" w:type="dxa"/>
            <w:vAlign w:val="bottom"/>
          </w:tcPr>
          <w:p>
            <w:pPr>
              <w:spacing w:after="0"/>
              <w:rPr>
                <w:sz w:val="17"/>
                <w:szCs w:val="17"/>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(198)</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(255)</w:t>
            </w:r>
          </w:p>
        </w:tc>
        <w:tc>
          <w:tcPr>
            <w:tcW w:w="16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(157)</w:t>
            </w:r>
          </w:p>
        </w:tc>
      </w:tr>
      <w:tr>
        <w:trPr>
          <w:trHeight w:val="198"/>
        </w:trPr>
        <w:tc>
          <w:tcPr>
            <w:tcW w:w="53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Net amount recognized</w:t>
            </w:r>
          </w:p>
        </w:tc>
        <w:tc>
          <w:tcPr>
            <w:tcW w:w="240" w:type="dxa"/>
            <w:vAlign w:val="bottom"/>
            <w:tcBorders>
              <w:top w:val="single" w:sz="8" w:color="auto"/>
              <w:bottom w:val="single" w:sz="8" w:color="auto"/>
            </w:tcBorders>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(62)</w:t>
            </w:r>
          </w:p>
        </w:tc>
        <w:tc>
          <w:tcPr>
            <w:tcW w:w="220" w:type="dxa"/>
            <w:vAlign w:val="bottom"/>
            <w:tcBorders>
              <w:top w:val="single" w:sz="8" w:color="CFF0FC"/>
              <w:bottom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auto"/>
            </w:tcBorders>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(163)</w:t>
            </w:r>
          </w:p>
        </w:tc>
        <w:tc>
          <w:tcPr>
            <w:tcW w:w="140" w:type="dxa"/>
            <w:vAlign w:val="bottom"/>
            <w:tcBorders>
              <w:top w:val="single" w:sz="8" w:color="CFF0FC"/>
              <w:bottom w:val="single" w:sz="8" w:color="CFF0FC"/>
            </w:tcBorders>
            <w:shd w:val="clear" w:color="auto" w:fill="CFF0FC"/>
          </w:tcPr>
          <w:p>
            <w:pPr>
              <w:spacing w:after="0"/>
              <w:rPr>
                <w:sz w:val="17"/>
                <w:szCs w:val="17"/>
                <w:color w:val="auto"/>
              </w:rPr>
            </w:pP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c>
          <w:tcPr>
            <w:tcW w:w="240" w:type="dxa"/>
            <w:vAlign w:val="bottom"/>
            <w:tcBorders>
              <w:top w:val="single" w:sz="8" w:color="auto"/>
              <w:bottom w:val="single" w:sz="8" w:color="auto"/>
            </w:tcBorders>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(255)</w:t>
            </w:r>
          </w:p>
        </w:tc>
        <w:tc>
          <w:tcPr>
            <w:tcW w:w="220" w:type="dxa"/>
            <w:vAlign w:val="bottom"/>
            <w:tcBorders>
              <w:top w:val="single" w:sz="8" w:color="CFF0FC"/>
              <w:bottom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(123)</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r>
      <w:tr>
        <w:trPr>
          <w:trHeight w:val="20"/>
        </w:trPr>
        <w:tc>
          <w:tcPr>
            <w:tcW w:w="5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5" w:lineRule="exact"/>
        <w:rPr>
          <w:sz w:val="20"/>
          <w:szCs w:val="20"/>
          <w:color w:val="auto"/>
        </w:rPr>
      </w:pPr>
    </w:p>
    <w:p>
      <w:pPr>
        <w:ind w:right="60"/>
        <w:spacing w:after="0" w:line="280" w:lineRule="auto"/>
        <w:rPr>
          <w:sz w:val="20"/>
          <w:szCs w:val="20"/>
          <w:color w:val="auto"/>
        </w:rPr>
      </w:pPr>
      <w:r>
        <w:rPr>
          <w:rFonts w:ascii="Arial" w:cs="Arial" w:eastAsia="Arial" w:hAnsi="Arial"/>
          <w:sz w:val="16"/>
          <w:szCs w:val="16"/>
          <w:color w:val="auto"/>
        </w:rPr>
        <w:t>Information with respect to the major funded and unfunded U.S. and Non-U.S. defined benefit plans with an accumulated benefit obligation in excess of plan assets is as follows (in millions):</w:t>
      </w:r>
    </w:p>
    <w:p>
      <w:pPr>
        <w:spacing w:after="0" w:line="236" w:lineRule="exact"/>
        <w:rPr>
          <w:sz w:val="20"/>
          <w:szCs w:val="20"/>
          <w:color w:val="auto"/>
        </w:rPr>
      </w:pPr>
    </w:p>
    <w:tbl>
      <w:tblPr>
        <w:tblLayout w:type="fixed"/>
        <w:tblInd w:w="580" w:type="dxa"/>
        <w:tblCellMar>
          <w:top w:w="0" w:type="dxa"/>
          <w:left w:w="0" w:type="dxa"/>
          <w:bottom w:w="0" w:type="dxa"/>
          <w:right w:w="0" w:type="dxa"/>
        </w:tblCellMar>
      </w:tblPr>
      <w:tr>
        <w:trPr>
          <w:trHeight w:val="149"/>
        </w:trPr>
        <w:tc>
          <w:tcPr>
            <w:tcW w:w="5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160" w:type="dxa"/>
            <w:vAlign w:val="bottom"/>
            <w:gridSpan w:val="4"/>
          </w:tcPr>
          <w:p>
            <w:pPr>
              <w:jc w:val="right"/>
              <w:ind w:right="566"/>
              <w:spacing w:after="0"/>
              <w:rPr>
                <w:sz w:val="20"/>
                <w:szCs w:val="20"/>
                <w:color w:val="auto"/>
              </w:rPr>
            </w:pPr>
            <w:r>
              <w:rPr>
                <w:rFonts w:ascii="Arial" w:cs="Arial" w:eastAsia="Arial" w:hAnsi="Arial"/>
                <w:sz w:val="13"/>
                <w:szCs w:val="13"/>
                <w:b w:val="1"/>
                <w:bCs w:val="1"/>
                <w:color w:val="auto"/>
              </w:rPr>
              <w:t>As of December 31,</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3"/>
        </w:trPr>
        <w:tc>
          <w:tcPr>
            <w:tcW w:w="53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3"/>
          </w:tcPr>
          <w:p>
            <w:pPr>
              <w:jc w:val="right"/>
              <w:ind w:right="64"/>
              <w:spacing w:after="0"/>
              <w:rPr>
                <w:sz w:val="20"/>
                <w:szCs w:val="20"/>
                <w:color w:val="auto"/>
              </w:rPr>
            </w:pPr>
            <w:r>
              <w:rPr>
                <w:rFonts w:ascii="Arial" w:cs="Arial" w:eastAsia="Arial" w:hAnsi="Arial"/>
                <w:sz w:val="13"/>
                <w:szCs w:val="13"/>
                <w:b w:val="1"/>
                <w:bCs w:val="1"/>
                <w:color w:val="auto"/>
              </w:rPr>
              <w:t>2017</w:t>
            </w:r>
          </w:p>
        </w:tc>
        <w:tc>
          <w:tcPr>
            <w:tcW w:w="9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3"/>
                <w:szCs w:val="13"/>
                <w:b w:val="1"/>
                <w:bCs w:val="1"/>
                <w:color w:val="auto"/>
              </w:rPr>
              <w:t>2016</w:t>
            </w:r>
          </w:p>
        </w:tc>
        <w:tc>
          <w:tcPr>
            <w:tcW w:w="8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37"/>
        </w:trPr>
        <w:tc>
          <w:tcPr>
            <w:tcW w:w="5340" w:type="dxa"/>
            <w:vAlign w:val="bottom"/>
            <w:tcBorders>
              <w:bottom w:val="single" w:sz="8" w:color="CFF0FC"/>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446"/>
              <w:spacing w:after="0" w:line="138" w:lineRule="exact"/>
              <w:rPr>
                <w:sz w:val="20"/>
                <w:szCs w:val="20"/>
                <w:color w:val="auto"/>
              </w:rPr>
            </w:pPr>
            <w:r>
              <w:rPr>
                <w:rFonts w:ascii="Arial" w:cs="Arial" w:eastAsia="Arial" w:hAnsi="Arial"/>
                <w:sz w:val="13"/>
                <w:szCs w:val="13"/>
                <w:b w:val="1"/>
                <w:bCs w:val="1"/>
                <w:color w:val="auto"/>
              </w:rPr>
              <w:t>U.S.</w:t>
            </w:r>
          </w:p>
        </w:tc>
        <w:tc>
          <w:tcPr>
            <w:tcW w:w="120" w:type="dxa"/>
            <w:vAlign w:val="bottom"/>
            <w:tcBorders>
              <w:bottom w:val="single" w:sz="8" w:color="CFF0FC"/>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ind w:right="306"/>
              <w:spacing w:after="0" w:line="138" w:lineRule="exact"/>
              <w:rPr>
                <w:sz w:val="20"/>
                <w:szCs w:val="20"/>
                <w:color w:val="auto"/>
              </w:rPr>
            </w:pPr>
            <w:r>
              <w:rPr>
                <w:rFonts w:ascii="Arial" w:cs="Arial" w:eastAsia="Arial" w:hAnsi="Arial"/>
                <w:sz w:val="13"/>
                <w:szCs w:val="13"/>
                <w:b w:val="1"/>
                <w:bCs w:val="1"/>
                <w:color w:val="auto"/>
              </w:rPr>
              <w:t>Non-U.S.</w:t>
            </w:r>
          </w:p>
        </w:tc>
        <w:tc>
          <w:tcPr>
            <w:tcW w:w="120" w:type="dxa"/>
            <w:vAlign w:val="bottom"/>
            <w:tcBorders>
              <w:bottom w:val="single" w:sz="8" w:color="CFF0FC"/>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346"/>
              <w:spacing w:after="0" w:line="138" w:lineRule="exact"/>
              <w:rPr>
                <w:sz w:val="20"/>
                <w:szCs w:val="20"/>
                <w:color w:val="auto"/>
              </w:rPr>
            </w:pPr>
            <w:r>
              <w:rPr>
                <w:rFonts w:ascii="Arial" w:cs="Arial" w:eastAsia="Arial" w:hAnsi="Arial"/>
                <w:sz w:val="13"/>
                <w:szCs w:val="13"/>
                <w:b w:val="1"/>
                <w:bCs w:val="1"/>
                <w:color w:val="auto"/>
              </w:rPr>
              <w:t>U.S.</w:t>
            </w:r>
          </w:p>
        </w:tc>
        <w:tc>
          <w:tcPr>
            <w:tcW w:w="220" w:type="dxa"/>
            <w:vAlign w:val="bottom"/>
            <w:tcBorders>
              <w:bottom w:val="single" w:sz="8" w:color="CFF0FC"/>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203"/>
              <w:spacing w:after="0" w:line="138" w:lineRule="exact"/>
              <w:rPr>
                <w:sz w:val="20"/>
                <w:szCs w:val="20"/>
                <w:color w:val="auto"/>
              </w:rPr>
            </w:pPr>
            <w:r>
              <w:rPr>
                <w:rFonts w:ascii="Arial" w:cs="Arial" w:eastAsia="Arial" w:hAnsi="Arial"/>
                <w:sz w:val="13"/>
                <w:szCs w:val="13"/>
                <w:b w:val="1"/>
                <w:bCs w:val="1"/>
                <w:color w:val="auto"/>
              </w:rPr>
              <w:t>Non-U.S.</w:t>
            </w:r>
          </w:p>
        </w:tc>
        <w:tc>
          <w:tcPr>
            <w:tcW w:w="100" w:type="dxa"/>
            <w:vAlign w:val="bottom"/>
            <w:tcBorders>
              <w:bottom w:val="single" w:sz="8" w:color="CFF0FC"/>
            </w:tcBorders>
          </w:tcPr>
          <w:p>
            <w:pPr>
              <w:spacing w:after="0"/>
              <w:rPr>
                <w:sz w:val="11"/>
                <w:szCs w:val="11"/>
                <w:color w:val="auto"/>
              </w:rPr>
            </w:pPr>
          </w:p>
        </w:tc>
      </w:tr>
      <w:tr>
        <w:trPr>
          <w:trHeight w:val="198"/>
        </w:trPr>
        <w:tc>
          <w:tcPr>
            <w:tcW w:w="5340" w:type="dxa"/>
            <w:vAlign w:val="bottom"/>
            <w:shd w:val="clear" w:color="auto" w:fill="CFF0FC"/>
          </w:tcPr>
          <w:p>
            <w:pPr>
              <w:spacing w:after="0"/>
              <w:rPr>
                <w:sz w:val="20"/>
                <w:szCs w:val="20"/>
                <w:color w:val="auto"/>
              </w:rPr>
            </w:pPr>
            <w:r>
              <w:rPr>
                <w:rFonts w:ascii="Arial" w:cs="Arial" w:eastAsia="Arial" w:hAnsi="Arial"/>
                <w:sz w:val="16"/>
                <w:szCs w:val="16"/>
                <w:color w:val="auto"/>
              </w:rPr>
              <w:t>Projected benefit obligation</w:t>
            </w: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ind w:right="46"/>
              <w:spacing w:after="0"/>
              <w:rPr>
                <w:sz w:val="20"/>
                <w:szCs w:val="20"/>
                <w:color w:val="auto"/>
              </w:rPr>
            </w:pPr>
            <w:r>
              <w:rPr>
                <w:rFonts w:ascii="Arial" w:cs="Arial" w:eastAsia="Arial" w:hAnsi="Arial"/>
                <w:sz w:val="16"/>
                <w:szCs w:val="16"/>
                <w:color w:val="auto"/>
              </w:rPr>
              <w:t>3,866</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ind w:right="26"/>
              <w:spacing w:after="0"/>
              <w:rPr>
                <w:sz w:val="20"/>
                <w:szCs w:val="20"/>
                <w:color w:val="auto"/>
              </w:rPr>
            </w:pPr>
            <w:r>
              <w:rPr>
                <w:rFonts w:ascii="Arial" w:cs="Arial" w:eastAsia="Arial" w:hAnsi="Arial"/>
                <w:sz w:val="16"/>
                <w:szCs w:val="16"/>
                <w:color w:val="auto"/>
              </w:rPr>
              <w:t>617</w:t>
            </w: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3,908</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jc w:val="right"/>
              <w:ind w:right="50"/>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541</w:t>
            </w:r>
          </w:p>
        </w:tc>
        <w:tc>
          <w:tcPr>
            <w:tcW w:w="100" w:type="dxa"/>
            <w:vAlign w:val="bottom"/>
            <w:shd w:val="clear" w:color="auto" w:fill="CFF0FC"/>
          </w:tcPr>
          <w:p>
            <w:pPr>
              <w:spacing w:after="0"/>
              <w:rPr>
                <w:sz w:val="17"/>
                <w:szCs w:val="17"/>
                <w:color w:val="auto"/>
              </w:rPr>
            </w:pPr>
          </w:p>
        </w:tc>
      </w:tr>
      <w:tr>
        <w:trPr>
          <w:trHeight w:val="205"/>
        </w:trPr>
        <w:tc>
          <w:tcPr>
            <w:tcW w:w="5340" w:type="dxa"/>
            <w:vAlign w:val="bottom"/>
          </w:tcPr>
          <w:p>
            <w:pPr>
              <w:spacing w:after="0"/>
              <w:rPr>
                <w:sz w:val="20"/>
                <w:szCs w:val="20"/>
                <w:color w:val="auto"/>
              </w:rPr>
            </w:pPr>
            <w:r>
              <w:rPr>
                <w:rFonts w:ascii="Arial" w:cs="Arial" w:eastAsia="Arial" w:hAnsi="Arial"/>
                <w:sz w:val="16"/>
                <w:szCs w:val="16"/>
                <w:color w:val="auto"/>
              </w:rPr>
              <w:t>Accumulated benefit obligation</w:t>
            </w:r>
          </w:p>
        </w:tc>
        <w:tc>
          <w:tcPr>
            <w:tcW w:w="240" w:type="dxa"/>
            <w:vAlign w:val="bottom"/>
          </w:tcPr>
          <w:p>
            <w:pPr>
              <w:spacing w:after="0"/>
              <w:rPr>
                <w:sz w:val="17"/>
                <w:szCs w:val="17"/>
                <w:color w:val="auto"/>
              </w:rPr>
            </w:pPr>
          </w:p>
        </w:tc>
        <w:tc>
          <w:tcPr>
            <w:tcW w:w="900" w:type="dxa"/>
            <w:vAlign w:val="bottom"/>
          </w:tcPr>
          <w:p>
            <w:pPr>
              <w:jc w:val="right"/>
              <w:ind w:right="46"/>
              <w:spacing w:after="0"/>
              <w:rPr>
                <w:sz w:val="20"/>
                <w:szCs w:val="20"/>
                <w:color w:val="auto"/>
              </w:rPr>
            </w:pPr>
            <w:r>
              <w:rPr>
                <w:rFonts w:ascii="Arial" w:cs="Arial" w:eastAsia="Arial" w:hAnsi="Arial"/>
                <w:sz w:val="16"/>
                <w:szCs w:val="16"/>
                <w:color w:val="auto"/>
              </w:rPr>
              <w:t>3,864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ind w:right="26"/>
              <w:spacing w:after="0"/>
              <w:rPr>
                <w:sz w:val="20"/>
                <w:szCs w:val="20"/>
                <w:color w:val="auto"/>
              </w:rPr>
            </w:pPr>
            <w:r>
              <w:rPr>
                <w:rFonts w:ascii="Arial" w:cs="Arial" w:eastAsia="Arial" w:hAnsi="Arial"/>
                <w:sz w:val="16"/>
                <w:szCs w:val="16"/>
                <w:color w:val="auto"/>
              </w:rPr>
              <w:t>606</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3,907</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532</w:t>
            </w:r>
          </w:p>
        </w:tc>
        <w:tc>
          <w:tcPr>
            <w:tcW w:w="100" w:type="dxa"/>
            <w:vAlign w:val="bottom"/>
          </w:tcPr>
          <w:p>
            <w:pPr>
              <w:spacing w:after="0"/>
              <w:rPr>
                <w:sz w:val="17"/>
                <w:szCs w:val="17"/>
                <w:color w:val="auto"/>
              </w:rPr>
            </w:pPr>
          </w:p>
        </w:tc>
      </w:tr>
      <w:tr>
        <w:trPr>
          <w:trHeight w:val="205"/>
        </w:trPr>
        <w:tc>
          <w:tcPr>
            <w:tcW w:w="5340" w:type="dxa"/>
            <w:vAlign w:val="bottom"/>
            <w:shd w:val="clear" w:color="auto" w:fill="CFF0FC"/>
          </w:tcPr>
          <w:p>
            <w:pPr>
              <w:spacing w:after="0"/>
              <w:rPr>
                <w:sz w:val="20"/>
                <w:szCs w:val="20"/>
                <w:color w:val="auto"/>
              </w:rPr>
            </w:pPr>
            <w:r>
              <w:rPr>
                <w:rFonts w:ascii="Arial" w:cs="Arial" w:eastAsia="Arial" w:hAnsi="Arial"/>
                <w:sz w:val="16"/>
                <w:szCs w:val="16"/>
                <w:color w:val="auto"/>
              </w:rPr>
              <w:t>Fair value of plan assets</w:t>
            </w: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46"/>
              <w:spacing w:after="0"/>
              <w:rPr>
                <w:sz w:val="20"/>
                <w:szCs w:val="20"/>
                <w:color w:val="auto"/>
              </w:rPr>
            </w:pPr>
            <w:r>
              <w:rPr>
                <w:rFonts w:ascii="Arial" w:cs="Arial" w:eastAsia="Arial" w:hAnsi="Arial"/>
                <w:sz w:val="16"/>
                <w:szCs w:val="16"/>
                <w:color w:val="auto"/>
              </w:rPr>
              <w:t>3,804</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26"/>
              <w:spacing w:after="0"/>
              <w:rPr>
                <w:sz w:val="20"/>
                <w:szCs w:val="20"/>
                <w:color w:val="auto"/>
              </w:rPr>
            </w:pPr>
            <w:r>
              <w:rPr>
                <w:rFonts w:ascii="Arial" w:cs="Arial" w:eastAsia="Arial" w:hAnsi="Arial"/>
                <w:sz w:val="16"/>
                <w:szCs w:val="16"/>
                <w:color w:val="auto"/>
              </w:rPr>
              <w:t>419</w:t>
            </w: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3,653</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384</w:t>
            </w:r>
          </w:p>
        </w:tc>
        <w:tc>
          <w:tcPr>
            <w:tcW w:w="100" w:type="dxa"/>
            <w:vAlign w:val="bottom"/>
            <w:shd w:val="clear" w:color="auto" w:fill="CFF0FC"/>
          </w:tcPr>
          <w:p>
            <w:pPr>
              <w:spacing w:after="0"/>
              <w:rPr>
                <w:sz w:val="17"/>
                <w:szCs w:val="17"/>
                <w:color w:val="auto"/>
              </w:rPr>
            </w:pPr>
          </w:p>
        </w:tc>
      </w:tr>
    </w:tbl>
    <w:p>
      <w:pPr>
        <w:spacing w:after="0" w:line="205" w:lineRule="exact"/>
        <w:rPr>
          <w:sz w:val="20"/>
          <w:szCs w:val="20"/>
          <w:color w:val="auto"/>
        </w:rPr>
      </w:pPr>
    </w:p>
    <w:p>
      <w:pPr>
        <w:spacing w:after="0"/>
        <w:rPr>
          <w:sz w:val="20"/>
          <w:szCs w:val="20"/>
          <w:color w:val="auto"/>
        </w:rPr>
      </w:pPr>
      <w:r>
        <w:rPr>
          <w:rFonts w:ascii="Arial" w:cs="Arial" w:eastAsia="Arial" w:hAnsi="Arial"/>
          <w:sz w:val="15"/>
          <w:szCs w:val="15"/>
          <w:color w:val="auto"/>
        </w:rPr>
        <w:t>Amounts recognized in accumulated other comprehensive (loss) income for all major funded and unfunded U.S. and Non-U.S. defined benefit plans consist of (in millions):</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8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80" w:type="dxa"/>
            <w:vAlign w:val="bottom"/>
            <w:gridSpan w:val="6"/>
          </w:tcPr>
          <w:p>
            <w:pPr>
              <w:jc w:val="right"/>
              <w:ind w:right="760"/>
              <w:spacing w:after="0"/>
              <w:rPr>
                <w:sz w:val="20"/>
                <w:szCs w:val="20"/>
                <w:color w:val="auto"/>
              </w:rPr>
            </w:pPr>
            <w:r>
              <w:rPr>
                <w:rFonts w:ascii="Arial" w:cs="Arial" w:eastAsia="Arial" w:hAnsi="Arial"/>
                <w:sz w:val="13"/>
                <w:szCs w:val="13"/>
                <w:b w:val="1"/>
                <w:bCs w:val="1"/>
                <w:color w:val="auto"/>
              </w:rPr>
              <w:t>As of December 31,</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8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4"/>
          </w:tcPr>
          <w:p>
            <w:pPr>
              <w:jc w:val="right"/>
              <w:ind w:right="64"/>
              <w:spacing w:after="0"/>
              <w:rPr>
                <w:sz w:val="20"/>
                <w:szCs w:val="20"/>
                <w:color w:val="auto"/>
              </w:rPr>
            </w:pPr>
            <w:r>
              <w:rPr>
                <w:rFonts w:ascii="Arial" w:cs="Arial" w:eastAsia="Arial" w:hAnsi="Arial"/>
                <w:sz w:val="13"/>
                <w:szCs w:val="13"/>
                <w:b w:val="1"/>
                <w:bCs w:val="1"/>
                <w:color w:val="auto"/>
              </w:rPr>
              <w:t>2017</w:t>
            </w:r>
          </w:p>
        </w:tc>
        <w:tc>
          <w:tcPr>
            <w:tcW w:w="88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4"/>
          </w:tcPr>
          <w:p>
            <w:pPr>
              <w:jc w:val="right"/>
              <w:ind w:right="110"/>
              <w:spacing w:after="0"/>
              <w:rPr>
                <w:sz w:val="20"/>
                <w:szCs w:val="20"/>
                <w:color w:val="auto"/>
              </w:rPr>
            </w:pPr>
            <w:r>
              <w:rPr>
                <w:rFonts w:ascii="Arial" w:cs="Arial" w:eastAsia="Arial" w:hAnsi="Arial"/>
                <w:sz w:val="13"/>
                <w:szCs w:val="13"/>
                <w:b w:val="1"/>
                <w:bCs w:val="1"/>
                <w:color w:val="auto"/>
              </w:rPr>
              <w:t>2016</w:t>
            </w:r>
          </w:p>
        </w:tc>
        <w:tc>
          <w:tcPr>
            <w:tcW w:w="8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58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gridSpan w:val="2"/>
          </w:tcPr>
          <w:p>
            <w:pPr>
              <w:jc w:val="right"/>
              <w:ind w:right="540"/>
              <w:spacing w:after="0" w:line="138" w:lineRule="exact"/>
              <w:rPr>
                <w:sz w:val="20"/>
                <w:szCs w:val="20"/>
                <w:color w:val="auto"/>
              </w:rPr>
            </w:pPr>
            <w:r>
              <w:rPr>
                <w:rFonts w:ascii="Arial" w:cs="Arial" w:eastAsia="Arial" w:hAnsi="Arial"/>
                <w:sz w:val="13"/>
                <w:szCs w:val="13"/>
                <w:b w:val="1"/>
                <w:bCs w:val="1"/>
                <w:color w:val="auto"/>
              </w:rPr>
              <w:t>U.S.</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jc w:val="right"/>
              <w:ind w:right="206"/>
              <w:spacing w:after="0" w:line="138" w:lineRule="exact"/>
              <w:rPr>
                <w:sz w:val="20"/>
                <w:szCs w:val="20"/>
                <w:color w:val="auto"/>
              </w:rPr>
            </w:pPr>
            <w:r>
              <w:rPr>
                <w:rFonts w:ascii="Arial" w:cs="Arial" w:eastAsia="Arial" w:hAnsi="Arial"/>
                <w:sz w:val="13"/>
                <w:szCs w:val="13"/>
                <w:b w:val="1"/>
                <w:bCs w:val="1"/>
                <w:color w:val="auto"/>
              </w:rPr>
              <w:t>Non-U.S.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gridSpan w:val="2"/>
          </w:tcPr>
          <w:p>
            <w:pPr>
              <w:jc w:val="right"/>
              <w:ind w:right="540"/>
              <w:spacing w:after="0" w:line="138" w:lineRule="exact"/>
              <w:rPr>
                <w:sz w:val="20"/>
                <w:szCs w:val="20"/>
                <w:color w:val="auto"/>
              </w:rPr>
            </w:pPr>
            <w:r>
              <w:rPr>
                <w:rFonts w:ascii="Arial" w:cs="Arial" w:eastAsia="Arial" w:hAnsi="Arial"/>
                <w:sz w:val="13"/>
                <w:szCs w:val="13"/>
                <w:b w:val="1"/>
                <w:bCs w:val="1"/>
                <w:color w:val="auto"/>
              </w:rPr>
              <w:t>U.S.</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jc w:val="right"/>
              <w:ind w:right="203"/>
              <w:spacing w:after="0" w:line="138" w:lineRule="exact"/>
              <w:rPr>
                <w:sz w:val="20"/>
                <w:szCs w:val="20"/>
                <w:color w:val="auto"/>
              </w:rPr>
            </w:pPr>
            <w:r>
              <w:rPr>
                <w:rFonts w:ascii="Arial" w:cs="Arial" w:eastAsia="Arial" w:hAnsi="Arial"/>
                <w:sz w:val="13"/>
                <w:szCs w:val="13"/>
                <w:b w:val="1"/>
                <w:bCs w:val="1"/>
                <w:color w:val="auto"/>
              </w:rPr>
              <w:t>Non-U.S.</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580" w:type="dxa"/>
            <w:vAlign w:val="bottom"/>
          </w:tcPr>
          <w:p>
            <w:pPr>
              <w:spacing w:after="0"/>
              <w:rPr>
                <w:sz w:val="17"/>
                <w:szCs w:val="17"/>
                <w:color w:val="auto"/>
              </w:rPr>
            </w:pPr>
          </w:p>
        </w:tc>
        <w:tc>
          <w:tcPr>
            <w:tcW w:w="3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Prior service credit</w:t>
            </w:r>
          </w:p>
        </w:tc>
        <w:tc>
          <w:tcPr>
            <w:tcW w:w="220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36</w:t>
            </w:r>
          </w:p>
        </w:tc>
        <w:tc>
          <w:tcPr>
            <w:tcW w:w="1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39</w:t>
            </w:r>
          </w:p>
        </w:tc>
        <w:tc>
          <w:tcPr>
            <w:tcW w:w="1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top w:val="single" w:sz="8" w:color="CFF0FC"/>
            </w:tcBorders>
            <w:shd w:val="clear" w:color="auto" w:fill="CFF0FC"/>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80" w:type="dxa"/>
            <w:vAlign w:val="bottom"/>
          </w:tcPr>
          <w:p>
            <w:pPr>
              <w:spacing w:after="0"/>
              <w:rPr>
                <w:sz w:val="17"/>
                <w:szCs w:val="17"/>
                <w:color w:val="auto"/>
              </w:rPr>
            </w:pPr>
          </w:p>
        </w:tc>
        <w:tc>
          <w:tcPr>
            <w:tcW w:w="3140" w:type="dxa"/>
            <w:vAlign w:val="bottom"/>
          </w:tcPr>
          <w:p>
            <w:pPr>
              <w:spacing w:after="0"/>
              <w:rPr>
                <w:sz w:val="20"/>
                <w:szCs w:val="20"/>
                <w:color w:val="auto"/>
              </w:rPr>
            </w:pPr>
            <w:r>
              <w:rPr>
                <w:rFonts w:ascii="Arial" w:cs="Arial" w:eastAsia="Arial" w:hAnsi="Arial"/>
                <w:sz w:val="16"/>
                <w:szCs w:val="16"/>
                <w:color w:val="auto"/>
              </w:rPr>
              <w:t>Net actuarial loss</w:t>
            </w:r>
          </w:p>
        </w:tc>
        <w:tc>
          <w:tcPr>
            <w:tcW w:w="2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(271)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(110)</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6"/>
                <w:szCs w:val="16"/>
                <w:color w:val="auto"/>
              </w:rPr>
              <w:t>(356)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(76)</w:t>
            </w: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80" w:type="dxa"/>
            <w:vAlign w:val="bottom"/>
          </w:tcPr>
          <w:p>
            <w:pPr>
              <w:spacing w:after="0"/>
              <w:rPr>
                <w:sz w:val="17"/>
                <w:szCs w:val="17"/>
                <w:color w:val="auto"/>
              </w:rPr>
            </w:pPr>
          </w:p>
        </w:tc>
        <w:tc>
          <w:tcPr>
            <w:tcW w:w="3140" w:type="dxa"/>
            <w:vAlign w:val="bottom"/>
            <w:tcBorders>
              <w:top w:val="single" w:sz="8" w:color="CFF0FC"/>
              <w:bottom w:val="single" w:sz="8" w:color="CFF0FC"/>
            </w:tcBorders>
            <w:shd w:val="clear" w:color="auto" w:fill="CFF0FC"/>
          </w:tcPr>
          <w:p>
            <w:pPr>
              <w:ind w:left="100"/>
              <w:spacing w:after="0"/>
              <w:rPr>
                <w:sz w:val="20"/>
                <w:szCs w:val="20"/>
                <w:color w:val="auto"/>
              </w:rPr>
            </w:pPr>
            <w:r>
              <w:rPr>
                <w:rFonts w:ascii="Arial" w:cs="Arial" w:eastAsia="Arial" w:hAnsi="Arial"/>
                <w:sz w:val="16"/>
                <w:szCs w:val="16"/>
                <w:color w:val="auto"/>
              </w:rPr>
              <w:t>Total</w:t>
            </w:r>
          </w:p>
        </w:tc>
        <w:tc>
          <w:tcPr>
            <w:tcW w:w="2200" w:type="dxa"/>
            <w:vAlign w:val="bottom"/>
            <w:tcBorders>
              <w:top w:val="single" w:sz="8" w:color="CFF0FC"/>
              <w:bottom w:val="single" w:sz="8" w:color="CFF0FC"/>
            </w:tcBorders>
            <w:shd w:val="clear" w:color="auto" w:fill="CFF0FC"/>
          </w:tcPr>
          <w:p>
            <w:pPr>
              <w:spacing w:after="0"/>
              <w:rPr>
                <w:sz w:val="17"/>
                <w:szCs w:val="17"/>
                <w:color w:val="auto"/>
              </w:rPr>
            </w:pPr>
          </w:p>
        </w:tc>
        <w:tc>
          <w:tcPr>
            <w:tcW w:w="240" w:type="dxa"/>
            <w:vAlign w:val="bottom"/>
            <w:tcBorders>
              <w:top w:val="single" w:sz="8" w:color="auto"/>
              <w:bottom w:val="single" w:sz="8" w:color="auto"/>
            </w:tcBorders>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(235)</w:t>
            </w: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auto"/>
            </w:tcBorders>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(107)</w:t>
            </w:r>
          </w:p>
        </w:tc>
        <w:tc>
          <w:tcPr>
            <w:tcW w:w="140" w:type="dxa"/>
            <w:vAlign w:val="bottom"/>
            <w:tcBorders>
              <w:top w:val="single" w:sz="8" w:color="CFF0FC"/>
              <w:bottom w:val="single" w:sz="8" w:color="CFF0FC"/>
            </w:tcBorders>
            <w:shd w:val="clear" w:color="auto" w:fill="CFF0FC"/>
          </w:tcPr>
          <w:p>
            <w:pPr>
              <w:spacing w:after="0"/>
              <w:rPr>
                <w:sz w:val="17"/>
                <w:szCs w:val="17"/>
                <w:color w:val="auto"/>
              </w:rPr>
            </w:pP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c>
          <w:tcPr>
            <w:tcW w:w="240" w:type="dxa"/>
            <w:vAlign w:val="bottom"/>
            <w:tcBorders>
              <w:top w:val="single" w:sz="8" w:color="auto"/>
              <w:bottom w:val="single" w:sz="8" w:color="auto"/>
            </w:tcBorders>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(317)</w:t>
            </w: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(72)</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200" w:type="dxa"/>
            <w:vAlign w:val="bottom"/>
            <w:vMerge w:val="restart"/>
          </w:tcPr>
          <w:p>
            <w:pPr>
              <w:jc w:val="right"/>
              <w:ind w:right="39"/>
              <w:spacing w:after="0"/>
              <w:rPr>
                <w:sz w:val="20"/>
                <w:szCs w:val="20"/>
                <w:color w:val="auto"/>
              </w:rPr>
            </w:pPr>
            <w:r>
              <w:rPr>
                <w:rFonts w:ascii="Arial" w:cs="Arial" w:eastAsia="Arial" w:hAnsi="Arial"/>
                <w:sz w:val="16"/>
                <w:szCs w:val="16"/>
                <w:color w:val="auto"/>
              </w:rPr>
              <w:t>83</w:t>
            </w: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0"/>
        </w:trPr>
        <w:tc>
          <w:tcPr>
            <w:tcW w:w="58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2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580" w:type="dxa"/>
            <w:vAlign w:val="bottom"/>
            <w:tcBorders>
              <w:bottom w:val="single" w:sz="8" w:color="9A9A9A"/>
            </w:tcBorders>
          </w:tcPr>
          <w:p>
            <w:pPr>
              <w:spacing w:after="0"/>
              <w:rPr>
                <w:sz w:val="8"/>
                <w:szCs w:val="8"/>
                <w:color w:val="auto"/>
              </w:rPr>
            </w:pPr>
          </w:p>
        </w:tc>
        <w:tc>
          <w:tcPr>
            <w:tcW w:w="3140" w:type="dxa"/>
            <w:vAlign w:val="bottom"/>
            <w:tcBorders>
              <w:bottom w:val="single" w:sz="8" w:color="9A9A9A"/>
            </w:tcBorders>
          </w:tcPr>
          <w:p>
            <w:pPr>
              <w:spacing w:after="0"/>
              <w:rPr>
                <w:sz w:val="8"/>
                <w:szCs w:val="8"/>
                <w:color w:val="auto"/>
              </w:rPr>
            </w:pPr>
          </w:p>
        </w:tc>
        <w:tc>
          <w:tcPr>
            <w:tcW w:w="22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7253605</wp:posOffset>
            </wp:positionH>
            <wp:positionV relativeFrom="paragraph">
              <wp:posOffset>-27305</wp:posOffset>
            </wp:positionV>
            <wp:extent cx="33020" cy="406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-27305</wp:posOffset>
            </wp:positionV>
            <wp:extent cx="33020" cy="406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460"/>
          </w:cols>
          <w:pgMar w:left="240" w:top="224" w:right="199" w:bottom="1440" w:gutter="0" w:footer="0" w:header="0"/>
        </w:sectPr>
      </w:pPr>
    </w:p>
    <w:bookmarkStart w:id="83" w:name="page84"/>
    <w:bookmarkEnd w:id="83"/>
    <w:p>
      <w:pPr>
        <w:spacing w:after="0"/>
        <w:rPr>
          <w:sz w:val="20"/>
          <w:szCs w:val="20"/>
          <w:color w:val="auto"/>
        </w:rPr>
      </w:pPr>
      <w:r>
        <w:rPr>
          <w:rFonts w:ascii="Arial" w:cs="Arial" w:eastAsia="Arial" w:hAnsi="Arial"/>
          <w:sz w:val="16"/>
          <w:szCs w:val="16"/>
          <w:color w:val="auto"/>
        </w:rPr>
        <w:t>Other changes in major plan assets and benefit obligations recognized in Other comprehensive income (expense) are as follows (in millions):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20" w:type="dxa"/>
            <w:vAlign w:val="bottom"/>
            <w:gridSpan w:val="5"/>
          </w:tcPr>
          <w:p>
            <w:pPr>
              <w:jc w:val="right"/>
              <w:ind w:right="580"/>
              <w:spacing w:after="0"/>
              <w:rPr>
                <w:sz w:val="20"/>
                <w:szCs w:val="20"/>
                <w:color w:val="auto"/>
              </w:rPr>
            </w:pPr>
            <w:r>
              <w:rPr>
                <w:rFonts w:ascii="Arial" w:cs="Arial" w:eastAsia="Arial" w:hAnsi="Arial"/>
                <w:sz w:val="13"/>
                <w:szCs w:val="13"/>
                <w:b w:val="1"/>
                <w:bCs w:val="1"/>
                <w:color w:val="auto"/>
              </w:rPr>
              <w:t>Year Ended December 31,</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3"/>
        </w:trPr>
        <w:tc>
          <w:tcPr>
            <w:tcW w:w="3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gridSpan w:val="3"/>
          </w:tcPr>
          <w:p>
            <w:pPr>
              <w:jc w:val="right"/>
              <w:ind w:right="84"/>
              <w:spacing w:after="0"/>
              <w:rPr>
                <w:sz w:val="20"/>
                <w:szCs w:val="20"/>
                <w:color w:val="auto"/>
              </w:rPr>
            </w:pPr>
            <w:r>
              <w:rPr>
                <w:rFonts w:ascii="Arial" w:cs="Arial" w:eastAsia="Arial" w:hAnsi="Arial"/>
                <w:sz w:val="13"/>
                <w:szCs w:val="13"/>
                <w:b w:val="1"/>
                <w:bCs w:val="1"/>
                <w:color w:val="auto"/>
              </w:rPr>
              <w:t>2017</w:t>
            </w:r>
          </w:p>
        </w:tc>
        <w:tc>
          <w:tcPr>
            <w:tcW w:w="88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3"/>
          </w:tcPr>
          <w:p>
            <w:pPr>
              <w:jc w:val="right"/>
              <w:ind w:right="84"/>
              <w:spacing w:after="0"/>
              <w:rPr>
                <w:sz w:val="20"/>
                <w:szCs w:val="20"/>
                <w:color w:val="auto"/>
              </w:rPr>
            </w:pPr>
            <w:r>
              <w:rPr>
                <w:rFonts w:ascii="Arial" w:cs="Arial" w:eastAsia="Arial" w:hAnsi="Arial"/>
                <w:sz w:val="13"/>
                <w:szCs w:val="13"/>
                <w:b w:val="1"/>
                <w:bCs w:val="1"/>
                <w:color w:val="auto"/>
              </w:rPr>
              <w:t>2016</w:t>
            </w:r>
          </w:p>
        </w:tc>
        <w:tc>
          <w:tcPr>
            <w:tcW w:w="88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3"/>
          </w:tcPr>
          <w:p>
            <w:pPr>
              <w:jc w:val="right"/>
              <w:ind w:right="84"/>
              <w:spacing w:after="0"/>
              <w:rPr>
                <w:sz w:val="20"/>
                <w:szCs w:val="20"/>
                <w:color w:val="auto"/>
              </w:rPr>
            </w:pPr>
            <w:r>
              <w:rPr>
                <w:rFonts w:ascii="Arial" w:cs="Arial" w:eastAsia="Arial" w:hAnsi="Arial"/>
                <w:sz w:val="13"/>
                <w:szCs w:val="13"/>
                <w:b w:val="1"/>
                <w:bCs w:val="1"/>
                <w:color w:val="auto"/>
              </w:rPr>
              <w:t>2015</w:t>
            </w:r>
          </w:p>
        </w:tc>
        <w:tc>
          <w:tcPr>
            <w:tcW w:w="9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37"/>
        </w:trPr>
        <w:tc>
          <w:tcPr>
            <w:tcW w:w="3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jc w:val="right"/>
              <w:ind w:right="50"/>
              <w:spacing w:after="0" w:line="138" w:lineRule="exact"/>
              <w:rPr>
                <w:sz w:val="20"/>
                <w:szCs w:val="20"/>
                <w:color w:val="auto"/>
              </w:rPr>
            </w:pPr>
            <w:r>
              <w:rPr>
                <w:rFonts w:ascii="Arial" w:cs="Arial" w:eastAsia="Arial" w:hAnsi="Arial"/>
                <w:sz w:val="13"/>
                <w:szCs w:val="13"/>
                <w:b w:val="1"/>
                <w:bCs w:val="1"/>
                <w:color w:val="auto"/>
              </w:rPr>
              <w:t>U.S.</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jc w:val="right"/>
              <w:ind w:right="203"/>
              <w:spacing w:after="0" w:line="138" w:lineRule="exact"/>
              <w:rPr>
                <w:sz w:val="20"/>
                <w:szCs w:val="20"/>
                <w:color w:val="auto"/>
              </w:rPr>
            </w:pPr>
            <w:r>
              <w:rPr>
                <w:rFonts w:ascii="Arial" w:cs="Arial" w:eastAsia="Arial" w:hAnsi="Arial"/>
                <w:sz w:val="13"/>
                <w:szCs w:val="13"/>
                <w:b w:val="1"/>
                <w:bCs w:val="1"/>
                <w:color w:val="auto"/>
              </w:rPr>
              <w:t>Non-U.S.</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gridSpan w:val="2"/>
          </w:tcPr>
          <w:p>
            <w:pPr>
              <w:jc w:val="right"/>
              <w:ind w:right="640"/>
              <w:spacing w:after="0" w:line="138" w:lineRule="exact"/>
              <w:rPr>
                <w:sz w:val="20"/>
                <w:szCs w:val="20"/>
                <w:color w:val="auto"/>
              </w:rPr>
            </w:pPr>
            <w:r>
              <w:rPr>
                <w:rFonts w:ascii="Arial" w:cs="Arial" w:eastAsia="Arial" w:hAnsi="Arial"/>
                <w:sz w:val="13"/>
                <w:szCs w:val="13"/>
                <w:b w:val="1"/>
                <w:bCs w:val="1"/>
                <w:color w:val="auto"/>
              </w:rPr>
              <w:t>U.S.</w:t>
            </w:r>
          </w:p>
        </w:tc>
        <w:tc>
          <w:tcPr>
            <w:tcW w:w="160" w:type="dxa"/>
            <w:vAlign w:val="bottom"/>
          </w:tcPr>
          <w:p>
            <w:pPr>
              <w:spacing w:after="0"/>
              <w:rPr>
                <w:sz w:val="11"/>
                <w:szCs w:val="11"/>
                <w:color w:val="auto"/>
              </w:rPr>
            </w:pPr>
          </w:p>
        </w:tc>
        <w:tc>
          <w:tcPr>
            <w:tcW w:w="880" w:type="dxa"/>
            <w:vAlign w:val="bottom"/>
          </w:tcPr>
          <w:p>
            <w:pPr>
              <w:jc w:val="right"/>
              <w:ind w:right="203"/>
              <w:spacing w:after="0" w:line="138" w:lineRule="exact"/>
              <w:rPr>
                <w:sz w:val="20"/>
                <w:szCs w:val="20"/>
                <w:color w:val="auto"/>
              </w:rPr>
            </w:pPr>
            <w:r>
              <w:rPr>
                <w:rFonts w:ascii="Arial" w:cs="Arial" w:eastAsia="Arial" w:hAnsi="Arial"/>
                <w:sz w:val="13"/>
                <w:szCs w:val="13"/>
                <w:b w:val="1"/>
                <w:bCs w:val="1"/>
                <w:color w:val="auto"/>
              </w:rPr>
              <w:t>Non-U.S.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gridSpan w:val="2"/>
          </w:tcPr>
          <w:p>
            <w:pPr>
              <w:jc w:val="right"/>
              <w:ind w:right="640"/>
              <w:spacing w:after="0" w:line="138" w:lineRule="exact"/>
              <w:rPr>
                <w:sz w:val="20"/>
                <w:szCs w:val="20"/>
                <w:color w:val="auto"/>
              </w:rPr>
            </w:pPr>
            <w:r>
              <w:rPr>
                <w:rFonts w:ascii="Arial" w:cs="Arial" w:eastAsia="Arial" w:hAnsi="Arial"/>
                <w:sz w:val="13"/>
                <w:szCs w:val="13"/>
                <w:b w:val="1"/>
                <w:bCs w:val="1"/>
                <w:color w:val="auto"/>
              </w:rPr>
              <w:t>U.S.</w:t>
            </w:r>
          </w:p>
        </w:tc>
        <w:tc>
          <w:tcPr>
            <w:tcW w:w="180" w:type="dxa"/>
            <w:vAlign w:val="bottom"/>
          </w:tcPr>
          <w:p>
            <w:pPr>
              <w:spacing w:after="0"/>
              <w:rPr>
                <w:sz w:val="11"/>
                <w:szCs w:val="11"/>
                <w:color w:val="auto"/>
              </w:rPr>
            </w:pPr>
          </w:p>
        </w:tc>
        <w:tc>
          <w:tcPr>
            <w:tcW w:w="900" w:type="dxa"/>
            <w:vAlign w:val="bottom"/>
          </w:tcPr>
          <w:p>
            <w:pPr>
              <w:jc w:val="right"/>
              <w:ind w:right="223"/>
              <w:spacing w:after="0" w:line="138" w:lineRule="exact"/>
              <w:rPr>
                <w:sz w:val="20"/>
                <w:szCs w:val="20"/>
                <w:color w:val="auto"/>
              </w:rPr>
            </w:pPr>
            <w:r>
              <w:rPr>
                <w:rFonts w:ascii="Arial" w:cs="Arial" w:eastAsia="Arial" w:hAnsi="Arial"/>
                <w:sz w:val="13"/>
                <w:szCs w:val="13"/>
                <w:b w:val="1"/>
                <w:bCs w:val="1"/>
                <w:color w:val="auto"/>
              </w:rPr>
              <w:t>Non-U.S.</w:t>
            </w:r>
          </w:p>
        </w:tc>
        <w:tc>
          <w:tcPr>
            <w:tcW w:w="120" w:type="dxa"/>
            <w:vAlign w:val="bottom"/>
          </w:tcPr>
          <w:p>
            <w:pPr>
              <w:spacing w:after="0"/>
              <w:rPr>
                <w:sz w:val="11"/>
                <w:szCs w:val="11"/>
                <w:color w:val="auto"/>
              </w:rPr>
            </w:pPr>
          </w:p>
        </w:tc>
      </w:tr>
      <w:tr>
        <w:trPr>
          <w:trHeight w:val="198"/>
        </w:trPr>
        <w:tc>
          <w:tcPr>
            <w:tcW w:w="3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Newly established (loss) gain</w:t>
            </w:r>
          </w:p>
        </w:tc>
        <w:tc>
          <w:tcPr>
            <w:tcW w:w="660" w:type="dxa"/>
            <w:vAlign w:val="bottom"/>
            <w:tcBorders>
              <w:top w:val="single" w:sz="8" w:color="CFF0FC"/>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jc w:val="right"/>
              <w:ind w:right="610"/>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90</w:t>
            </w:r>
          </w:p>
        </w:tc>
        <w:tc>
          <w:tcPr>
            <w:tcW w:w="24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(37)</w:t>
            </w:r>
          </w:p>
        </w:tc>
        <w:tc>
          <w:tcPr>
            <w:tcW w:w="22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(83)</w:t>
            </w:r>
          </w:p>
        </w:tc>
        <w:tc>
          <w:tcPr>
            <w:tcW w:w="24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(70)</w:t>
            </w: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(126)</w:t>
            </w:r>
          </w:p>
        </w:tc>
        <w:tc>
          <w:tcPr>
            <w:tcW w:w="22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w:t>
            </w:r>
          </w:p>
        </w:tc>
        <w:tc>
          <w:tcPr>
            <w:tcW w:w="120" w:type="dxa"/>
            <w:vAlign w:val="bottom"/>
            <w:tcBorders>
              <w:top w:val="single" w:sz="8" w:color="CFF0FC"/>
            </w:tcBorders>
            <w:shd w:val="clear" w:color="auto" w:fill="CFF0FC"/>
          </w:tcPr>
          <w:p>
            <w:pPr>
              <w:spacing w:after="0"/>
              <w:rPr>
                <w:sz w:val="17"/>
                <w:szCs w:val="17"/>
                <w:color w:val="auto"/>
              </w:rPr>
            </w:pPr>
          </w:p>
        </w:tc>
      </w:tr>
      <w:tr>
        <w:trPr>
          <w:trHeight w:val="205"/>
        </w:trPr>
        <w:tc>
          <w:tcPr>
            <w:tcW w:w="3220" w:type="dxa"/>
            <w:vAlign w:val="bottom"/>
          </w:tcPr>
          <w:p>
            <w:pPr>
              <w:spacing w:after="0"/>
              <w:rPr>
                <w:sz w:val="20"/>
                <w:szCs w:val="20"/>
                <w:color w:val="auto"/>
              </w:rPr>
            </w:pPr>
            <w:r>
              <w:rPr>
                <w:rFonts w:ascii="Arial" w:cs="Arial" w:eastAsia="Arial" w:hAnsi="Arial"/>
                <w:sz w:val="16"/>
                <w:szCs w:val="16"/>
                <w:color w:val="auto"/>
              </w:rPr>
              <w:t>Amortization of:</w:t>
            </w:r>
          </w:p>
        </w:tc>
        <w:tc>
          <w:tcPr>
            <w:tcW w:w="6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5"/>
        </w:trPr>
        <w:tc>
          <w:tcPr>
            <w:tcW w:w="3220" w:type="dxa"/>
            <w:vAlign w:val="bottom"/>
            <w:shd w:val="clear" w:color="auto" w:fill="CFF0FC"/>
          </w:tcPr>
          <w:p>
            <w:pPr>
              <w:ind w:left="220"/>
              <w:spacing w:after="0"/>
              <w:rPr>
                <w:sz w:val="20"/>
                <w:szCs w:val="20"/>
                <w:color w:val="auto"/>
              </w:rPr>
            </w:pPr>
            <w:r>
              <w:rPr>
                <w:rFonts w:ascii="Arial" w:cs="Arial" w:eastAsia="Arial" w:hAnsi="Arial"/>
                <w:sz w:val="16"/>
                <w:szCs w:val="16"/>
                <w:color w:val="auto"/>
              </w:rPr>
              <w:t>Prior service credit</w:t>
            </w:r>
          </w:p>
        </w:tc>
        <w:tc>
          <w:tcPr>
            <w:tcW w:w="6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5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(7)</w:t>
            </w:r>
          </w:p>
        </w:tc>
        <w:tc>
          <w:tcPr>
            <w:tcW w:w="16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(7)</w:t>
            </w:r>
          </w:p>
        </w:tc>
        <w:tc>
          <w:tcPr>
            <w:tcW w:w="16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(8)</w:t>
            </w:r>
          </w:p>
        </w:tc>
        <w:tc>
          <w:tcPr>
            <w:tcW w:w="18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r>
      <w:tr>
        <w:trPr>
          <w:trHeight w:val="205"/>
        </w:trPr>
        <w:tc>
          <w:tcPr>
            <w:tcW w:w="3220" w:type="dxa"/>
            <w:vAlign w:val="bottom"/>
          </w:tcPr>
          <w:p>
            <w:pPr>
              <w:ind w:left="220"/>
              <w:spacing w:after="0"/>
              <w:rPr>
                <w:sz w:val="20"/>
                <w:szCs w:val="20"/>
                <w:color w:val="auto"/>
              </w:rPr>
            </w:pPr>
            <w:r>
              <w:rPr>
                <w:rFonts w:ascii="Arial" w:cs="Arial" w:eastAsia="Arial" w:hAnsi="Arial"/>
                <w:sz w:val="16"/>
                <w:szCs w:val="16"/>
                <w:color w:val="auto"/>
              </w:rPr>
              <w:t>Net actuarial loss</w:t>
            </w:r>
          </w:p>
        </w:tc>
        <w:tc>
          <w:tcPr>
            <w:tcW w:w="6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7"/>
                <w:szCs w:val="17"/>
                <w:color w:val="auto"/>
              </w:rPr>
            </w:pPr>
          </w:p>
        </w:tc>
      </w:tr>
      <w:tr>
        <w:trPr>
          <w:trHeight w:val="185"/>
        </w:trPr>
        <w:tc>
          <w:tcPr>
            <w:tcW w:w="3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Total (loss) income recognized in Other</w:t>
            </w:r>
          </w:p>
        </w:tc>
        <w:tc>
          <w:tcPr>
            <w:tcW w:w="660" w:type="dxa"/>
            <w:vAlign w:val="bottom"/>
            <w:tcBorders>
              <w:top w:val="single" w:sz="8" w:color="CFF0FC"/>
            </w:tcBorders>
            <w:shd w:val="clear" w:color="auto" w:fill="CFF0FC"/>
          </w:tcPr>
          <w:p>
            <w:pPr>
              <w:spacing w:after="0"/>
              <w:rPr>
                <w:sz w:val="16"/>
                <w:szCs w:val="16"/>
                <w:color w:val="auto"/>
              </w:rPr>
            </w:pPr>
          </w:p>
        </w:tc>
        <w:tc>
          <w:tcPr>
            <w:tcW w:w="760" w:type="dxa"/>
            <w:vAlign w:val="bottom"/>
            <w:tcBorders>
              <w:top w:val="single" w:sz="8" w:color="auto"/>
            </w:tcBorders>
            <w:shd w:val="clear" w:color="auto" w:fill="CFF0FC"/>
          </w:tcPr>
          <w:p>
            <w:pPr>
              <w:spacing w:after="0"/>
              <w:rPr>
                <w:sz w:val="16"/>
                <w:szCs w:val="16"/>
                <w:color w:val="auto"/>
              </w:rPr>
            </w:pPr>
          </w:p>
        </w:tc>
        <w:tc>
          <w:tcPr>
            <w:tcW w:w="280" w:type="dxa"/>
            <w:vAlign w:val="bottom"/>
            <w:tcBorders>
              <w:top w:val="single" w:sz="8" w:color="auto"/>
            </w:tcBorders>
            <w:shd w:val="clear" w:color="auto" w:fill="CFF0FC"/>
          </w:tcPr>
          <w:p>
            <w:pPr>
              <w:spacing w:after="0"/>
              <w:rPr>
                <w:sz w:val="16"/>
                <w:szCs w:val="16"/>
                <w:color w:val="auto"/>
              </w:rPr>
            </w:pPr>
          </w:p>
        </w:tc>
        <w:tc>
          <w:tcPr>
            <w:tcW w:w="240" w:type="dxa"/>
            <w:vAlign w:val="bottom"/>
            <w:tcBorders>
              <w:top w:val="single" w:sz="8" w:color="CFF0FC"/>
            </w:tcBorders>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880" w:type="dxa"/>
            <w:vAlign w:val="bottom"/>
            <w:tcBorders>
              <w:top w:val="single" w:sz="8" w:color="auto"/>
            </w:tcBorders>
            <w:shd w:val="clear" w:color="auto" w:fill="CFF0FC"/>
          </w:tcPr>
          <w:p>
            <w:pPr>
              <w:spacing w:after="0"/>
              <w:rPr>
                <w:sz w:val="16"/>
                <w:szCs w:val="16"/>
                <w:color w:val="auto"/>
              </w:rPr>
            </w:pPr>
          </w:p>
        </w:tc>
        <w:tc>
          <w:tcPr>
            <w:tcW w:w="220" w:type="dxa"/>
            <w:vAlign w:val="bottom"/>
            <w:tcBorders>
              <w:top w:val="single" w:sz="8" w:color="CFF0FC"/>
            </w:tcBorders>
            <w:shd w:val="clear" w:color="auto" w:fill="CFF0FC"/>
          </w:tcPr>
          <w:p>
            <w:pPr>
              <w:spacing w:after="0"/>
              <w:rPr>
                <w:sz w:val="16"/>
                <w:szCs w:val="16"/>
                <w:color w:val="auto"/>
              </w:rPr>
            </w:pPr>
          </w:p>
        </w:tc>
        <w:tc>
          <w:tcPr>
            <w:tcW w:w="240" w:type="dxa"/>
            <w:vAlign w:val="bottom"/>
            <w:tcBorders>
              <w:top w:val="single" w:sz="8" w:color="auto"/>
            </w:tcBorders>
            <w:shd w:val="clear" w:color="auto" w:fill="CFF0FC"/>
          </w:tcPr>
          <w:p>
            <w:pPr>
              <w:spacing w:after="0"/>
              <w:rPr>
                <w:sz w:val="16"/>
                <w:szCs w:val="16"/>
                <w:color w:val="auto"/>
              </w:rPr>
            </w:pPr>
          </w:p>
        </w:tc>
        <w:tc>
          <w:tcPr>
            <w:tcW w:w="800" w:type="dxa"/>
            <w:vAlign w:val="bottom"/>
            <w:tcBorders>
              <w:top w:val="single" w:sz="8" w:color="auto"/>
            </w:tcBorders>
            <w:shd w:val="clear" w:color="auto" w:fill="CFF0FC"/>
          </w:tcPr>
          <w:p>
            <w:pPr>
              <w:spacing w:after="0"/>
              <w:rPr>
                <w:sz w:val="16"/>
                <w:szCs w:val="16"/>
                <w:color w:val="auto"/>
              </w:rPr>
            </w:pPr>
          </w:p>
        </w:tc>
        <w:tc>
          <w:tcPr>
            <w:tcW w:w="240" w:type="dxa"/>
            <w:vAlign w:val="bottom"/>
            <w:tcBorders>
              <w:top w:val="single" w:sz="8" w:color="CFF0FC"/>
            </w:tcBorders>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880" w:type="dxa"/>
            <w:vAlign w:val="bottom"/>
            <w:tcBorders>
              <w:top w:val="single" w:sz="8" w:color="auto"/>
            </w:tcBorders>
            <w:shd w:val="clear" w:color="auto" w:fill="CFF0FC"/>
          </w:tcPr>
          <w:p>
            <w:pPr>
              <w:spacing w:after="0"/>
              <w:rPr>
                <w:sz w:val="16"/>
                <w:szCs w:val="16"/>
                <w:color w:val="auto"/>
              </w:rPr>
            </w:pPr>
          </w:p>
        </w:tc>
        <w:tc>
          <w:tcPr>
            <w:tcW w:w="14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240" w:type="dxa"/>
            <w:vAlign w:val="bottom"/>
            <w:tcBorders>
              <w:top w:val="single" w:sz="8" w:color="auto"/>
            </w:tcBorders>
            <w:shd w:val="clear" w:color="auto" w:fill="CFF0FC"/>
          </w:tcPr>
          <w:p>
            <w:pPr>
              <w:spacing w:after="0"/>
              <w:rPr>
                <w:sz w:val="16"/>
                <w:szCs w:val="16"/>
                <w:color w:val="auto"/>
              </w:rPr>
            </w:pPr>
          </w:p>
        </w:tc>
        <w:tc>
          <w:tcPr>
            <w:tcW w:w="820" w:type="dxa"/>
            <w:vAlign w:val="bottom"/>
            <w:tcBorders>
              <w:top w:val="single" w:sz="8" w:color="auto"/>
            </w:tcBorders>
            <w:shd w:val="clear" w:color="auto" w:fill="CFF0FC"/>
          </w:tcPr>
          <w:p>
            <w:pPr>
              <w:spacing w:after="0"/>
              <w:rPr>
                <w:sz w:val="16"/>
                <w:szCs w:val="16"/>
                <w:color w:val="auto"/>
              </w:rPr>
            </w:pPr>
          </w:p>
        </w:tc>
        <w:tc>
          <w:tcPr>
            <w:tcW w:w="220" w:type="dxa"/>
            <w:vAlign w:val="bottom"/>
            <w:tcBorders>
              <w:top w:val="single" w:sz="8" w:color="CFF0FC"/>
            </w:tcBorders>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90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r>
      <w:tr>
        <w:trPr>
          <w:trHeight w:val="206"/>
        </w:trPr>
        <w:tc>
          <w:tcPr>
            <w:tcW w:w="32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comprehensive income</w:t>
            </w:r>
          </w:p>
        </w:tc>
        <w:tc>
          <w:tcPr>
            <w:tcW w:w="1420" w:type="dxa"/>
            <w:vAlign w:val="bottom"/>
            <w:gridSpan w:val="2"/>
            <w:shd w:val="clear" w:color="auto" w:fill="CFF0FC"/>
          </w:tcPr>
          <w:p>
            <w:pPr>
              <w:jc w:val="right"/>
              <w:ind w:right="610"/>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83</w:t>
            </w: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(34)</w:t>
            </w: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(83)</w:t>
            </w: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(70)</w:t>
            </w:r>
          </w:p>
        </w:tc>
        <w:tc>
          <w:tcPr>
            <w:tcW w:w="320" w:type="dxa"/>
            <w:vAlign w:val="bottom"/>
            <w:gridSpan w:val="2"/>
            <w:shd w:val="clear" w:color="auto" w:fill="CFF0FC"/>
          </w:tcPr>
          <w:p>
            <w:pPr>
              <w:jc w:val="right"/>
              <w:ind w:right="84"/>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(134)</w:t>
            </w: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w:t>
            </w:r>
          </w:p>
        </w:tc>
        <w:tc>
          <w:tcPr>
            <w:tcW w:w="120" w:type="dxa"/>
            <w:vAlign w:val="bottom"/>
            <w:shd w:val="clear" w:color="auto" w:fill="CFF0FC"/>
          </w:tcPr>
          <w:p>
            <w:pPr>
              <w:spacing w:after="0"/>
              <w:rPr>
                <w:sz w:val="17"/>
                <w:szCs w:val="17"/>
                <w:color w:val="auto"/>
              </w:rPr>
            </w:pPr>
          </w:p>
        </w:tc>
      </w:tr>
      <w:tr>
        <w:trPr>
          <w:trHeight w:val="20"/>
        </w:trPr>
        <w:tc>
          <w:tcPr>
            <w:tcW w:w="322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205" w:lineRule="exact"/>
        <w:rPr>
          <w:sz w:val="20"/>
          <w:szCs w:val="20"/>
          <w:color w:val="auto"/>
        </w:rPr>
      </w:pPr>
    </w:p>
    <w:p>
      <w:pPr>
        <w:spacing w:after="0"/>
        <w:rPr>
          <w:sz w:val="20"/>
          <w:szCs w:val="20"/>
          <w:color w:val="auto"/>
        </w:rPr>
      </w:pPr>
      <w:r>
        <w:rPr>
          <w:rFonts w:ascii="Arial" w:cs="Arial" w:eastAsia="Arial" w:hAnsi="Arial"/>
          <w:sz w:val="15"/>
          <w:szCs w:val="15"/>
          <w:color w:val="auto"/>
        </w:rPr>
        <w:t>The Company expects to recognize $8 million of prior service credits and $10 million of net actuarial losses as components of net periodic benefit cost over the next year.</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Pension income for all defined benefit plans included (in millions):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20" w:type="dxa"/>
            <w:vAlign w:val="bottom"/>
            <w:gridSpan w:val="5"/>
          </w:tcPr>
          <w:p>
            <w:pPr>
              <w:jc w:val="right"/>
              <w:ind w:right="580"/>
              <w:spacing w:after="0"/>
              <w:rPr>
                <w:sz w:val="20"/>
                <w:szCs w:val="20"/>
                <w:color w:val="auto"/>
              </w:rPr>
            </w:pPr>
            <w:r>
              <w:rPr>
                <w:rFonts w:ascii="Arial" w:cs="Arial" w:eastAsia="Arial" w:hAnsi="Arial"/>
                <w:sz w:val="13"/>
                <w:szCs w:val="13"/>
                <w:b w:val="1"/>
                <w:bCs w:val="1"/>
                <w:color w:val="auto"/>
              </w:rPr>
              <w:t>Year Ended December 31,</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gridSpan w:val="3"/>
          </w:tcPr>
          <w:p>
            <w:pPr>
              <w:jc w:val="right"/>
              <w:ind w:right="84"/>
              <w:spacing w:after="0"/>
              <w:rPr>
                <w:sz w:val="20"/>
                <w:szCs w:val="20"/>
                <w:color w:val="auto"/>
              </w:rPr>
            </w:pPr>
            <w:r>
              <w:rPr>
                <w:rFonts w:ascii="Arial" w:cs="Arial" w:eastAsia="Arial" w:hAnsi="Arial"/>
                <w:sz w:val="13"/>
                <w:szCs w:val="13"/>
                <w:b w:val="1"/>
                <w:bCs w:val="1"/>
                <w:color w:val="auto"/>
              </w:rPr>
              <w:t>2017</w:t>
            </w:r>
          </w:p>
        </w:tc>
        <w:tc>
          <w:tcPr>
            <w:tcW w:w="88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3"/>
          </w:tcPr>
          <w:p>
            <w:pPr>
              <w:jc w:val="right"/>
              <w:ind w:right="84"/>
              <w:spacing w:after="0"/>
              <w:rPr>
                <w:sz w:val="20"/>
                <w:szCs w:val="20"/>
                <w:color w:val="auto"/>
              </w:rPr>
            </w:pPr>
            <w:r>
              <w:rPr>
                <w:rFonts w:ascii="Arial" w:cs="Arial" w:eastAsia="Arial" w:hAnsi="Arial"/>
                <w:sz w:val="13"/>
                <w:szCs w:val="13"/>
                <w:b w:val="1"/>
                <w:bCs w:val="1"/>
                <w:color w:val="auto"/>
              </w:rPr>
              <w:t>2016</w:t>
            </w:r>
          </w:p>
        </w:tc>
        <w:tc>
          <w:tcPr>
            <w:tcW w:w="88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3"/>
          </w:tcPr>
          <w:p>
            <w:pPr>
              <w:jc w:val="right"/>
              <w:ind w:right="84"/>
              <w:spacing w:after="0"/>
              <w:rPr>
                <w:sz w:val="20"/>
                <w:szCs w:val="20"/>
                <w:color w:val="auto"/>
              </w:rPr>
            </w:pPr>
            <w:r>
              <w:rPr>
                <w:rFonts w:ascii="Arial" w:cs="Arial" w:eastAsia="Arial" w:hAnsi="Arial"/>
                <w:sz w:val="13"/>
                <w:szCs w:val="13"/>
                <w:b w:val="1"/>
                <w:bCs w:val="1"/>
                <w:color w:val="auto"/>
              </w:rPr>
              <w:t>2015</w:t>
            </w:r>
          </w:p>
        </w:tc>
        <w:tc>
          <w:tcPr>
            <w:tcW w:w="9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3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3"/>
                <w:szCs w:val="13"/>
                <w:b w:val="1"/>
                <w:bCs w:val="1"/>
                <w:color w:val="auto"/>
              </w:rPr>
              <w:t>U.S.</w:t>
            </w: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jc w:val="right"/>
              <w:ind w:right="201"/>
              <w:spacing w:after="0" w:line="138" w:lineRule="exact"/>
              <w:rPr>
                <w:sz w:val="20"/>
                <w:szCs w:val="20"/>
                <w:color w:val="auto"/>
              </w:rPr>
            </w:pPr>
            <w:r>
              <w:rPr>
                <w:rFonts w:ascii="Arial" w:cs="Arial" w:eastAsia="Arial" w:hAnsi="Arial"/>
                <w:sz w:val="13"/>
                <w:szCs w:val="13"/>
                <w:b w:val="1"/>
                <w:bCs w:val="1"/>
                <w:color w:val="auto"/>
              </w:rPr>
              <w:t>Non-U.S.</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gridSpan w:val="2"/>
          </w:tcPr>
          <w:p>
            <w:pPr>
              <w:jc w:val="right"/>
              <w:ind w:right="640"/>
              <w:spacing w:after="0" w:line="138" w:lineRule="exact"/>
              <w:rPr>
                <w:sz w:val="20"/>
                <w:szCs w:val="20"/>
                <w:color w:val="auto"/>
              </w:rPr>
            </w:pPr>
            <w:r>
              <w:rPr>
                <w:rFonts w:ascii="Arial" w:cs="Arial" w:eastAsia="Arial" w:hAnsi="Arial"/>
                <w:sz w:val="13"/>
                <w:szCs w:val="13"/>
                <w:b w:val="1"/>
                <w:bCs w:val="1"/>
                <w:color w:val="auto"/>
              </w:rPr>
              <w:t>U.S.</w:t>
            </w:r>
          </w:p>
        </w:tc>
        <w:tc>
          <w:tcPr>
            <w:tcW w:w="160" w:type="dxa"/>
            <w:vAlign w:val="bottom"/>
          </w:tcPr>
          <w:p>
            <w:pPr>
              <w:spacing w:after="0"/>
              <w:rPr>
                <w:sz w:val="11"/>
                <w:szCs w:val="11"/>
                <w:color w:val="auto"/>
              </w:rPr>
            </w:pPr>
          </w:p>
        </w:tc>
        <w:tc>
          <w:tcPr>
            <w:tcW w:w="880" w:type="dxa"/>
            <w:vAlign w:val="bottom"/>
          </w:tcPr>
          <w:p>
            <w:pPr>
              <w:jc w:val="right"/>
              <w:ind w:right="201"/>
              <w:spacing w:after="0" w:line="138" w:lineRule="exact"/>
              <w:rPr>
                <w:sz w:val="20"/>
                <w:szCs w:val="20"/>
                <w:color w:val="auto"/>
              </w:rPr>
            </w:pPr>
            <w:r>
              <w:rPr>
                <w:rFonts w:ascii="Arial" w:cs="Arial" w:eastAsia="Arial" w:hAnsi="Arial"/>
                <w:sz w:val="13"/>
                <w:szCs w:val="13"/>
                <w:b w:val="1"/>
                <w:bCs w:val="1"/>
                <w:color w:val="auto"/>
              </w:rPr>
              <w:t>Non-U.S.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gridSpan w:val="2"/>
          </w:tcPr>
          <w:p>
            <w:pPr>
              <w:jc w:val="right"/>
              <w:ind w:right="640"/>
              <w:spacing w:after="0" w:line="138" w:lineRule="exact"/>
              <w:rPr>
                <w:sz w:val="20"/>
                <w:szCs w:val="20"/>
                <w:color w:val="auto"/>
              </w:rPr>
            </w:pPr>
            <w:r>
              <w:rPr>
                <w:rFonts w:ascii="Arial" w:cs="Arial" w:eastAsia="Arial" w:hAnsi="Arial"/>
                <w:sz w:val="13"/>
                <w:szCs w:val="13"/>
                <w:b w:val="1"/>
                <w:bCs w:val="1"/>
                <w:color w:val="auto"/>
              </w:rPr>
              <w:t>U.S.</w:t>
            </w:r>
          </w:p>
        </w:tc>
        <w:tc>
          <w:tcPr>
            <w:tcW w:w="180" w:type="dxa"/>
            <w:vAlign w:val="bottom"/>
          </w:tcPr>
          <w:p>
            <w:pPr>
              <w:spacing w:after="0"/>
              <w:rPr>
                <w:sz w:val="11"/>
                <w:szCs w:val="11"/>
                <w:color w:val="auto"/>
              </w:rPr>
            </w:pPr>
          </w:p>
        </w:tc>
        <w:tc>
          <w:tcPr>
            <w:tcW w:w="900" w:type="dxa"/>
            <w:vAlign w:val="bottom"/>
          </w:tcPr>
          <w:p>
            <w:pPr>
              <w:jc w:val="right"/>
              <w:ind w:right="221"/>
              <w:spacing w:after="0" w:line="138" w:lineRule="exact"/>
              <w:rPr>
                <w:sz w:val="20"/>
                <w:szCs w:val="20"/>
                <w:color w:val="auto"/>
              </w:rPr>
            </w:pPr>
            <w:r>
              <w:rPr>
                <w:rFonts w:ascii="Arial" w:cs="Arial" w:eastAsia="Arial" w:hAnsi="Arial"/>
                <w:sz w:val="13"/>
                <w:szCs w:val="13"/>
                <w:b w:val="1"/>
                <w:bCs w:val="1"/>
                <w:color w:val="auto"/>
              </w:rPr>
              <w:t>Non-U.S.</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3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Major defined benefit plans:</w:t>
            </w:r>
          </w:p>
        </w:tc>
        <w:tc>
          <w:tcPr>
            <w:tcW w:w="560" w:type="dxa"/>
            <w:vAlign w:val="bottom"/>
            <w:tcBorders>
              <w:top w:val="single" w:sz="8" w:color="CFF0FC"/>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320" w:type="dxa"/>
            <w:vAlign w:val="bottom"/>
          </w:tcPr>
          <w:p>
            <w:pPr>
              <w:ind w:left="220"/>
              <w:spacing w:after="0"/>
              <w:rPr>
                <w:sz w:val="20"/>
                <w:szCs w:val="20"/>
                <w:color w:val="auto"/>
              </w:rPr>
            </w:pPr>
            <w:r>
              <w:rPr>
                <w:rFonts w:ascii="Arial" w:cs="Arial" w:eastAsia="Arial" w:hAnsi="Arial"/>
                <w:sz w:val="16"/>
                <w:szCs w:val="16"/>
                <w:color w:val="auto"/>
              </w:rPr>
              <w:t>Service cost</w:t>
            </w:r>
          </w:p>
        </w:tc>
        <w:tc>
          <w:tcPr>
            <w:tcW w:w="1240" w:type="dxa"/>
            <w:vAlign w:val="bottom"/>
            <w:gridSpan w:val="2"/>
          </w:tcPr>
          <w:p>
            <w:pPr>
              <w:jc w:val="right"/>
              <w:ind w:right="530"/>
              <w:spacing w:after="0"/>
              <w:rPr>
                <w:sz w:val="20"/>
                <w:szCs w:val="20"/>
                <w:color w:val="auto"/>
              </w:rPr>
            </w:pPr>
            <w:r>
              <w:rPr>
                <w:rFonts w:ascii="Arial" w:cs="Arial" w:eastAsia="Arial" w:hAnsi="Arial"/>
                <w:sz w:val="16"/>
                <w:szCs w:val="16"/>
                <w:color w:val="auto"/>
              </w:rPr>
              <w:t>$</w:t>
            </w:r>
          </w:p>
        </w:tc>
        <w:tc>
          <w:tcPr>
            <w:tcW w:w="360" w:type="dxa"/>
            <w:vAlign w:val="bottom"/>
          </w:tcPr>
          <w:p>
            <w:pPr>
              <w:jc w:val="right"/>
              <w:spacing w:after="0"/>
              <w:rPr>
                <w:sz w:val="20"/>
                <w:szCs w:val="20"/>
                <w:color w:val="auto"/>
              </w:rPr>
            </w:pPr>
            <w:r>
              <w:rPr>
                <w:rFonts w:ascii="Arial" w:cs="Arial" w:eastAsia="Arial" w:hAnsi="Arial"/>
                <w:sz w:val="16"/>
                <w:szCs w:val="16"/>
                <w:color w:val="auto"/>
              </w:rPr>
              <w:t>12</w:t>
            </w:r>
          </w:p>
        </w:tc>
        <w:tc>
          <w:tcPr>
            <w:tcW w:w="240" w:type="dxa"/>
            <w:vAlign w:val="bottom"/>
          </w:tcPr>
          <w:p>
            <w:pPr>
              <w:spacing w:after="0"/>
              <w:rPr>
                <w:sz w:val="17"/>
                <w:szCs w:val="17"/>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w:t>
            </w:r>
          </w:p>
        </w:tc>
        <w:tc>
          <w:tcPr>
            <w:tcW w:w="220" w:type="dxa"/>
            <w:vAlign w:val="bottom"/>
          </w:tcPr>
          <w:p>
            <w:pPr>
              <w:spacing w:after="0"/>
              <w:rPr>
                <w:sz w:val="17"/>
                <w:szCs w:val="17"/>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12</w:t>
            </w:r>
          </w:p>
        </w:tc>
        <w:tc>
          <w:tcPr>
            <w:tcW w:w="240" w:type="dxa"/>
            <w:vAlign w:val="bottom"/>
          </w:tcPr>
          <w:p>
            <w:pPr>
              <w:spacing w:after="0"/>
              <w:rPr>
                <w:sz w:val="17"/>
                <w:szCs w:val="17"/>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w:t>
            </w:r>
          </w:p>
        </w:tc>
        <w:tc>
          <w:tcPr>
            <w:tcW w:w="140" w:type="dxa"/>
            <w:vAlign w:val="bottom"/>
          </w:tcPr>
          <w:p>
            <w:pPr>
              <w:spacing w:after="0"/>
              <w:rPr>
                <w:sz w:val="17"/>
                <w:szCs w:val="17"/>
                <w:color w:val="auto"/>
              </w:rPr>
            </w:pPr>
          </w:p>
        </w:tc>
        <w:tc>
          <w:tcPr>
            <w:tcW w:w="320" w:type="dxa"/>
            <w:vAlign w:val="bottom"/>
            <w:gridSpan w:val="2"/>
          </w:tcPr>
          <w:p>
            <w:pPr>
              <w:jc w:val="right"/>
              <w:ind w:right="84"/>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17</w:t>
            </w:r>
          </w:p>
        </w:tc>
        <w:tc>
          <w:tcPr>
            <w:tcW w:w="220" w:type="dxa"/>
            <w:vAlign w:val="bottom"/>
          </w:tcPr>
          <w:p>
            <w:pPr>
              <w:spacing w:after="0"/>
              <w:rPr>
                <w:sz w:val="17"/>
                <w:szCs w:val="17"/>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320" w:type="dxa"/>
            <w:vAlign w:val="bottom"/>
            <w:shd w:val="clear" w:color="auto" w:fill="CFF0FC"/>
          </w:tcPr>
          <w:p>
            <w:pPr>
              <w:ind w:left="220"/>
              <w:spacing w:after="0"/>
              <w:rPr>
                <w:sz w:val="20"/>
                <w:szCs w:val="20"/>
                <w:color w:val="auto"/>
              </w:rPr>
            </w:pPr>
            <w:r>
              <w:rPr>
                <w:rFonts w:ascii="Arial" w:cs="Arial" w:eastAsia="Arial" w:hAnsi="Arial"/>
                <w:sz w:val="16"/>
                <w:szCs w:val="16"/>
                <w:color w:val="auto"/>
              </w:rPr>
              <w:t>Interest cost</w:t>
            </w:r>
          </w:p>
        </w:tc>
        <w:tc>
          <w:tcPr>
            <w:tcW w:w="56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115</w:t>
            </w: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113</w:t>
            </w: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148</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320" w:type="dxa"/>
            <w:vAlign w:val="bottom"/>
          </w:tcPr>
          <w:p>
            <w:pPr>
              <w:ind w:left="220"/>
              <w:spacing w:after="0"/>
              <w:rPr>
                <w:sz w:val="20"/>
                <w:szCs w:val="20"/>
                <w:color w:val="auto"/>
              </w:rPr>
            </w:pPr>
            <w:r>
              <w:rPr>
                <w:rFonts w:ascii="Arial" w:cs="Arial" w:eastAsia="Arial" w:hAnsi="Arial"/>
                <w:sz w:val="16"/>
                <w:szCs w:val="16"/>
                <w:color w:val="auto"/>
              </w:rPr>
              <w:t>Expected return on plan assets</w:t>
            </w:r>
          </w:p>
        </w:tc>
        <w:tc>
          <w:tcPr>
            <w:tcW w:w="5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6"/>
                <w:szCs w:val="16"/>
                <w:color w:val="auto"/>
              </w:rPr>
              <w:t>(243)</w:t>
            </w:r>
          </w:p>
        </w:tc>
        <w:tc>
          <w:tcPr>
            <w:tcW w:w="16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(27)</w:t>
            </w:r>
          </w:p>
        </w:tc>
        <w:tc>
          <w:tcPr>
            <w:tcW w:w="24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(262)</w:t>
            </w:r>
          </w:p>
        </w:tc>
        <w:tc>
          <w:tcPr>
            <w:tcW w:w="16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(28)</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(272)</w:t>
            </w:r>
          </w:p>
        </w:tc>
        <w:tc>
          <w:tcPr>
            <w:tcW w:w="180" w:type="dxa"/>
            <w:vAlign w:val="bottom"/>
          </w:tcPr>
          <w:p>
            <w:pPr>
              <w:spacing w:after="0"/>
              <w:rPr>
                <w:sz w:val="17"/>
                <w:szCs w:val="17"/>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05"/>
        </w:trPr>
        <w:tc>
          <w:tcPr>
            <w:tcW w:w="3320" w:type="dxa"/>
            <w:vAlign w:val="bottom"/>
            <w:shd w:val="clear" w:color="auto" w:fill="CFF0FC"/>
          </w:tcPr>
          <w:p>
            <w:pPr>
              <w:ind w:left="220"/>
              <w:spacing w:after="0"/>
              <w:rPr>
                <w:sz w:val="20"/>
                <w:szCs w:val="20"/>
                <w:color w:val="auto"/>
              </w:rPr>
            </w:pPr>
            <w:r>
              <w:rPr>
                <w:rFonts w:ascii="Arial" w:cs="Arial" w:eastAsia="Arial" w:hAnsi="Arial"/>
                <w:sz w:val="16"/>
                <w:szCs w:val="16"/>
                <w:color w:val="auto"/>
              </w:rPr>
              <w:t>Amortization of:</w:t>
            </w:r>
          </w:p>
        </w:tc>
        <w:tc>
          <w:tcPr>
            <w:tcW w:w="56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320" w:type="dxa"/>
            <w:vAlign w:val="bottom"/>
          </w:tcPr>
          <w:p>
            <w:pPr>
              <w:ind w:left="440"/>
              <w:spacing w:after="0"/>
              <w:rPr>
                <w:sz w:val="20"/>
                <w:szCs w:val="20"/>
                <w:color w:val="auto"/>
              </w:rPr>
            </w:pPr>
            <w:r>
              <w:rPr>
                <w:rFonts w:ascii="Arial" w:cs="Arial" w:eastAsia="Arial" w:hAnsi="Arial"/>
                <w:sz w:val="16"/>
                <w:szCs w:val="16"/>
                <w:color w:val="auto"/>
              </w:rPr>
              <w:t>Prior service credit</w:t>
            </w:r>
          </w:p>
        </w:tc>
        <w:tc>
          <w:tcPr>
            <w:tcW w:w="5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6"/>
                <w:szCs w:val="16"/>
                <w:color w:val="auto"/>
              </w:rPr>
              <w:t>(7)</w:t>
            </w:r>
          </w:p>
        </w:tc>
        <w:tc>
          <w:tcPr>
            <w:tcW w:w="160" w:type="dxa"/>
            <w:vAlign w:val="bottom"/>
          </w:tcPr>
          <w:p>
            <w:pPr>
              <w:spacing w:after="0"/>
              <w:rPr>
                <w:sz w:val="17"/>
                <w:szCs w:val="17"/>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(7)</w:t>
            </w:r>
          </w:p>
        </w:tc>
        <w:tc>
          <w:tcPr>
            <w:tcW w:w="16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(8)</w:t>
            </w:r>
          </w:p>
        </w:tc>
        <w:tc>
          <w:tcPr>
            <w:tcW w:w="18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3320" w:type="dxa"/>
            <w:vAlign w:val="bottom"/>
            <w:shd w:val="clear" w:color="auto" w:fill="CFF0FC"/>
          </w:tcPr>
          <w:p>
            <w:pPr>
              <w:ind w:left="440"/>
              <w:spacing w:after="0"/>
              <w:rPr>
                <w:sz w:val="20"/>
                <w:szCs w:val="20"/>
                <w:color w:val="auto"/>
              </w:rPr>
            </w:pPr>
            <w:r>
              <w:rPr>
                <w:rFonts w:ascii="Arial" w:cs="Arial" w:eastAsia="Arial" w:hAnsi="Arial"/>
                <w:sz w:val="16"/>
                <w:szCs w:val="16"/>
                <w:color w:val="auto"/>
              </w:rPr>
              <w:t>Actuarial loss</w:t>
            </w:r>
          </w:p>
        </w:tc>
        <w:tc>
          <w:tcPr>
            <w:tcW w:w="56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6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w:t>
            </w: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3320" w:type="dxa"/>
            <w:vAlign w:val="bottom"/>
          </w:tcPr>
          <w:p>
            <w:pPr>
              <w:spacing w:after="0"/>
              <w:rPr>
                <w:sz w:val="20"/>
                <w:szCs w:val="20"/>
                <w:color w:val="auto"/>
              </w:rPr>
            </w:pPr>
            <w:r>
              <w:rPr>
                <w:rFonts w:ascii="Arial" w:cs="Arial" w:eastAsia="Arial" w:hAnsi="Arial"/>
                <w:sz w:val="16"/>
                <w:szCs w:val="16"/>
                <w:color w:val="auto"/>
              </w:rPr>
              <w:t>Pension income before special termination</w:t>
            </w:r>
          </w:p>
        </w:tc>
        <w:tc>
          <w:tcPr>
            <w:tcW w:w="560" w:type="dxa"/>
            <w:vAlign w:val="bottom"/>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320" w:type="dxa"/>
            <w:vAlign w:val="bottom"/>
          </w:tcPr>
          <w:p>
            <w:pPr>
              <w:ind w:left="120"/>
              <w:spacing w:after="0"/>
              <w:rPr>
                <w:sz w:val="20"/>
                <w:szCs w:val="20"/>
                <w:color w:val="auto"/>
              </w:rPr>
            </w:pPr>
            <w:r>
              <w:rPr>
                <w:rFonts w:ascii="Arial" w:cs="Arial" w:eastAsia="Arial" w:hAnsi="Arial"/>
                <w:sz w:val="16"/>
                <w:szCs w:val="16"/>
                <w:color w:val="auto"/>
              </w:rPr>
              <w:t>benefits</w:t>
            </w:r>
          </w:p>
        </w:tc>
        <w:tc>
          <w:tcPr>
            <w:tcW w:w="5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6"/>
                <w:szCs w:val="16"/>
                <w:color w:val="auto"/>
              </w:rPr>
              <w:t>(123)</w:t>
            </w:r>
          </w:p>
        </w:tc>
        <w:tc>
          <w:tcPr>
            <w:tcW w:w="16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(9)</w:t>
            </w:r>
          </w:p>
        </w:tc>
        <w:tc>
          <w:tcPr>
            <w:tcW w:w="24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(137)</w:t>
            </w:r>
          </w:p>
        </w:tc>
        <w:tc>
          <w:tcPr>
            <w:tcW w:w="16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(11)</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(115)</w:t>
            </w:r>
          </w:p>
        </w:tc>
        <w:tc>
          <w:tcPr>
            <w:tcW w:w="180" w:type="dxa"/>
            <w:vAlign w:val="bottom"/>
          </w:tcPr>
          <w:p>
            <w:pPr>
              <w:spacing w:after="0"/>
              <w:rPr>
                <w:sz w:val="17"/>
                <w:szCs w:val="17"/>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06"/>
        </w:trPr>
        <w:tc>
          <w:tcPr>
            <w:tcW w:w="3320" w:type="dxa"/>
            <w:vAlign w:val="bottom"/>
            <w:shd w:val="clear" w:color="auto" w:fill="CFF0FC"/>
          </w:tcPr>
          <w:p>
            <w:pPr>
              <w:ind w:left="220"/>
              <w:spacing w:after="0"/>
              <w:rPr>
                <w:sz w:val="20"/>
                <w:szCs w:val="20"/>
                <w:color w:val="auto"/>
              </w:rPr>
            </w:pPr>
            <w:r>
              <w:rPr>
                <w:rFonts w:ascii="Arial" w:cs="Arial" w:eastAsia="Arial" w:hAnsi="Arial"/>
                <w:sz w:val="16"/>
                <w:szCs w:val="16"/>
                <w:color w:val="auto"/>
              </w:rPr>
              <w:t>Special termination benefits</w:t>
            </w:r>
          </w:p>
        </w:tc>
        <w:tc>
          <w:tcPr>
            <w:tcW w:w="56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w:t>
            </w: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5"/>
        </w:trPr>
        <w:tc>
          <w:tcPr>
            <w:tcW w:w="3320" w:type="dxa"/>
            <w:vAlign w:val="bottom"/>
          </w:tcPr>
          <w:p>
            <w:pPr>
              <w:ind w:left="220"/>
              <w:spacing w:after="0"/>
              <w:rPr>
                <w:sz w:val="20"/>
                <w:szCs w:val="20"/>
                <w:color w:val="auto"/>
              </w:rPr>
            </w:pPr>
            <w:r>
              <w:rPr>
                <w:rFonts w:ascii="Arial" w:cs="Arial" w:eastAsia="Arial" w:hAnsi="Arial"/>
                <w:sz w:val="16"/>
                <w:szCs w:val="16"/>
                <w:color w:val="auto"/>
              </w:rPr>
              <w:t>Net pension income for major</w:t>
            </w:r>
          </w:p>
        </w:tc>
        <w:tc>
          <w:tcPr>
            <w:tcW w:w="560" w:type="dxa"/>
            <w:vAlign w:val="bottom"/>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320" w:type="dxa"/>
            <w:vAlign w:val="bottom"/>
          </w:tcPr>
          <w:p>
            <w:pPr>
              <w:ind w:left="340"/>
              <w:spacing w:after="0"/>
              <w:rPr>
                <w:sz w:val="20"/>
                <w:szCs w:val="20"/>
                <w:color w:val="auto"/>
              </w:rPr>
            </w:pPr>
            <w:r>
              <w:rPr>
                <w:rFonts w:ascii="Arial" w:cs="Arial" w:eastAsia="Arial" w:hAnsi="Arial"/>
                <w:sz w:val="16"/>
                <w:szCs w:val="16"/>
                <w:color w:val="auto"/>
              </w:rPr>
              <w:t>defined benefit plans</w:t>
            </w:r>
          </w:p>
        </w:tc>
        <w:tc>
          <w:tcPr>
            <w:tcW w:w="5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6"/>
                <w:szCs w:val="16"/>
                <w:color w:val="auto"/>
              </w:rPr>
              <w:t>(110)</w:t>
            </w:r>
          </w:p>
        </w:tc>
        <w:tc>
          <w:tcPr>
            <w:tcW w:w="16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(9)</w:t>
            </w:r>
          </w:p>
        </w:tc>
        <w:tc>
          <w:tcPr>
            <w:tcW w:w="24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(134)</w:t>
            </w:r>
          </w:p>
        </w:tc>
        <w:tc>
          <w:tcPr>
            <w:tcW w:w="16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(11)</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(106)</w:t>
            </w:r>
          </w:p>
        </w:tc>
        <w:tc>
          <w:tcPr>
            <w:tcW w:w="180" w:type="dxa"/>
            <w:vAlign w:val="bottom"/>
          </w:tcPr>
          <w:p>
            <w:pPr>
              <w:spacing w:after="0"/>
              <w:rPr>
                <w:sz w:val="17"/>
                <w:szCs w:val="17"/>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06"/>
        </w:trPr>
        <w:tc>
          <w:tcPr>
            <w:tcW w:w="3320" w:type="dxa"/>
            <w:vAlign w:val="bottom"/>
            <w:shd w:val="clear" w:color="auto" w:fill="CFF0FC"/>
          </w:tcPr>
          <w:p>
            <w:pPr>
              <w:spacing w:after="0"/>
              <w:rPr>
                <w:sz w:val="20"/>
                <w:szCs w:val="20"/>
                <w:color w:val="auto"/>
              </w:rPr>
            </w:pPr>
            <w:r>
              <w:rPr>
                <w:rFonts w:ascii="Arial" w:cs="Arial" w:eastAsia="Arial" w:hAnsi="Arial"/>
                <w:sz w:val="16"/>
                <w:szCs w:val="16"/>
                <w:color w:val="auto"/>
              </w:rPr>
              <w:t>Other plans including unfunded plans</w:t>
            </w:r>
          </w:p>
        </w:tc>
        <w:tc>
          <w:tcPr>
            <w:tcW w:w="56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(2)</w:t>
            </w: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320" w:type="dxa"/>
            <w:vAlign w:val="bottom"/>
            <w:vMerge w:val="restart"/>
          </w:tcPr>
          <w:p>
            <w:pPr>
              <w:spacing w:after="0"/>
              <w:rPr>
                <w:sz w:val="20"/>
                <w:szCs w:val="20"/>
                <w:color w:val="auto"/>
              </w:rPr>
            </w:pPr>
            <w:r>
              <w:rPr>
                <w:rFonts w:ascii="Arial" w:cs="Arial" w:eastAsia="Arial" w:hAnsi="Arial"/>
                <w:sz w:val="16"/>
                <w:szCs w:val="16"/>
                <w:color w:val="auto"/>
              </w:rPr>
              <w:t>Net pension income</w:t>
            </w:r>
          </w:p>
        </w:tc>
        <w:tc>
          <w:tcPr>
            <w:tcW w:w="5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3320" w:type="dxa"/>
            <w:vAlign w:val="bottom"/>
            <w:vMerge w:val="continue"/>
          </w:tcPr>
          <w:p>
            <w:pPr>
              <w:spacing w:after="0"/>
              <w:rPr>
                <w:sz w:val="17"/>
                <w:szCs w:val="17"/>
                <w:color w:val="auto"/>
              </w:rPr>
            </w:pPr>
          </w:p>
        </w:tc>
        <w:tc>
          <w:tcPr>
            <w:tcW w:w="560" w:type="dxa"/>
            <w:vAlign w:val="bottom"/>
            <w:vMerge w:val="continue"/>
          </w:tcPr>
          <w:p>
            <w:pPr>
              <w:spacing w:after="0"/>
              <w:rPr>
                <w:sz w:val="17"/>
                <w:szCs w:val="17"/>
                <w:color w:val="auto"/>
              </w:rPr>
            </w:pPr>
          </w:p>
        </w:tc>
        <w:tc>
          <w:tcPr>
            <w:tcW w:w="680" w:type="dxa"/>
            <w:vAlign w:val="bottom"/>
          </w:tcPr>
          <w:p>
            <w:pPr>
              <w:jc w:val="right"/>
              <w:ind w:right="530"/>
              <w:spacing w:after="0"/>
              <w:rPr>
                <w:sz w:val="20"/>
                <w:szCs w:val="20"/>
                <w:color w:val="auto"/>
              </w:rPr>
            </w:pPr>
            <w:r>
              <w:rPr>
                <w:rFonts w:ascii="Arial" w:cs="Arial" w:eastAsia="Arial" w:hAnsi="Arial"/>
                <w:sz w:val="15"/>
                <w:szCs w:val="15"/>
                <w:color w:val="auto"/>
                <w:w w:val="71"/>
              </w:rPr>
              <w:t>$</w:t>
            </w:r>
          </w:p>
        </w:tc>
        <w:tc>
          <w:tcPr>
            <w:tcW w:w="360" w:type="dxa"/>
            <w:vAlign w:val="bottom"/>
          </w:tcPr>
          <w:p>
            <w:pPr>
              <w:jc w:val="right"/>
              <w:spacing w:after="0"/>
              <w:rPr>
                <w:sz w:val="20"/>
                <w:szCs w:val="20"/>
                <w:color w:val="auto"/>
              </w:rPr>
            </w:pPr>
            <w:r>
              <w:rPr>
                <w:rFonts w:ascii="Arial" w:cs="Arial" w:eastAsia="Arial" w:hAnsi="Arial"/>
                <w:sz w:val="16"/>
                <w:szCs w:val="16"/>
                <w:color w:val="auto"/>
                <w:w w:val="90"/>
              </w:rPr>
              <w:t>(110)</w:t>
            </w:r>
          </w:p>
        </w:tc>
        <w:tc>
          <w:tcPr>
            <w:tcW w:w="240" w:type="dxa"/>
            <w:vAlign w:val="bottom"/>
            <w:vMerge w:val="continue"/>
          </w:tcPr>
          <w:p>
            <w:pPr>
              <w:spacing w:after="0"/>
              <w:rPr>
                <w:sz w:val="17"/>
                <w:szCs w:val="17"/>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(9)</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(134)</w:t>
            </w:r>
          </w:p>
        </w:tc>
        <w:tc>
          <w:tcPr>
            <w:tcW w:w="240" w:type="dxa"/>
            <w:vAlign w:val="bottom"/>
            <w:vMerge w:val="continue"/>
          </w:tcPr>
          <w:p>
            <w:pPr>
              <w:spacing w:after="0"/>
              <w:rPr>
                <w:sz w:val="17"/>
                <w:szCs w:val="17"/>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(13)</w:t>
            </w:r>
          </w:p>
        </w:tc>
        <w:tc>
          <w:tcPr>
            <w:tcW w:w="14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(106)</w:t>
            </w:r>
          </w:p>
        </w:tc>
        <w:tc>
          <w:tcPr>
            <w:tcW w:w="220" w:type="dxa"/>
            <w:vAlign w:val="bottom"/>
            <w:vMerge w:val="continue"/>
          </w:tcPr>
          <w:p>
            <w:pPr>
              <w:spacing w:after="0"/>
              <w:rPr>
                <w:sz w:val="17"/>
                <w:szCs w:val="17"/>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ind w:right="180"/>
        <w:spacing w:after="0" w:line="257" w:lineRule="auto"/>
        <w:rPr>
          <w:sz w:val="20"/>
          <w:szCs w:val="20"/>
          <w:color w:val="auto"/>
        </w:rPr>
      </w:pPr>
      <w:r>
        <w:rPr>
          <w:rFonts w:ascii="Arial" w:cs="Arial" w:eastAsia="Arial" w:hAnsi="Arial"/>
          <w:sz w:val="16"/>
          <w:szCs w:val="16"/>
          <w:color w:val="auto"/>
        </w:rPr>
        <w:t>Beginning in 2016, Kodak changed the method used to estimate the service and interest cost components of the net periodic pension costs. The new method uses the spot yield curve approach to estimate the service and interest costs by applying the specific spot rates along the yield curve used to determine the benefit obligations to relevant projected cash outflows. Prior to 2016, the service and interest costs were determined using a single weighted-average discount rate based on the AA yield curves used to measure the benefit obligation at the measurement date. Kodak changed to the new method to provide a more precise measure of interest and service costs by improving the correlation between the projected benefit cash flows and the discrete spot yield curve rates. Kodak accounted for this change prospectively as a change in estimate beginning in the first quarter of 2016.</w:t>
      </w:r>
    </w:p>
    <w:p>
      <w:pPr>
        <w:spacing w:after="0" w:line="172" w:lineRule="exact"/>
        <w:rPr>
          <w:sz w:val="20"/>
          <w:szCs w:val="20"/>
          <w:color w:val="auto"/>
        </w:rPr>
      </w:pPr>
    </w:p>
    <w:p>
      <w:pPr>
        <w:ind w:right="380"/>
        <w:spacing w:after="0" w:line="280" w:lineRule="auto"/>
        <w:rPr>
          <w:sz w:val="20"/>
          <w:szCs w:val="20"/>
          <w:color w:val="auto"/>
        </w:rPr>
      </w:pPr>
      <w:r>
        <w:rPr>
          <w:rFonts w:ascii="Arial" w:cs="Arial" w:eastAsia="Arial" w:hAnsi="Arial"/>
          <w:sz w:val="16"/>
          <w:szCs w:val="16"/>
          <w:color w:val="auto"/>
        </w:rPr>
        <w:t>As a result of the methodology change, the 2016 interest cost for the major U.S. and non-U.S. defined benefit pension plans decreased by approximately $31 million and $4 million, respectively. The methodology change did not have a material impact on service cost for Kodak’s major defined benefit plans.</w:t>
      </w:r>
    </w:p>
    <w:p>
      <w:pPr>
        <w:spacing w:after="0" w:line="151" w:lineRule="exact"/>
        <w:rPr>
          <w:sz w:val="20"/>
          <w:szCs w:val="20"/>
          <w:color w:val="auto"/>
        </w:rPr>
      </w:pPr>
    </w:p>
    <w:p>
      <w:pPr>
        <w:ind w:right="400"/>
        <w:spacing w:after="0" w:line="354" w:lineRule="auto"/>
        <w:rPr>
          <w:sz w:val="20"/>
          <w:szCs w:val="20"/>
          <w:color w:val="auto"/>
        </w:rPr>
      </w:pPr>
      <w:r>
        <w:rPr>
          <w:rFonts w:ascii="Arial" w:cs="Arial" w:eastAsia="Arial" w:hAnsi="Arial"/>
          <w:sz w:val="14"/>
          <w:szCs w:val="14"/>
          <w:color w:val="auto"/>
        </w:rPr>
        <w:t>The special termination benefits of $13 million, $3 million and $9 million for the years ended December 31, 2017, 2016 and 2015, respectively, were incurred as a result of Kodak's restructuring actions and, therefore, have been included in Restructuring costs and other in the Consolidated Statement of Operations for those periods.</w:t>
      </w:r>
    </w:p>
    <w:p>
      <w:pPr>
        <w:spacing w:after="0" w:line="105" w:lineRule="exact"/>
        <w:rPr>
          <w:sz w:val="20"/>
          <w:szCs w:val="20"/>
          <w:color w:val="auto"/>
        </w:rPr>
      </w:pPr>
    </w:p>
    <w:p>
      <w:pPr>
        <w:ind w:right="560"/>
        <w:spacing w:after="0" w:line="280" w:lineRule="auto"/>
        <w:rPr>
          <w:sz w:val="20"/>
          <w:szCs w:val="20"/>
          <w:color w:val="auto"/>
        </w:rPr>
      </w:pPr>
      <w:r>
        <w:rPr>
          <w:rFonts w:ascii="Arial" w:cs="Arial" w:eastAsia="Arial" w:hAnsi="Arial"/>
          <w:sz w:val="16"/>
          <w:szCs w:val="16"/>
          <w:color w:val="auto"/>
        </w:rPr>
        <w:t>The weighted-average assumptions used to determine the benefit obligation amounts for all major funded and unfunded U.S. and Non-U.S. defined benefit plans were as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580" w:type="dxa"/>
            <w:vAlign w:val="bottom"/>
            <w:gridSpan w:val="4"/>
          </w:tcPr>
          <w:p>
            <w:pPr>
              <w:jc w:val="right"/>
              <w:ind w:right="700"/>
              <w:spacing w:after="0"/>
              <w:rPr>
                <w:sz w:val="20"/>
                <w:szCs w:val="20"/>
                <w:color w:val="auto"/>
              </w:rPr>
            </w:pPr>
            <w:r>
              <w:rPr>
                <w:rFonts w:ascii="Arial" w:cs="Arial" w:eastAsia="Arial" w:hAnsi="Arial"/>
                <w:sz w:val="13"/>
                <w:szCs w:val="13"/>
                <w:b w:val="1"/>
                <w:bCs w:val="1"/>
                <w:color w:val="auto"/>
              </w:rPr>
              <w:t>Year Ended December 31,</w:t>
            </w:r>
          </w:p>
        </w:tc>
        <w:tc>
          <w:tcPr>
            <w:tcW w:w="1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53"/>
        </w:trPr>
        <w:tc>
          <w:tcPr>
            <w:tcW w:w="3760" w:type="dxa"/>
            <w:vAlign w:val="bottom"/>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b w:val="1"/>
                <w:bCs w:val="1"/>
                <w:color w:val="auto"/>
              </w:rPr>
              <w:t>2017</w:t>
            </w:r>
          </w:p>
        </w:tc>
        <w:tc>
          <w:tcPr>
            <w:tcW w:w="11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2016</w:t>
            </w:r>
          </w:p>
        </w:tc>
        <w:tc>
          <w:tcPr>
            <w:tcW w:w="102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2015</w:t>
            </w:r>
          </w:p>
        </w:tc>
        <w:tc>
          <w:tcPr>
            <w:tcW w:w="10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37"/>
        </w:trPr>
        <w:tc>
          <w:tcPr>
            <w:tcW w:w="3760" w:type="dxa"/>
            <w:vAlign w:val="bottom"/>
            <w:tcBorders>
              <w:bottom w:val="single" w:sz="8" w:color="CFF0FC"/>
            </w:tcBorders>
          </w:tcPr>
          <w:p>
            <w:pPr>
              <w:spacing w:after="0"/>
              <w:rPr>
                <w:sz w:val="11"/>
                <w:szCs w:val="11"/>
                <w:color w:val="auto"/>
              </w:rPr>
            </w:pPr>
          </w:p>
        </w:tc>
        <w:tc>
          <w:tcPr>
            <w:tcW w:w="680" w:type="dxa"/>
            <w:vAlign w:val="bottom"/>
            <w:tcBorders>
              <w:bottom w:val="single" w:sz="8" w:color="auto"/>
            </w:tcBorders>
          </w:tcPr>
          <w:p>
            <w:pPr>
              <w:ind w:left="400"/>
              <w:spacing w:after="0" w:line="138" w:lineRule="exact"/>
              <w:rPr>
                <w:sz w:val="20"/>
                <w:szCs w:val="20"/>
                <w:color w:val="auto"/>
              </w:rPr>
            </w:pPr>
            <w:r>
              <w:rPr>
                <w:rFonts w:ascii="Arial" w:cs="Arial" w:eastAsia="Arial" w:hAnsi="Arial"/>
                <w:sz w:val="13"/>
                <w:szCs w:val="13"/>
                <w:b w:val="1"/>
                <w:bCs w:val="1"/>
                <w:color w:val="auto"/>
              </w:rPr>
              <w:t>U.S.</w:t>
            </w:r>
          </w:p>
        </w:tc>
        <w:tc>
          <w:tcPr>
            <w:tcW w:w="500" w:type="dxa"/>
            <w:vAlign w:val="bottom"/>
            <w:tcBorders>
              <w:bottom w:val="single" w:sz="8" w:color="auto"/>
            </w:tcBorders>
          </w:tcPr>
          <w:p>
            <w:pPr>
              <w:spacing w:after="0"/>
              <w:rPr>
                <w:sz w:val="11"/>
                <w:szCs w:val="11"/>
                <w:color w:val="auto"/>
              </w:rPr>
            </w:pPr>
          </w:p>
        </w:tc>
        <w:tc>
          <w:tcPr>
            <w:tcW w:w="120" w:type="dxa"/>
            <w:vAlign w:val="bottom"/>
            <w:tcBorders>
              <w:bottom w:val="single" w:sz="8" w:color="CFF0FC"/>
            </w:tcBorders>
          </w:tcPr>
          <w:p>
            <w:pPr>
              <w:spacing w:after="0"/>
              <w:rPr>
                <w:sz w:val="11"/>
                <w:szCs w:val="11"/>
                <w:color w:val="auto"/>
              </w:rPr>
            </w:pPr>
          </w:p>
        </w:tc>
        <w:tc>
          <w:tcPr>
            <w:tcW w:w="1180" w:type="dxa"/>
            <w:vAlign w:val="bottom"/>
            <w:tcBorders>
              <w:bottom w:val="single" w:sz="8" w:color="auto"/>
            </w:tcBorders>
          </w:tcPr>
          <w:p>
            <w:pPr>
              <w:jc w:val="right"/>
              <w:ind w:right="343"/>
              <w:spacing w:after="0" w:line="138" w:lineRule="exact"/>
              <w:rPr>
                <w:sz w:val="20"/>
                <w:szCs w:val="20"/>
                <w:color w:val="auto"/>
              </w:rPr>
            </w:pPr>
            <w:r>
              <w:rPr>
                <w:rFonts w:ascii="Arial" w:cs="Arial" w:eastAsia="Arial" w:hAnsi="Arial"/>
                <w:sz w:val="13"/>
                <w:szCs w:val="13"/>
                <w:b w:val="1"/>
                <w:bCs w:val="1"/>
                <w:color w:val="auto"/>
              </w:rPr>
              <w:t>Non-U.S.</w:t>
            </w:r>
          </w:p>
        </w:tc>
        <w:tc>
          <w:tcPr>
            <w:tcW w:w="120" w:type="dxa"/>
            <w:vAlign w:val="bottom"/>
            <w:tcBorders>
              <w:bottom w:val="single" w:sz="8" w:color="CFF0FC"/>
            </w:tcBorders>
          </w:tcPr>
          <w:p>
            <w:pPr>
              <w:spacing w:after="0"/>
              <w:rPr>
                <w:sz w:val="11"/>
                <w:szCs w:val="11"/>
                <w:color w:val="auto"/>
              </w:rPr>
            </w:pPr>
          </w:p>
        </w:tc>
        <w:tc>
          <w:tcPr>
            <w:tcW w:w="1000" w:type="dxa"/>
            <w:vAlign w:val="bottom"/>
            <w:tcBorders>
              <w:bottom w:val="single" w:sz="8" w:color="auto"/>
            </w:tcBorders>
          </w:tcPr>
          <w:p>
            <w:pPr>
              <w:ind w:left="380"/>
              <w:spacing w:after="0" w:line="138" w:lineRule="exact"/>
              <w:rPr>
                <w:sz w:val="20"/>
                <w:szCs w:val="20"/>
                <w:color w:val="auto"/>
              </w:rPr>
            </w:pPr>
            <w:r>
              <w:rPr>
                <w:rFonts w:ascii="Arial" w:cs="Arial" w:eastAsia="Arial" w:hAnsi="Arial"/>
                <w:sz w:val="13"/>
                <w:szCs w:val="13"/>
                <w:b w:val="1"/>
                <w:bCs w:val="1"/>
                <w:color w:val="auto"/>
              </w:rPr>
              <w:t>U.S.</w:t>
            </w:r>
          </w:p>
        </w:tc>
        <w:tc>
          <w:tcPr>
            <w:tcW w:w="280" w:type="dxa"/>
            <w:vAlign w:val="bottom"/>
            <w:tcBorders>
              <w:bottom w:val="single" w:sz="8" w:color="CFF0FC"/>
            </w:tcBorders>
          </w:tcPr>
          <w:p>
            <w:pPr>
              <w:spacing w:after="0"/>
              <w:rPr>
                <w:sz w:val="11"/>
                <w:szCs w:val="11"/>
                <w:color w:val="auto"/>
              </w:rPr>
            </w:pPr>
          </w:p>
        </w:tc>
        <w:tc>
          <w:tcPr>
            <w:tcW w:w="1020" w:type="dxa"/>
            <w:vAlign w:val="bottom"/>
            <w:tcBorders>
              <w:bottom w:val="single" w:sz="8" w:color="auto"/>
            </w:tcBorders>
          </w:tcPr>
          <w:p>
            <w:pPr>
              <w:jc w:val="right"/>
              <w:ind w:right="185"/>
              <w:spacing w:after="0" w:line="138" w:lineRule="exact"/>
              <w:rPr>
                <w:sz w:val="20"/>
                <w:szCs w:val="20"/>
                <w:color w:val="auto"/>
              </w:rPr>
            </w:pPr>
            <w:r>
              <w:rPr>
                <w:rFonts w:ascii="Arial" w:cs="Arial" w:eastAsia="Arial" w:hAnsi="Arial"/>
                <w:sz w:val="13"/>
                <w:szCs w:val="13"/>
                <w:b w:val="1"/>
                <w:bCs w:val="1"/>
                <w:color w:val="auto"/>
              </w:rPr>
              <w:t>Non-U.S.</w:t>
            </w:r>
          </w:p>
        </w:tc>
        <w:tc>
          <w:tcPr>
            <w:tcW w:w="280" w:type="dxa"/>
            <w:vAlign w:val="bottom"/>
            <w:tcBorders>
              <w:bottom w:val="single" w:sz="8" w:color="CFF0FC"/>
            </w:tcBorders>
          </w:tcPr>
          <w:p>
            <w:pPr>
              <w:spacing w:after="0"/>
              <w:rPr>
                <w:sz w:val="11"/>
                <w:szCs w:val="11"/>
                <w:color w:val="auto"/>
              </w:rPr>
            </w:pPr>
          </w:p>
        </w:tc>
        <w:tc>
          <w:tcPr>
            <w:tcW w:w="1020" w:type="dxa"/>
            <w:vAlign w:val="bottom"/>
            <w:tcBorders>
              <w:bottom w:val="single" w:sz="8" w:color="auto"/>
            </w:tcBorders>
          </w:tcPr>
          <w:p>
            <w:pPr>
              <w:ind w:left="400"/>
              <w:spacing w:after="0" w:line="138" w:lineRule="exact"/>
              <w:rPr>
                <w:sz w:val="20"/>
                <w:szCs w:val="20"/>
                <w:color w:val="auto"/>
              </w:rPr>
            </w:pPr>
            <w:r>
              <w:rPr>
                <w:rFonts w:ascii="Arial" w:cs="Arial" w:eastAsia="Arial" w:hAnsi="Arial"/>
                <w:sz w:val="13"/>
                <w:szCs w:val="13"/>
                <w:b w:val="1"/>
                <w:bCs w:val="1"/>
                <w:color w:val="auto"/>
              </w:rPr>
              <w:t>U.S.</w:t>
            </w:r>
          </w:p>
        </w:tc>
        <w:tc>
          <w:tcPr>
            <w:tcW w:w="280" w:type="dxa"/>
            <w:vAlign w:val="bottom"/>
            <w:tcBorders>
              <w:bottom w:val="single" w:sz="8" w:color="CFF0FC"/>
            </w:tcBorders>
          </w:tcPr>
          <w:p>
            <w:pPr>
              <w:spacing w:after="0"/>
              <w:rPr>
                <w:sz w:val="11"/>
                <w:szCs w:val="11"/>
                <w:color w:val="auto"/>
              </w:rPr>
            </w:pPr>
          </w:p>
        </w:tc>
        <w:tc>
          <w:tcPr>
            <w:tcW w:w="1040" w:type="dxa"/>
            <w:vAlign w:val="bottom"/>
            <w:tcBorders>
              <w:bottom w:val="single" w:sz="8" w:color="auto"/>
            </w:tcBorders>
          </w:tcPr>
          <w:p>
            <w:pPr>
              <w:ind w:left="260"/>
              <w:spacing w:after="0" w:line="138" w:lineRule="exact"/>
              <w:rPr>
                <w:sz w:val="20"/>
                <w:szCs w:val="20"/>
                <w:color w:val="auto"/>
              </w:rPr>
            </w:pPr>
            <w:r>
              <w:rPr>
                <w:rFonts w:ascii="Arial" w:cs="Arial" w:eastAsia="Arial" w:hAnsi="Arial"/>
                <w:sz w:val="13"/>
                <w:szCs w:val="13"/>
                <w:b w:val="1"/>
                <w:bCs w:val="1"/>
                <w:color w:val="auto"/>
              </w:rPr>
              <w:t>Non-U.S.</w:t>
            </w:r>
          </w:p>
        </w:tc>
        <w:tc>
          <w:tcPr>
            <w:tcW w:w="160" w:type="dxa"/>
            <w:vAlign w:val="bottom"/>
            <w:tcBorders>
              <w:bottom w:val="single" w:sz="8" w:color="CFF0FC"/>
            </w:tcBorders>
          </w:tcPr>
          <w:p>
            <w:pPr>
              <w:spacing w:after="0"/>
              <w:rPr>
                <w:sz w:val="11"/>
                <w:szCs w:val="11"/>
                <w:color w:val="auto"/>
              </w:rPr>
            </w:pPr>
          </w:p>
        </w:tc>
        <w:tc>
          <w:tcPr>
            <w:tcW w:w="20" w:type="dxa"/>
            <w:vAlign w:val="bottom"/>
          </w:tcPr>
          <w:p>
            <w:pPr>
              <w:spacing w:after="0"/>
              <w:rPr>
                <w:sz w:val="11"/>
                <w:szCs w:val="11"/>
                <w:color w:val="auto"/>
              </w:rPr>
            </w:pPr>
          </w:p>
        </w:tc>
      </w:tr>
      <w:tr>
        <w:trPr>
          <w:trHeight w:val="198"/>
        </w:trPr>
        <w:tc>
          <w:tcPr>
            <w:tcW w:w="3760" w:type="dxa"/>
            <w:vAlign w:val="bottom"/>
            <w:shd w:val="clear" w:color="auto" w:fill="CFF0FC"/>
          </w:tcPr>
          <w:p>
            <w:pPr>
              <w:spacing w:after="0"/>
              <w:rPr>
                <w:sz w:val="20"/>
                <w:szCs w:val="20"/>
                <w:color w:val="auto"/>
              </w:rPr>
            </w:pPr>
            <w:r>
              <w:rPr>
                <w:rFonts w:ascii="Arial" w:cs="Arial" w:eastAsia="Arial" w:hAnsi="Arial"/>
                <w:sz w:val="16"/>
                <w:szCs w:val="16"/>
                <w:color w:val="auto"/>
              </w:rPr>
              <w:t>Discount rate</w:t>
            </w:r>
          </w:p>
        </w:tc>
        <w:tc>
          <w:tcPr>
            <w:tcW w:w="680" w:type="dxa"/>
            <w:vAlign w:val="bottom"/>
            <w:shd w:val="clear" w:color="auto" w:fill="CFF0FC"/>
          </w:tcPr>
          <w:p>
            <w:pPr>
              <w:spacing w:after="0"/>
              <w:rPr>
                <w:sz w:val="17"/>
                <w:szCs w:val="17"/>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3.34%</w:t>
            </w:r>
          </w:p>
        </w:tc>
        <w:tc>
          <w:tcPr>
            <w:tcW w:w="12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1.90%</w:t>
            </w:r>
          </w:p>
        </w:tc>
        <w:tc>
          <w:tcPr>
            <w:tcW w:w="12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3.74%</w:t>
            </w: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2.04%</w:t>
            </w: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3.89%</w:t>
            </w: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2.50%</w:t>
            </w:r>
          </w:p>
        </w:tc>
        <w:tc>
          <w:tcPr>
            <w:tcW w:w="20" w:type="dxa"/>
            <w:vAlign w:val="bottom"/>
          </w:tcPr>
          <w:p>
            <w:pPr>
              <w:spacing w:after="0"/>
              <w:rPr>
                <w:sz w:val="17"/>
                <w:szCs w:val="17"/>
                <w:color w:val="auto"/>
              </w:rPr>
            </w:pPr>
          </w:p>
        </w:tc>
      </w:tr>
      <w:tr>
        <w:trPr>
          <w:trHeight w:val="206"/>
        </w:trPr>
        <w:tc>
          <w:tcPr>
            <w:tcW w:w="4440" w:type="dxa"/>
            <w:vAlign w:val="bottom"/>
            <w:gridSpan w:val="2"/>
          </w:tcPr>
          <w:p>
            <w:pPr>
              <w:spacing w:after="0"/>
              <w:rPr>
                <w:sz w:val="20"/>
                <w:szCs w:val="20"/>
                <w:color w:val="auto"/>
              </w:rPr>
            </w:pPr>
            <w:r>
              <w:rPr>
                <w:rFonts w:ascii="Arial" w:cs="Arial" w:eastAsia="Arial" w:hAnsi="Arial"/>
                <w:sz w:val="16"/>
                <w:szCs w:val="16"/>
                <w:color w:val="auto"/>
              </w:rPr>
              <w:t>Salary increase rate</w:t>
            </w:r>
          </w:p>
        </w:tc>
        <w:tc>
          <w:tcPr>
            <w:tcW w:w="500" w:type="dxa"/>
            <w:vAlign w:val="bottom"/>
          </w:tcPr>
          <w:p>
            <w:pPr>
              <w:jc w:val="right"/>
              <w:spacing w:after="0"/>
              <w:rPr>
                <w:sz w:val="20"/>
                <w:szCs w:val="20"/>
                <w:color w:val="auto"/>
              </w:rPr>
            </w:pPr>
            <w:r>
              <w:rPr>
                <w:rFonts w:ascii="Arial" w:cs="Arial" w:eastAsia="Arial" w:hAnsi="Arial"/>
                <w:sz w:val="16"/>
                <w:szCs w:val="16"/>
                <w:color w:val="auto"/>
              </w:rPr>
              <w:t>3.50%</w:t>
            </w: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2.17%</w:t>
            </w:r>
          </w:p>
        </w:tc>
        <w:tc>
          <w:tcPr>
            <w:tcW w:w="120" w:type="dxa"/>
            <w:vAlign w:val="bottom"/>
          </w:tcPr>
          <w:p>
            <w:pPr>
              <w:spacing w:after="0"/>
              <w:rPr>
                <w:sz w:val="17"/>
                <w:szCs w:val="17"/>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6"/>
                <w:szCs w:val="16"/>
                <w:color w:val="auto"/>
              </w:rPr>
              <w:t>3.43%</w:t>
            </w:r>
          </w:p>
        </w:tc>
        <w:tc>
          <w:tcPr>
            <w:tcW w:w="1300" w:type="dxa"/>
            <w:vAlign w:val="bottom"/>
            <w:gridSpan w:val="2"/>
          </w:tcPr>
          <w:p>
            <w:pPr>
              <w:jc w:val="right"/>
              <w:ind w:right="140"/>
              <w:spacing w:after="0"/>
              <w:rPr>
                <w:sz w:val="20"/>
                <w:szCs w:val="20"/>
                <w:color w:val="auto"/>
              </w:rPr>
            </w:pPr>
            <w:r>
              <w:rPr>
                <w:rFonts w:ascii="Arial" w:cs="Arial" w:eastAsia="Arial" w:hAnsi="Arial"/>
                <w:sz w:val="16"/>
                <w:szCs w:val="16"/>
                <w:color w:val="auto"/>
              </w:rPr>
              <w:t>1.99%</w:t>
            </w:r>
          </w:p>
        </w:tc>
        <w:tc>
          <w:tcPr>
            <w:tcW w:w="1300" w:type="dxa"/>
            <w:vAlign w:val="bottom"/>
            <w:gridSpan w:val="2"/>
          </w:tcPr>
          <w:p>
            <w:pPr>
              <w:jc w:val="right"/>
              <w:ind w:right="140"/>
              <w:spacing w:after="0"/>
              <w:rPr>
                <w:sz w:val="20"/>
                <w:szCs w:val="20"/>
                <w:color w:val="auto"/>
              </w:rPr>
            </w:pPr>
            <w:r>
              <w:rPr>
                <w:rFonts w:ascii="Arial" w:cs="Arial" w:eastAsia="Arial" w:hAnsi="Arial"/>
                <w:sz w:val="16"/>
                <w:szCs w:val="16"/>
                <w:color w:val="auto"/>
              </w:rPr>
              <w:t>3.37%</w:t>
            </w:r>
          </w:p>
        </w:tc>
        <w:tc>
          <w:tcPr>
            <w:tcW w:w="1200" w:type="dxa"/>
            <w:vAlign w:val="bottom"/>
            <w:gridSpan w:val="2"/>
          </w:tcPr>
          <w:p>
            <w:pPr>
              <w:jc w:val="right"/>
              <w:ind w:right="40"/>
              <w:spacing w:after="0"/>
              <w:rPr>
                <w:sz w:val="20"/>
                <w:szCs w:val="20"/>
                <w:color w:val="auto"/>
              </w:rPr>
            </w:pPr>
            <w:r>
              <w:rPr>
                <w:rFonts w:ascii="Arial" w:cs="Arial" w:eastAsia="Arial" w:hAnsi="Arial"/>
                <w:sz w:val="16"/>
                <w:szCs w:val="16"/>
                <w:color w:val="auto"/>
              </w:rPr>
              <w:t>1.91%</w:t>
            </w:r>
          </w:p>
        </w:tc>
        <w:tc>
          <w:tcPr>
            <w:tcW w:w="20" w:type="dxa"/>
            <w:vAlign w:val="bottom"/>
          </w:tcPr>
          <w:p>
            <w:pPr>
              <w:spacing w:after="0"/>
              <w:rPr>
                <w:sz w:val="17"/>
                <w:szCs w:val="17"/>
                <w:color w:val="auto"/>
              </w:rPr>
            </w:pPr>
          </w:p>
        </w:tc>
      </w:tr>
      <w:tr>
        <w:trPr>
          <w:trHeight w:val="386"/>
        </w:trPr>
        <w:tc>
          <w:tcPr>
            <w:tcW w:w="3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jc w:val="right"/>
              <w:ind w:right="363"/>
              <w:spacing w:after="0"/>
              <w:rPr>
                <w:sz w:val="20"/>
                <w:szCs w:val="20"/>
                <w:color w:val="auto"/>
              </w:rPr>
            </w:pPr>
            <w:r>
              <w:rPr>
                <w:rFonts w:ascii="Arial" w:cs="Arial" w:eastAsia="Arial" w:hAnsi="Arial"/>
                <w:sz w:val="16"/>
                <w:szCs w:val="16"/>
                <w:color w:val="auto"/>
              </w:rPr>
              <w:t>84</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1"/>
        </w:trPr>
        <w:tc>
          <w:tcPr>
            <w:tcW w:w="376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7253605</wp:posOffset>
            </wp:positionH>
            <wp:positionV relativeFrom="paragraph">
              <wp:posOffset>-27305</wp:posOffset>
            </wp:positionV>
            <wp:extent cx="33020" cy="406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-27305</wp:posOffset>
            </wp:positionV>
            <wp:extent cx="33020" cy="406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460"/>
          </w:cols>
          <w:pgMar w:left="240" w:top="127" w:right="199" w:bottom="1440" w:gutter="0" w:footer="0" w:header="0"/>
        </w:sectPr>
      </w:pPr>
    </w:p>
    <w:bookmarkStart w:id="84" w:name="page85"/>
    <w:bookmarkEnd w:id="84"/>
    <w:p>
      <w:pPr>
        <w:ind w:right="380"/>
        <w:spacing w:after="0" w:line="280" w:lineRule="auto"/>
        <w:rPr>
          <w:sz w:val="20"/>
          <w:szCs w:val="20"/>
          <w:color w:val="auto"/>
        </w:rPr>
      </w:pPr>
      <w:r>
        <w:rPr>
          <w:rFonts w:ascii="Arial" w:cs="Arial" w:eastAsia="Arial" w:hAnsi="Arial"/>
          <w:sz w:val="16"/>
          <w:szCs w:val="16"/>
          <w:color w:val="auto"/>
        </w:rPr>
        <w:t>The weighted-average assumptions used to determine net pension (income) expense for all the major funded and unfunded U.S. and Non-U.S. defined benefit plans were as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580" w:type="dxa"/>
            <w:vAlign w:val="bottom"/>
            <w:gridSpan w:val="4"/>
          </w:tcPr>
          <w:p>
            <w:pPr>
              <w:jc w:val="right"/>
              <w:ind w:right="700"/>
              <w:spacing w:after="0"/>
              <w:rPr>
                <w:sz w:val="20"/>
                <w:szCs w:val="20"/>
                <w:color w:val="auto"/>
              </w:rPr>
            </w:pPr>
            <w:r>
              <w:rPr>
                <w:rFonts w:ascii="Arial" w:cs="Arial" w:eastAsia="Arial" w:hAnsi="Arial"/>
                <w:sz w:val="13"/>
                <w:szCs w:val="13"/>
                <w:b w:val="1"/>
                <w:bCs w:val="1"/>
                <w:color w:val="auto"/>
              </w:rPr>
              <w:t>Year Ended December 31,</w:t>
            </w:r>
          </w:p>
        </w:tc>
        <w:tc>
          <w:tcPr>
            <w:tcW w:w="10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53"/>
        </w:trPr>
        <w:tc>
          <w:tcPr>
            <w:tcW w:w="3760" w:type="dxa"/>
            <w:vAlign w:val="bottom"/>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b w:val="1"/>
                <w:bCs w:val="1"/>
                <w:color w:val="auto"/>
              </w:rPr>
              <w:t>2017</w:t>
            </w:r>
          </w:p>
        </w:tc>
        <w:tc>
          <w:tcPr>
            <w:tcW w:w="11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2016</w:t>
            </w:r>
          </w:p>
        </w:tc>
        <w:tc>
          <w:tcPr>
            <w:tcW w:w="102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2015</w:t>
            </w:r>
          </w:p>
        </w:tc>
        <w:tc>
          <w:tcPr>
            <w:tcW w:w="10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r>
      <w:tr>
        <w:trPr>
          <w:trHeight w:val="137"/>
        </w:trPr>
        <w:tc>
          <w:tcPr>
            <w:tcW w:w="3760" w:type="dxa"/>
            <w:vAlign w:val="bottom"/>
            <w:tcBorders>
              <w:bottom w:val="single" w:sz="8" w:color="CFF0FC"/>
            </w:tcBorders>
          </w:tcPr>
          <w:p>
            <w:pPr>
              <w:spacing w:after="0"/>
              <w:rPr>
                <w:sz w:val="11"/>
                <w:szCs w:val="11"/>
                <w:color w:val="auto"/>
              </w:rPr>
            </w:pPr>
          </w:p>
        </w:tc>
        <w:tc>
          <w:tcPr>
            <w:tcW w:w="680" w:type="dxa"/>
            <w:vAlign w:val="bottom"/>
            <w:tcBorders>
              <w:bottom w:val="single" w:sz="8" w:color="auto"/>
            </w:tcBorders>
          </w:tcPr>
          <w:p>
            <w:pPr>
              <w:ind w:left="400"/>
              <w:spacing w:after="0" w:line="138" w:lineRule="exact"/>
              <w:rPr>
                <w:sz w:val="20"/>
                <w:szCs w:val="20"/>
                <w:color w:val="auto"/>
              </w:rPr>
            </w:pPr>
            <w:r>
              <w:rPr>
                <w:rFonts w:ascii="Arial" w:cs="Arial" w:eastAsia="Arial" w:hAnsi="Arial"/>
                <w:sz w:val="13"/>
                <w:szCs w:val="13"/>
                <w:b w:val="1"/>
                <w:bCs w:val="1"/>
                <w:color w:val="auto"/>
              </w:rPr>
              <w:t>U.S.</w:t>
            </w:r>
          </w:p>
        </w:tc>
        <w:tc>
          <w:tcPr>
            <w:tcW w:w="500" w:type="dxa"/>
            <w:vAlign w:val="bottom"/>
            <w:tcBorders>
              <w:bottom w:val="single" w:sz="8" w:color="auto"/>
            </w:tcBorders>
          </w:tcPr>
          <w:p>
            <w:pPr>
              <w:spacing w:after="0"/>
              <w:rPr>
                <w:sz w:val="11"/>
                <w:szCs w:val="11"/>
                <w:color w:val="auto"/>
              </w:rPr>
            </w:pPr>
          </w:p>
        </w:tc>
        <w:tc>
          <w:tcPr>
            <w:tcW w:w="120" w:type="dxa"/>
            <w:vAlign w:val="bottom"/>
            <w:tcBorders>
              <w:bottom w:val="single" w:sz="8" w:color="CFF0FC"/>
            </w:tcBorders>
          </w:tcPr>
          <w:p>
            <w:pPr>
              <w:spacing w:after="0"/>
              <w:rPr>
                <w:sz w:val="11"/>
                <w:szCs w:val="11"/>
                <w:color w:val="auto"/>
              </w:rPr>
            </w:pPr>
          </w:p>
        </w:tc>
        <w:tc>
          <w:tcPr>
            <w:tcW w:w="1180" w:type="dxa"/>
            <w:vAlign w:val="bottom"/>
            <w:tcBorders>
              <w:bottom w:val="single" w:sz="8" w:color="auto"/>
            </w:tcBorders>
          </w:tcPr>
          <w:p>
            <w:pPr>
              <w:jc w:val="right"/>
              <w:ind w:right="343"/>
              <w:spacing w:after="0" w:line="138" w:lineRule="exact"/>
              <w:rPr>
                <w:sz w:val="20"/>
                <w:szCs w:val="20"/>
                <w:color w:val="auto"/>
              </w:rPr>
            </w:pPr>
            <w:r>
              <w:rPr>
                <w:rFonts w:ascii="Arial" w:cs="Arial" w:eastAsia="Arial" w:hAnsi="Arial"/>
                <w:sz w:val="13"/>
                <w:szCs w:val="13"/>
                <w:b w:val="1"/>
                <w:bCs w:val="1"/>
                <w:color w:val="auto"/>
              </w:rPr>
              <w:t>Non-U.S.</w:t>
            </w:r>
          </w:p>
        </w:tc>
        <w:tc>
          <w:tcPr>
            <w:tcW w:w="120" w:type="dxa"/>
            <w:vAlign w:val="bottom"/>
            <w:tcBorders>
              <w:bottom w:val="single" w:sz="8" w:color="CFF0FC"/>
            </w:tcBorders>
          </w:tcPr>
          <w:p>
            <w:pPr>
              <w:spacing w:after="0"/>
              <w:rPr>
                <w:sz w:val="11"/>
                <w:szCs w:val="11"/>
                <w:color w:val="auto"/>
              </w:rPr>
            </w:pPr>
          </w:p>
        </w:tc>
        <w:tc>
          <w:tcPr>
            <w:tcW w:w="1000" w:type="dxa"/>
            <w:vAlign w:val="bottom"/>
            <w:tcBorders>
              <w:bottom w:val="single" w:sz="8" w:color="auto"/>
            </w:tcBorders>
          </w:tcPr>
          <w:p>
            <w:pPr>
              <w:ind w:left="380"/>
              <w:spacing w:after="0" w:line="138" w:lineRule="exact"/>
              <w:rPr>
                <w:sz w:val="20"/>
                <w:szCs w:val="20"/>
                <w:color w:val="auto"/>
              </w:rPr>
            </w:pPr>
            <w:r>
              <w:rPr>
                <w:rFonts w:ascii="Arial" w:cs="Arial" w:eastAsia="Arial" w:hAnsi="Arial"/>
                <w:sz w:val="13"/>
                <w:szCs w:val="13"/>
                <w:b w:val="1"/>
                <w:bCs w:val="1"/>
                <w:color w:val="auto"/>
              </w:rPr>
              <w:t>U.S.</w:t>
            </w:r>
          </w:p>
        </w:tc>
        <w:tc>
          <w:tcPr>
            <w:tcW w:w="280" w:type="dxa"/>
            <w:vAlign w:val="bottom"/>
            <w:tcBorders>
              <w:bottom w:val="single" w:sz="8" w:color="CFF0FC"/>
            </w:tcBorders>
          </w:tcPr>
          <w:p>
            <w:pPr>
              <w:spacing w:after="0"/>
              <w:rPr>
                <w:sz w:val="11"/>
                <w:szCs w:val="11"/>
                <w:color w:val="auto"/>
              </w:rPr>
            </w:pPr>
          </w:p>
        </w:tc>
        <w:tc>
          <w:tcPr>
            <w:tcW w:w="1020" w:type="dxa"/>
            <w:vAlign w:val="bottom"/>
            <w:tcBorders>
              <w:bottom w:val="single" w:sz="8" w:color="auto"/>
            </w:tcBorders>
          </w:tcPr>
          <w:p>
            <w:pPr>
              <w:jc w:val="right"/>
              <w:ind w:right="183"/>
              <w:spacing w:after="0" w:line="138" w:lineRule="exact"/>
              <w:rPr>
                <w:sz w:val="20"/>
                <w:szCs w:val="20"/>
                <w:color w:val="auto"/>
              </w:rPr>
            </w:pPr>
            <w:r>
              <w:rPr>
                <w:rFonts w:ascii="Arial" w:cs="Arial" w:eastAsia="Arial" w:hAnsi="Arial"/>
                <w:sz w:val="13"/>
                <w:szCs w:val="13"/>
                <w:b w:val="1"/>
                <w:bCs w:val="1"/>
                <w:color w:val="auto"/>
              </w:rPr>
              <w:t>Non-U.S.</w:t>
            </w:r>
          </w:p>
        </w:tc>
        <w:tc>
          <w:tcPr>
            <w:tcW w:w="280" w:type="dxa"/>
            <w:vAlign w:val="bottom"/>
            <w:tcBorders>
              <w:bottom w:val="single" w:sz="8" w:color="CFF0FC"/>
            </w:tcBorders>
          </w:tcPr>
          <w:p>
            <w:pPr>
              <w:spacing w:after="0"/>
              <w:rPr>
                <w:sz w:val="11"/>
                <w:szCs w:val="11"/>
                <w:color w:val="auto"/>
              </w:rPr>
            </w:pPr>
          </w:p>
        </w:tc>
        <w:tc>
          <w:tcPr>
            <w:tcW w:w="1020" w:type="dxa"/>
            <w:vAlign w:val="bottom"/>
            <w:tcBorders>
              <w:bottom w:val="single" w:sz="8" w:color="auto"/>
            </w:tcBorders>
          </w:tcPr>
          <w:p>
            <w:pPr>
              <w:ind w:left="400"/>
              <w:spacing w:after="0" w:line="138" w:lineRule="exact"/>
              <w:rPr>
                <w:sz w:val="20"/>
                <w:szCs w:val="20"/>
                <w:color w:val="auto"/>
              </w:rPr>
            </w:pPr>
            <w:r>
              <w:rPr>
                <w:rFonts w:ascii="Arial" w:cs="Arial" w:eastAsia="Arial" w:hAnsi="Arial"/>
                <w:sz w:val="13"/>
                <w:szCs w:val="13"/>
                <w:b w:val="1"/>
                <w:bCs w:val="1"/>
                <w:color w:val="auto"/>
              </w:rPr>
              <w:t>U.S.</w:t>
            </w:r>
          </w:p>
        </w:tc>
        <w:tc>
          <w:tcPr>
            <w:tcW w:w="280" w:type="dxa"/>
            <w:vAlign w:val="bottom"/>
            <w:tcBorders>
              <w:bottom w:val="single" w:sz="8" w:color="CFF0FC"/>
            </w:tcBorders>
          </w:tcPr>
          <w:p>
            <w:pPr>
              <w:spacing w:after="0"/>
              <w:rPr>
                <w:sz w:val="11"/>
                <w:szCs w:val="11"/>
                <w:color w:val="auto"/>
              </w:rPr>
            </w:pPr>
          </w:p>
        </w:tc>
        <w:tc>
          <w:tcPr>
            <w:tcW w:w="1040" w:type="dxa"/>
            <w:vAlign w:val="bottom"/>
            <w:tcBorders>
              <w:bottom w:val="single" w:sz="8" w:color="auto"/>
            </w:tcBorders>
          </w:tcPr>
          <w:p>
            <w:pPr>
              <w:ind w:left="260"/>
              <w:spacing w:after="0" w:line="138" w:lineRule="exact"/>
              <w:rPr>
                <w:sz w:val="20"/>
                <w:szCs w:val="20"/>
                <w:color w:val="auto"/>
              </w:rPr>
            </w:pPr>
            <w:r>
              <w:rPr>
                <w:rFonts w:ascii="Arial" w:cs="Arial" w:eastAsia="Arial" w:hAnsi="Arial"/>
                <w:sz w:val="13"/>
                <w:szCs w:val="13"/>
                <w:b w:val="1"/>
                <w:bCs w:val="1"/>
                <w:color w:val="auto"/>
              </w:rPr>
              <w:t>Non-U.S.</w:t>
            </w:r>
          </w:p>
        </w:tc>
        <w:tc>
          <w:tcPr>
            <w:tcW w:w="160" w:type="dxa"/>
            <w:vAlign w:val="bottom"/>
            <w:tcBorders>
              <w:bottom w:val="single" w:sz="8" w:color="CFF0FC"/>
            </w:tcBorders>
          </w:tcPr>
          <w:p>
            <w:pPr>
              <w:spacing w:after="0"/>
              <w:rPr>
                <w:sz w:val="11"/>
                <w:szCs w:val="11"/>
                <w:color w:val="auto"/>
              </w:rPr>
            </w:pPr>
          </w:p>
        </w:tc>
      </w:tr>
      <w:tr>
        <w:trPr>
          <w:trHeight w:val="198"/>
        </w:trPr>
        <w:tc>
          <w:tcPr>
            <w:tcW w:w="3760" w:type="dxa"/>
            <w:vAlign w:val="bottom"/>
            <w:shd w:val="clear" w:color="auto" w:fill="CFF0FC"/>
          </w:tcPr>
          <w:p>
            <w:pPr>
              <w:spacing w:after="0"/>
              <w:rPr>
                <w:sz w:val="20"/>
                <w:szCs w:val="20"/>
                <w:color w:val="auto"/>
              </w:rPr>
            </w:pPr>
            <w:r>
              <w:rPr>
                <w:rFonts w:ascii="Arial" w:cs="Arial" w:eastAsia="Arial" w:hAnsi="Arial"/>
                <w:sz w:val="16"/>
                <w:szCs w:val="16"/>
                <w:color w:val="auto"/>
              </w:rPr>
              <w:t>Effective rate for service cost</w:t>
            </w:r>
          </w:p>
        </w:tc>
        <w:tc>
          <w:tcPr>
            <w:tcW w:w="680" w:type="dxa"/>
            <w:vAlign w:val="bottom"/>
            <w:shd w:val="clear" w:color="auto" w:fill="CFF0FC"/>
          </w:tcPr>
          <w:p>
            <w:pPr>
              <w:spacing w:after="0"/>
              <w:rPr>
                <w:sz w:val="17"/>
                <w:szCs w:val="17"/>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3.68%</w:t>
            </w:r>
          </w:p>
        </w:tc>
        <w:tc>
          <w:tcPr>
            <w:tcW w:w="12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2.66%</w:t>
            </w:r>
          </w:p>
        </w:tc>
        <w:tc>
          <w:tcPr>
            <w:tcW w:w="12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3.49%</w:t>
            </w: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2.81%</w:t>
            </w: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3.50%</w:t>
            </w: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2.09%</w:t>
            </w:r>
          </w:p>
        </w:tc>
      </w:tr>
      <w:tr>
        <w:trPr>
          <w:trHeight w:val="205"/>
        </w:trPr>
        <w:tc>
          <w:tcPr>
            <w:tcW w:w="4440" w:type="dxa"/>
            <w:vAlign w:val="bottom"/>
            <w:gridSpan w:val="2"/>
          </w:tcPr>
          <w:p>
            <w:pPr>
              <w:spacing w:after="0"/>
              <w:rPr>
                <w:sz w:val="20"/>
                <w:szCs w:val="20"/>
                <w:color w:val="auto"/>
              </w:rPr>
            </w:pPr>
            <w:r>
              <w:rPr>
                <w:rFonts w:ascii="Arial" w:cs="Arial" w:eastAsia="Arial" w:hAnsi="Arial"/>
                <w:sz w:val="16"/>
                <w:szCs w:val="16"/>
                <w:color w:val="auto"/>
              </w:rPr>
              <w:t>Effective rate for interest cost</w:t>
            </w:r>
          </w:p>
        </w:tc>
        <w:tc>
          <w:tcPr>
            <w:tcW w:w="500" w:type="dxa"/>
            <w:vAlign w:val="bottom"/>
          </w:tcPr>
          <w:p>
            <w:pPr>
              <w:jc w:val="right"/>
              <w:spacing w:after="0"/>
              <w:rPr>
                <w:sz w:val="20"/>
                <w:szCs w:val="20"/>
                <w:color w:val="auto"/>
              </w:rPr>
            </w:pPr>
            <w:r>
              <w:rPr>
                <w:rFonts w:ascii="Arial" w:cs="Arial" w:eastAsia="Arial" w:hAnsi="Arial"/>
                <w:sz w:val="16"/>
                <w:szCs w:val="16"/>
                <w:color w:val="auto"/>
              </w:rPr>
              <w:t>3.06%</w:t>
            </w: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1.56%</w:t>
            </w:r>
          </w:p>
        </w:tc>
        <w:tc>
          <w:tcPr>
            <w:tcW w:w="120" w:type="dxa"/>
            <w:vAlign w:val="bottom"/>
          </w:tcPr>
          <w:p>
            <w:pPr>
              <w:spacing w:after="0"/>
              <w:rPr>
                <w:sz w:val="17"/>
                <w:szCs w:val="17"/>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6"/>
                <w:szCs w:val="16"/>
                <w:color w:val="auto"/>
              </w:rPr>
              <w:t>2.82%</w:t>
            </w:r>
          </w:p>
        </w:tc>
        <w:tc>
          <w:tcPr>
            <w:tcW w:w="1300" w:type="dxa"/>
            <w:vAlign w:val="bottom"/>
            <w:gridSpan w:val="2"/>
          </w:tcPr>
          <w:p>
            <w:pPr>
              <w:jc w:val="right"/>
              <w:ind w:right="140"/>
              <w:spacing w:after="0"/>
              <w:rPr>
                <w:sz w:val="20"/>
                <w:szCs w:val="20"/>
                <w:color w:val="auto"/>
              </w:rPr>
            </w:pPr>
            <w:r>
              <w:rPr>
                <w:rFonts w:ascii="Arial" w:cs="Arial" w:eastAsia="Arial" w:hAnsi="Arial"/>
                <w:sz w:val="16"/>
                <w:szCs w:val="16"/>
                <w:color w:val="auto"/>
              </w:rPr>
              <w:t>1.90%</w:t>
            </w:r>
          </w:p>
        </w:tc>
        <w:tc>
          <w:tcPr>
            <w:tcW w:w="1300" w:type="dxa"/>
            <w:vAlign w:val="bottom"/>
            <w:gridSpan w:val="2"/>
          </w:tcPr>
          <w:p>
            <w:pPr>
              <w:jc w:val="right"/>
              <w:ind w:right="140"/>
              <w:spacing w:after="0"/>
              <w:rPr>
                <w:sz w:val="20"/>
                <w:szCs w:val="20"/>
                <w:color w:val="auto"/>
              </w:rPr>
            </w:pPr>
            <w:r>
              <w:rPr>
                <w:rFonts w:ascii="Arial" w:cs="Arial" w:eastAsia="Arial" w:hAnsi="Arial"/>
                <w:sz w:val="16"/>
                <w:szCs w:val="16"/>
                <w:color w:val="auto"/>
              </w:rPr>
              <w:t>3.50%</w:t>
            </w:r>
          </w:p>
        </w:tc>
        <w:tc>
          <w:tcPr>
            <w:tcW w:w="1200" w:type="dxa"/>
            <w:vAlign w:val="bottom"/>
            <w:gridSpan w:val="2"/>
          </w:tcPr>
          <w:p>
            <w:pPr>
              <w:jc w:val="right"/>
              <w:ind w:right="40"/>
              <w:spacing w:after="0"/>
              <w:rPr>
                <w:sz w:val="20"/>
                <w:szCs w:val="20"/>
                <w:color w:val="auto"/>
              </w:rPr>
            </w:pPr>
            <w:r>
              <w:rPr>
                <w:rFonts w:ascii="Arial" w:cs="Arial" w:eastAsia="Arial" w:hAnsi="Arial"/>
                <w:sz w:val="16"/>
                <w:szCs w:val="16"/>
                <w:color w:val="auto"/>
              </w:rPr>
              <w:t>2.09%</w:t>
            </w:r>
          </w:p>
        </w:tc>
      </w:tr>
      <w:tr>
        <w:trPr>
          <w:trHeight w:val="205"/>
        </w:trPr>
        <w:tc>
          <w:tcPr>
            <w:tcW w:w="44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Salary increase rate</w:t>
            </w: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3.43%</w:t>
            </w:r>
          </w:p>
        </w:tc>
        <w:tc>
          <w:tcPr>
            <w:tcW w:w="12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2.09%</w:t>
            </w:r>
          </w:p>
        </w:tc>
        <w:tc>
          <w:tcPr>
            <w:tcW w:w="12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3.37%</w:t>
            </w: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1.91%</w:t>
            </w: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3.34%</w:t>
            </w: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1.95%</w:t>
            </w:r>
          </w:p>
        </w:tc>
      </w:tr>
      <w:tr>
        <w:trPr>
          <w:trHeight w:val="193"/>
        </w:trPr>
        <w:tc>
          <w:tcPr>
            <w:tcW w:w="4440" w:type="dxa"/>
            <w:vAlign w:val="bottom"/>
            <w:gridSpan w:val="2"/>
          </w:tcPr>
          <w:p>
            <w:pPr>
              <w:spacing w:after="0"/>
              <w:rPr>
                <w:sz w:val="20"/>
                <w:szCs w:val="20"/>
                <w:color w:val="auto"/>
              </w:rPr>
            </w:pPr>
            <w:r>
              <w:rPr>
                <w:rFonts w:ascii="Arial" w:cs="Arial" w:eastAsia="Arial" w:hAnsi="Arial"/>
                <w:sz w:val="16"/>
                <w:szCs w:val="16"/>
                <w:color w:val="auto"/>
              </w:rPr>
              <w:t>Expected long-term rate of return on</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06"/>
        </w:trPr>
        <w:tc>
          <w:tcPr>
            <w:tcW w:w="4440" w:type="dxa"/>
            <w:vAlign w:val="bottom"/>
            <w:gridSpan w:val="2"/>
          </w:tcPr>
          <w:p>
            <w:pPr>
              <w:ind w:left="120"/>
              <w:spacing w:after="0"/>
              <w:rPr>
                <w:sz w:val="20"/>
                <w:szCs w:val="20"/>
                <w:color w:val="auto"/>
              </w:rPr>
            </w:pPr>
            <w:r>
              <w:rPr>
                <w:rFonts w:ascii="Arial" w:cs="Arial" w:eastAsia="Arial" w:hAnsi="Arial"/>
                <w:sz w:val="16"/>
                <w:szCs w:val="16"/>
                <w:color w:val="auto"/>
              </w:rPr>
              <w:t>plan assets</w:t>
            </w:r>
          </w:p>
        </w:tc>
        <w:tc>
          <w:tcPr>
            <w:tcW w:w="500" w:type="dxa"/>
            <w:vAlign w:val="bottom"/>
          </w:tcPr>
          <w:p>
            <w:pPr>
              <w:jc w:val="right"/>
              <w:spacing w:after="0"/>
              <w:rPr>
                <w:sz w:val="20"/>
                <w:szCs w:val="20"/>
                <w:color w:val="auto"/>
              </w:rPr>
            </w:pPr>
            <w:r>
              <w:rPr>
                <w:rFonts w:ascii="Arial" w:cs="Arial" w:eastAsia="Arial" w:hAnsi="Arial"/>
                <w:sz w:val="16"/>
                <w:szCs w:val="16"/>
                <w:color w:val="auto"/>
              </w:rPr>
              <w:t>7.00%</w:t>
            </w: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4.21%</w:t>
            </w:r>
          </w:p>
        </w:tc>
        <w:tc>
          <w:tcPr>
            <w:tcW w:w="120" w:type="dxa"/>
            <w:vAlign w:val="bottom"/>
          </w:tcPr>
          <w:p>
            <w:pPr>
              <w:spacing w:after="0"/>
              <w:rPr>
                <w:sz w:val="17"/>
                <w:szCs w:val="17"/>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6"/>
                <w:szCs w:val="16"/>
                <w:color w:val="auto"/>
              </w:rPr>
              <w:t>7.40%</w:t>
            </w:r>
          </w:p>
        </w:tc>
        <w:tc>
          <w:tcPr>
            <w:tcW w:w="1300" w:type="dxa"/>
            <w:vAlign w:val="bottom"/>
            <w:gridSpan w:val="2"/>
          </w:tcPr>
          <w:p>
            <w:pPr>
              <w:jc w:val="right"/>
              <w:ind w:right="140"/>
              <w:spacing w:after="0"/>
              <w:rPr>
                <w:sz w:val="20"/>
                <w:szCs w:val="20"/>
                <w:color w:val="auto"/>
              </w:rPr>
            </w:pPr>
            <w:r>
              <w:rPr>
                <w:rFonts w:ascii="Arial" w:cs="Arial" w:eastAsia="Arial" w:hAnsi="Arial"/>
                <w:sz w:val="16"/>
                <w:szCs w:val="16"/>
                <w:color w:val="auto"/>
              </w:rPr>
              <w:t>4.65%</w:t>
            </w:r>
          </w:p>
        </w:tc>
        <w:tc>
          <w:tcPr>
            <w:tcW w:w="1300" w:type="dxa"/>
            <w:vAlign w:val="bottom"/>
            <w:gridSpan w:val="2"/>
          </w:tcPr>
          <w:p>
            <w:pPr>
              <w:jc w:val="right"/>
              <w:ind w:right="140"/>
              <w:spacing w:after="0"/>
              <w:rPr>
                <w:sz w:val="20"/>
                <w:szCs w:val="20"/>
                <w:color w:val="auto"/>
              </w:rPr>
            </w:pPr>
            <w:r>
              <w:rPr>
                <w:rFonts w:ascii="Arial" w:cs="Arial" w:eastAsia="Arial" w:hAnsi="Arial"/>
                <w:sz w:val="16"/>
                <w:szCs w:val="16"/>
                <w:color w:val="auto"/>
              </w:rPr>
              <w:t>7.40%</w:t>
            </w:r>
          </w:p>
        </w:tc>
        <w:tc>
          <w:tcPr>
            <w:tcW w:w="1200" w:type="dxa"/>
            <w:vAlign w:val="bottom"/>
            <w:gridSpan w:val="2"/>
          </w:tcPr>
          <w:p>
            <w:pPr>
              <w:jc w:val="right"/>
              <w:ind w:right="40"/>
              <w:spacing w:after="0"/>
              <w:rPr>
                <w:sz w:val="20"/>
                <w:szCs w:val="20"/>
                <w:color w:val="auto"/>
              </w:rPr>
            </w:pPr>
            <w:r>
              <w:rPr>
                <w:rFonts w:ascii="Arial" w:cs="Arial" w:eastAsia="Arial" w:hAnsi="Arial"/>
                <w:sz w:val="16"/>
                <w:szCs w:val="16"/>
                <w:color w:val="auto"/>
              </w:rPr>
              <w:t>4.69%</w:t>
            </w:r>
          </w:p>
        </w:tc>
      </w:tr>
    </w:tbl>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Plan Asset Investment Strategy</w:t>
      </w:r>
    </w:p>
    <w:p>
      <w:pPr>
        <w:spacing w:after="0" w:line="110" w:lineRule="exact"/>
        <w:rPr>
          <w:sz w:val="20"/>
          <w:szCs w:val="20"/>
          <w:color w:val="auto"/>
        </w:rPr>
      </w:pPr>
    </w:p>
    <w:p>
      <w:pPr>
        <w:ind w:right="60"/>
        <w:spacing w:after="0" w:line="280" w:lineRule="auto"/>
        <w:rPr>
          <w:sz w:val="20"/>
          <w:szCs w:val="20"/>
          <w:color w:val="auto"/>
        </w:rPr>
      </w:pPr>
      <w:r>
        <w:rPr>
          <w:rFonts w:ascii="Arial" w:cs="Arial" w:eastAsia="Arial" w:hAnsi="Arial"/>
          <w:sz w:val="15"/>
          <w:szCs w:val="15"/>
          <w:color w:val="auto"/>
        </w:rPr>
        <w:t>The investment strategy underlying the asset allocation for the pension assets is to achieve an optimal return on assets with an acceptable level of risk while providing for the long-term liabilities, and maintaining sufficient liquidity to pay current benefits and other cash obligations of the plans. This is primarily achieved by investing in a broad portfolio constructed of various asset classes including equity and equity-like investments, debt and debt-like investments, real estate, private equity and other assets and instruments. Long duration bonds and Treasury bond futures are used to partially match the long-term nature of plan liabilities. Other investment objectives include maintaining broad diversification between and within asset classes and fund managers, and managing asset volatility relative to plan liabilities.</w:t>
      </w:r>
    </w:p>
    <w:p>
      <w:pPr>
        <w:spacing w:after="0" w:line="58" w:lineRule="exact"/>
        <w:rPr>
          <w:sz w:val="20"/>
          <w:szCs w:val="20"/>
          <w:color w:val="auto"/>
        </w:rPr>
      </w:pPr>
    </w:p>
    <w:p>
      <w:pPr>
        <w:ind w:right="120"/>
        <w:spacing w:after="0" w:line="266" w:lineRule="auto"/>
        <w:rPr>
          <w:sz w:val="20"/>
          <w:szCs w:val="20"/>
          <w:color w:val="auto"/>
        </w:rPr>
      </w:pPr>
      <w:r>
        <w:rPr>
          <w:rFonts w:ascii="Arial" w:cs="Arial" w:eastAsia="Arial" w:hAnsi="Arial"/>
          <w:sz w:val="16"/>
          <w:szCs w:val="16"/>
          <w:color w:val="auto"/>
        </w:rPr>
        <w:t>Every three years, or when market conditions have changed materially, each of Kodak’s major pension plans will undertake an asset allocation or asset and liability modeling study. The asset allocation and expected return on the plans’ assets are individually set to provide for benefits and other cash obligations within each country’s legal investment constraints.</w:t>
      </w:r>
    </w:p>
    <w:p>
      <w:pPr>
        <w:spacing w:after="0" w:line="65" w:lineRule="exact"/>
        <w:rPr>
          <w:sz w:val="20"/>
          <w:szCs w:val="20"/>
          <w:color w:val="auto"/>
        </w:rPr>
      </w:pPr>
    </w:p>
    <w:p>
      <w:pPr>
        <w:ind w:right="60"/>
        <w:spacing w:after="0" w:line="315" w:lineRule="auto"/>
        <w:rPr>
          <w:sz w:val="20"/>
          <w:szCs w:val="20"/>
          <w:color w:val="auto"/>
        </w:rPr>
      </w:pPr>
      <w:r>
        <w:rPr>
          <w:rFonts w:ascii="Arial" w:cs="Arial" w:eastAsia="Arial" w:hAnsi="Arial"/>
          <w:sz w:val="15"/>
          <w:szCs w:val="15"/>
          <w:color w:val="auto"/>
        </w:rPr>
        <w:t>Actual allocations may vary from the target asset allocations due to market value fluctuations, the length of time it takes to implement changes in strategy, and the timing of cash contributions and cash requirements of the plans. The asset allocations are monitored, and are rebalanced in accordance with the policy set forth for each plan.</w:t>
      </w:r>
    </w:p>
    <w:p>
      <w:pPr>
        <w:spacing w:after="0" w:line="31"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color w:val="auto"/>
        </w:rPr>
        <w:t>The total plan assets attributable to the major U.S. defined benefit plans at December 31, 2017 relate to KRIP. The expected long-term rate of return on plan assets assumption (“EROA”) is based on a combination of formal asset and liability studies that include forward-looking return expectations given the current asset allocation. A review of the EROA as of December 31, 2017, based upon the current asset allocation and forward-looking expected returns for the various asset classes in which KRIP invests, resulted in an EROA of 6.4%.</w:t>
      </w:r>
    </w:p>
    <w:p>
      <w:pPr>
        <w:spacing w:after="0" w:line="70" w:lineRule="exact"/>
        <w:rPr>
          <w:sz w:val="20"/>
          <w:szCs w:val="20"/>
          <w:color w:val="auto"/>
        </w:rPr>
      </w:pPr>
    </w:p>
    <w:p>
      <w:pPr>
        <w:ind w:right="220"/>
        <w:spacing w:after="0" w:line="280" w:lineRule="auto"/>
        <w:rPr>
          <w:sz w:val="20"/>
          <w:szCs w:val="20"/>
          <w:color w:val="auto"/>
        </w:rPr>
      </w:pPr>
      <w:r>
        <w:rPr>
          <w:rFonts w:ascii="Arial" w:cs="Arial" w:eastAsia="Arial" w:hAnsi="Arial"/>
          <w:sz w:val="16"/>
          <w:szCs w:val="16"/>
          <w:color w:val="auto"/>
        </w:rPr>
        <w:t>As with KRIP, the EROA assumptions for certain of Kodak’s other pension plans were reassessed as of December 31, 2017. The annual expected return on plan assets for the major non-U.S. pension plans range from 2.6% to 5.3% based on the plans’ respective asset allocations as of December 31, 2017.</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Plan Asset Risk Management</w:t>
      </w:r>
    </w:p>
    <w:p>
      <w:pPr>
        <w:spacing w:after="0" w:line="110"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Kodak evaluates its defined benefit plans’ asset portfolios for the existence of significant concentrations of risk. Types of concentrations that are evaluated include, but are not limited to, investment concentrations in a single entity, type of industry, foreign country, and individual fund. Foreign currency contracts and swaps are used to partially hedge foreign currency risk. Additionally, Kodak’s major defined benefit pension plans invest in government bond futures and long duration investment grade bonds to partially hedge the liability risk of the plans. As of December 31, 2017 and 2016, there were no significant concentrations (defined as greater than 10% of plan assets) of risk in Kodak’s defined benefit plan assets.</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The Company's weighted-average asset allocations for its major U.S. defined benefit pension plans by asset category, are as follows: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4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20" w:type="dxa"/>
            <w:vAlign w:val="bottom"/>
            <w:gridSpan w:val="3"/>
          </w:tcPr>
          <w:p>
            <w:pPr>
              <w:jc w:val="right"/>
              <w:ind w:right="360"/>
              <w:spacing w:after="0"/>
              <w:rPr>
                <w:sz w:val="20"/>
                <w:szCs w:val="20"/>
                <w:color w:val="auto"/>
              </w:rPr>
            </w:pPr>
            <w:r>
              <w:rPr>
                <w:rFonts w:ascii="Arial" w:cs="Arial" w:eastAsia="Arial" w:hAnsi="Arial"/>
                <w:sz w:val="13"/>
                <w:szCs w:val="13"/>
                <w:b w:val="1"/>
                <w:bCs w:val="1"/>
                <w:color w:val="auto"/>
                <w:w w:val="86"/>
              </w:rPr>
              <w:t>As of December 31,</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140" w:type="dxa"/>
            <w:vAlign w:val="bottom"/>
          </w:tcPr>
          <w:p>
            <w:pPr>
              <w:spacing w:after="0"/>
              <w:rPr>
                <w:sz w:val="13"/>
                <w:szCs w:val="13"/>
                <w:color w:val="auto"/>
              </w:rPr>
            </w:pPr>
          </w:p>
        </w:tc>
        <w:tc>
          <w:tcPr>
            <w:tcW w:w="5960" w:type="dxa"/>
            <w:vAlign w:val="bottom"/>
            <w:gridSpan w:val="2"/>
          </w:tcPr>
          <w:p>
            <w:pPr>
              <w:ind w:left="5700"/>
              <w:spacing w:after="0"/>
              <w:rPr>
                <w:sz w:val="20"/>
                <w:szCs w:val="20"/>
                <w:color w:val="auto"/>
              </w:rPr>
            </w:pPr>
            <w:r>
              <w:rPr>
                <w:rFonts w:ascii="Arial" w:cs="Arial" w:eastAsia="Arial" w:hAnsi="Arial"/>
                <w:sz w:val="13"/>
                <w:szCs w:val="13"/>
                <w:b w:val="1"/>
                <w:bCs w:val="1"/>
                <w:color w:val="auto"/>
                <w:w w:val="82"/>
              </w:rPr>
              <w:t>2017</w:t>
            </w:r>
          </w:p>
        </w:tc>
        <w:tc>
          <w:tcPr>
            <w:tcW w:w="1420" w:type="dxa"/>
            <w:vAlign w:val="bottom"/>
            <w:gridSpan w:val="3"/>
          </w:tcPr>
          <w:p>
            <w:pPr>
              <w:jc w:val="right"/>
              <w:ind w:right="80"/>
              <w:spacing w:after="0"/>
              <w:rPr>
                <w:sz w:val="20"/>
                <w:szCs w:val="20"/>
                <w:color w:val="auto"/>
              </w:rPr>
            </w:pPr>
            <w:r>
              <w:rPr>
                <w:rFonts w:ascii="Arial" w:cs="Arial" w:eastAsia="Arial" w:hAnsi="Arial"/>
                <w:sz w:val="13"/>
                <w:szCs w:val="13"/>
                <w:b w:val="1"/>
                <w:bCs w:val="1"/>
                <w:color w:val="auto"/>
              </w:rPr>
              <w:t>2016</w:t>
            </w: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60" w:type="dxa"/>
            <w:vAlign w:val="bottom"/>
          </w:tcPr>
          <w:p>
            <w:pPr>
              <w:ind w:left="260"/>
              <w:spacing w:after="0"/>
              <w:rPr>
                <w:sz w:val="20"/>
                <w:szCs w:val="20"/>
                <w:color w:val="auto"/>
              </w:rPr>
            </w:pPr>
            <w:r>
              <w:rPr>
                <w:rFonts w:ascii="Arial" w:cs="Arial" w:eastAsia="Arial" w:hAnsi="Arial"/>
                <w:sz w:val="13"/>
                <w:szCs w:val="13"/>
                <w:b w:val="1"/>
                <w:bCs w:val="1"/>
                <w:color w:val="auto"/>
              </w:rPr>
              <w:t>2017 Target</w:t>
            </w: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1140" w:type="dxa"/>
            <w:vAlign w:val="bottom"/>
          </w:tcPr>
          <w:p>
            <w:pPr>
              <w:spacing w:after="0"/>
              <w:rPr>
                <w:sz w:val="17"/>
                <w:szCs w:val="17"/>
                <w:color w:val="auto"/>
              </w:rPr>
            </w:pPr>
          </w:p>
        </w:tc>
        <w:tc>
          <w:tcPr>
            <w:tcW w:w="5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Asset Category</w:t>
            </w:r>
          </w:p>
        </w:tc>
        <w:tc>
          <w:tcPr>
            <w:tcW w:w="660" w:type="dxa"/>
            <w:vAlign w:val="bottom"/>
            <w:tcBorders>
              <w:top w:val="single" w:sz="8" w:color="auto"/>
            </w:tcBorders>
            <w:shd w:val="clear" w:color="auto" w:fill="CFF0FC"/>
          </w:tcPr>
          <w:p>
            <w:pPr>
              <w:spacing w:after="0"/>
              <w:rPr>
                <w:sz w:val="17"/>
                <w:szCs w:val="17"/>
                <w:color w:val="auto"/>
              </w:rPr>
            </w:pPr>
          </w:p>
        </w:tc>
        <w:tc>
          <w:tcPr>
            <w:tcW w:w="40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40" w:type="dxa"/>
            <w:vAlign w:val="bottom"/>
          </w:tcPr>
          <w:p>
            <w:pPr>
              <w:spacing w:after="0"/>
              <w:rPr>
                <w:sz w:val="17"/>
                <w:szCs w:val="17"/>
                <w:color w:val="auto"/>
              </w:rPr>
            </w:pPr>
          </w:p>
        </w:tc>
        <w:tc>
          <w:tcPr>
            <w:tcW w:w="5960" w:type="dxa"/>
            <w:vAlign w:val="bottom"/>
            <w:gridSpan w:val="2"/>
          </w:tcPr>
          <w:p>
            <w:pPr>
              <w:spacing w:after="0"/>
              <w:rPr>
                <w:sz w:val="20"/>
                <w:szCs w:val="20"/>
                <w:color w:val="auto"/>
              </w:rPr>
            </w:pPr>
            <w:r>
              <w:rPr>
                <w:rFonts w:ascii="Arial" w:cs="Arial" w:eastAsia="Arial" w:hAnsi="Arial"/>
                <w:sz w:val="16"/>
                <w:szCs w:val="16"/>
                <w:color w:val="auto"/>
              </w:rPr>
              <w:t>Equity securities</w:t>
            </w: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rPr>
              <w:t>10%</w:t>
            </w:r>
          </w:p>
        </w:tc>
        <w:tc>
          <w:tcPr>
            <w:tcW w:w="740" w:type="dxa"/>
            <w:vAlign w:val="bottom"/>
          </w:tcPr>
          <w:p>
            <w:pPr>
              <w:spacing w:after="0"/>
              <w:rPr>
                <w:sz w:val="17"/>
                <w:szCs w:val="17"/>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6"/>
                <w:szCs w:val="16"/>
                <w:color w:val="auto"/>
              </w:rPr>
              <w:t>16%</w:t>
            </w:r>
          </w:p>
        </w:tc>
        <w:tc>
          <w:tcPr>
            <w:tcW w:w="1160" w:type="dxa"/>
            <w:vAlign w:val="bottom"/>
          </w:tcPr>
          <w:p>
            <w:pPr>
              <w:jc w:val="center"/>
              <w:spacing w:after="0"/>
              <w:rPr>
                <w:sz w:val="20"/>
                <w:szCs w:val="20"/>
                <w:color w:val="auto"/>
              </w:rPr>
            </w:pPr>
            <w:r>
              <w:rPr>
                <w:rFonts w:ascii="Arial" w:cs="Arial" w:eastAsia="Arial" w:hAnsi="Arial"/>
                <w:sz w:val="16"/>
                <w:szCs w:val="16"/>
                <w:color w:val="auto"/>
                <w:w w:val="95"/>
              </w:rPr>
              <w:t>7-13%</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40" w:type="dxa"/>
            <w:vAlign w:val="bottom"/>
          </w:tcPr>
          <w:p>
            <w:pPr>
              <w:spacing w:after="0"/>
              <w:rPr>
                <w:sz w:val="17"/>
                <w:szCs w:val="17"/>
                <w:color w:val="auto"/>
              </w:rPr>
            </w:pPr>
          </w:p>
        </w:tc>
        <w:tc>
          <w:tcPr>
            <w:tcW w:w="59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Debt securities</w:t>
            </w:r>
          </w:p>
        </w:tc>
        <w:tc>
          <w:tcPr>
            <w:tcW w:w="6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42%</w:t>
            </w:r>
          </w:p>
        </w:tc>
        <w:tc>
          <w:tcPr>
            <w:tcW w:w="740" w:type="dxa"/>
            <w:vAlign w:val="bottom"/>
            <w:shd w:val="clear" w:color="auto" w:fill="CFF0FC"/>
          </w:tcPr>
          <w:p>
            <w:pPr>
              <w:spacing w:after="0"/>
              <w:rPr>
                <w:sz w:val="17"/>
                <w:szCs w:val="17"/>
                <w:color w:val="auto"/>
              </w:rPr>
            </w:pPr>
          </w:p>
        </w:tc>
        <w:tc>
          <w:tcPr>
            <w:tcW w:w="6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33%</w:t>
            </w:r>
          </w:p>
        </w:tc>
        <w:tc>
          <w:tcPr>
            <w:tcW w:w="116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4"/>
              </w:rPr>
              <w:t>35-45%</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40" w:type="dxa"/>
            <w:vAlign w:val="bottom"/>
          </w:tcPr>
          <w:p>
            <w:pPr>
              <w:spacing w:after="0"/>
              <w:rPr>
                <w:sz w:val="17"/>
                <w:szCs w:val="17"/>
                <w:color w:val="auto"/>
              </w:rPr>
            </w:pPr>
          </w:p>
        </w:tc>
        <w:tc>
          <w:tcPr>
            <w:tcW w:w="5960" w:type="dxa"/>
            <w:vAlign w:val="bottom"/>
            <w:gridSpan w:val="2"/>
          </w:tcPr>
          <w:p>
            <w:pPr>
              <w:spacing w:after="0"/>
              <w:rPr>
                <w:sz w:val="20"/>
                <w:szCs w:val="20"/>
                <w:color w:val="auto"/>
              </w:rPr>
            </w:pPr>
            <w:r>
              <w:rPr>
                <w:rFonts w:ascii="Arial" w:cs="Arial" w:eastAsia="Arial" w:hAnsi="Arial"/>
                <w:sz w:val="16"/>
                <w:szCs w:val="16"/>
                <w:color w:val="auto"/>
              </w:rPr>
              <w:t>Real estate</w:t>
            </w: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rPr>
              <w:t>2%</w:t>
            </w:r>
          </w:p>
        </w:tc>
        <w:tc>
          <w:tcPr>
            <w:tcW w:w="740" w:type="dxa"/>
            <w:vAlign w:val="bottom"/>
          </w:tcPr>
          <w:p>
            <w:pPr>
              <w:spacing w:after="0"/>
              <w:rPr>
                <w:sz w:val="17"/>
                <w:szCs w:val="17"/>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6"/>
                <w:szCs w:val="16"/>
                <w:color w:val="auto"/>
              </w:rPr>
              <w:t>3%</w:t>
            </w:r>
          </w:p>
        </w:tc>
        <w:tc>
          <w:tcPr>
            <w:tcW w:w="1160" w:type="dxa"/>
            <w:vAlign w:val="bottom"/>
          </w:tcPr>
          <w:p>
            <w:pPr>
              <w:jc w:val="center"/>
              <w:spacing w:after="0"/>
              <w:rPr>
                <w:sz w:val="20"/>
                <w:szCs w:val="20"/>
                <w:color w:val="auto"/>
              </w:rPr>
            </w:pPr>
            <w:r>
              <w:rPr>
                <w:rFonts w:ascii="Arial" w:cs="Arial" w:eastAsia="Arial" w:hAnsi="Arial"/>
                <w:sz w:val="16"/>
                <w:szCs w:val="16"/>
                <w:color w:val="auto"/>
                <w:w w:val="96"/>
              </w:rPr>
              <w:t>0-6%</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40" w:type="dxa"/>
            <w:vAlign w:val="bottom"/>
          </w:tcPr>
          <w:p>
            <w:pPr>
              <w:spacing w:after="0"/>
              <w:rPr>
                <w:sz w:val="17"/>
                <w:szCs w:val="17"/>
                <w:color w:val="auto"/>
              </w:rPr>
            </w:pPr>
          </w:p>
        </w:tc>
        <w:tc>
          <w:tcPr>
            <w:tcW w:w="59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Cash and cash equivalents</w:t>
            </w:r>
          </w:p>
        </w:tc>
        <w:tc>
          <w:tcPr>
            <w:tcW w:w="6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w:t>
            </w:r>
          </w:p>
        </w:tc>
        <w:tc>
          <w:tcPr>
            <w:tcW w:w="740" w:type="dxa"/>
            <w:vAlign w:val="bottom"/>
            <w:shd w:val="clear" w:color="auto" w:fill="CFF0FC"/>
          </w:tcPr>
          <w:p>
            <w:pPr>
              <w:spacing w:after="0"/>
              <w:rPr>
                <w:sz w:val="17"/>
                <w:szCs w:val="17"/>
                <w:color w:val="auto"/>
              </w:rPr>
            </w:pPr>
          </w:p>
        </w:tc>
        <w:tc>
          <w:tcPr>
            <w:tcW w:w="6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3%</w:t>
            </w:r>
          </w:p>
        </w:tc>
        <w:tc>
          <w:tcPr>
            <w:tcW w:w="116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6"/>
              </w:rPr>
              <w:t>0-6%</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40" w:type="dxa"/>
            <w:vAlign w:val="bottom"/>
          </w:tcPr>
          <w:p>
            <w:pPr>
              <w:spacing w:after="0"/>
              <w:rPr>
                <w:sz w:val="17"/>
                <w:szCs w:val="17"/>
                <w:color w:val="auto"/>
              </w:rPr>
            </w:pPr>
          </w:p>
        </w:tc>
        <w:tc>
          <w:tcPr>
            <w:tcW w:w="5960" w:type="dxa"/>
            <w:vAlign w:val="bottom"/>
            <w:gridSpan w:val="2"/>
          </w:tcPr>
          <w:p>
            <w:pPr>
              <w:spacing w:after="0"/>
              <w:rPr>
                <w:sz w:val="20"/>
                <w:szCs w:val="20"/>
                <w:color w:val="auto"/>
              </w:rPr>
            </w:pPr>
            <w:r>
              <w:rPr>
                <w:rFonts w:ascii="Arial" w:cs="Arial" w:eastAsia="Arial" w:hAnsi="Arial"/>
                <w:sz w:val="16"/>
                <w:szCs w:val="16"/>
                <w:color w:val="auto"/>
              </w:rPr>
              <w:t>Global balanced asset allocation funds</w:t>
            </w: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rPr>
              <w:t>16%</w:t>
            </w:r>
          </w:p>
        </w:tc>
        <w:tc>
          <w:tcPr>
            <w:tcW w:w="740" w:type="dxa"/>
            <w:vAlign w:val="bottom"/>
          </w:tcPr>
          <w:p>
            <w:pPr>
              <w:spacing w:after="0"/>
              <w:rPr>
                <w:sz w:val="17"/>
                <w:szCs w:val="17"/>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6"/>
                <w:szCs w:val="16"/>
                <w:color w:val="auto"/>
              </w:rPr>
              <w:t>14%</w:t>
            </w:r>
          </w:p>
        </w:tc>
        <w:tc>
          <w:tcPr>
            <w:tcW w:w="1160" w:type="dxa"/>
            <w:vAlign w:val="bottom"/>
          </w:tcPr>
          <w:p>
            <w:pPr>
              <w:jc w:val="center"/>
              <w:spacing w:after="0"/>
              <w:rPr>
                <w:sz w:val="20"/>
                <w:szCs w:val="20"/>
                <w:color w:val="auto"/>
              </w:rPr>
            </w:pPr>
            <w:r>
              <w:rPr>
                <w:rFonts w:ascii="Arial" w:cs="Arial" w:eastAsia="Arial" w:hAnsi="Arial"/>
                <w:sz w:val="16"/>
                <w:szCs w:val="16"/>
                <w:color w:val="auto"/>
                <w:w w:val="94"/>
              </w:rPr>
              <w:t>12-18%</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40" w:type="dxa"/>
            <w:vAlign w:val="bottom"/>
          </w:tcPr>
          <w:p>
            <w:pPr>
              <w:spacing w:after="0"/>
              <w:rPr>
                <w:sz w:val="17"/>
                <w:szCs w:val="17"/>
                <w:color w:val="auto"/>
              </w:rPr>
            </w:pPr>
          </w:p>
        </w:tc>
        <w:tc>
          <w:tcPr>
            <w:tcW w:w="5300" w:type="dxa"/>
            <w:vAlign w:val="bottom"/>
            <w:shd w:val="clear" w:color="auto" w:fill="CFF0FC"/>
          </w:tcPr>
          <w:p>
            <w:pPr>
              <w:spacing w:after="0"/>
              <w:rPr>
                <w:sz w:val="20"/>
                <w:szCs w:val="20"/>
                <w:color w:val="auto"/>
              </w:rPr>
            </w:pPr>
            <w:r>
              <w:rPr>
                <w:rFonts w:ascii="Arial" w:cs="Arial" w:eastAsia="Arial" w:hAnsi="Arial"/>
                <w:sz w:val="16"/>
                <w:szCs w:val="16"/>
                <w:color w:val="auto"/>
              </w:rPr>
              <w:t>Other</w:t>
            </w:r>
          </w:p>
        </w:tc>
        <w:tc>
          <w:tcPr>
            <w:tcW w:w="660" w:type="dxa"/>
            <w:vAlign w:val="bottom"/>
            <w:shd w:val="clear" w:color="auto" w:fill="CFF0FC"/>
          </w:tcPr>
          <w:p>
            <w:pPr>
              <w:spacing w:after="0"/>
              <w:rPr>
                <w:sz w:val="17"/>
                <w:szCs w:val="17"/>
                <w:color w:val="auto"/>
              </w:rPr>
            </w:pPr>
          </w:p>
        </w:tc>
        <w:tc>
          <w:tcPr>
            <w:tcW w:w="6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29%</w:t>
            </w:r>
          </w:p>
        </w:tc>
        <w:tc>
          <w:tcPr>
            <w:tcW w:w="740" w:type="dxa"/>
            <w:vAlign w:val="bottom"/>
            <w:shd w:val="clear" w:color="auto" w:fill="CFF0FC"/>
          </w:tcPr>
          <w:p>
            <w:pPr>
              <w:spacing w:after="0"/>
              <w:rPr>
                <w:sz w:val="17"/>
                <w:szCs w:val="17"/>
                <w:color w:val="auto"/>
              </w:rPr>
            </w:pPr>
          </w:p>
        </w:tc>
        <w:tc>
          <w:tcPr>
            <w:tcW w:w="6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31%</w:t>
            </w:r>
          </w:p>
        </w:tc>
        <w:tc>
          <w:tcPr>
            <w:tcW w:w="116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4"/>
              </w:rPr>
              <w:t>27-39%</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300" w:type="dxa"/>
            <w:vAlign w:val="bottom"/>
            <w:vMerge w:val="restart"/>
          </w:tcPr>
          <w:p>
            <w:pPr>
              <w:spacing w:after="0"/>
              <w:rPr>
                <w:sz w:val="20"/>
                <w:szCs w:val="20"/>
                <w:color w:val="auto"/>
              </w:rPr>
            </w:pPr>
            <w:r>
              <w:rPr>
                <w:rFonts w:ascii="Arial" w:cs="Arial" w:eastAsia="Arial" w:hAnsi="Arial"/>
                <w:sz w:val="16"/>
                <w:szCs w:val="16"/>
                <w:color w:val="auto"/>
              </w:rPr>
              <w:t>Total</w:t>
            </w:r>
          </w:p>
        </w:tc>
        <w:tc>
          <w:tcPr>
            <w:tcW w:w="6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1140" w:type="dxa"/>
            <w:vAlign w:val="bottom"/>
          </w:tcPr>
          <w:p>
            <w:pPr>
              <w:spacing w:after="0"/>
              <w:rPr>
                <w:sz w:val="17"/>
                <w:szCs w:val="17"/>
                <w:color w:val="auto"/>
              </w:rPr>
            </w:pPr>
          </w:p>
        </w:tc>
        <w:tc>
          <w:tcPr>
            <w:tcW w:w="5300" w:type="dxa"/>
            <w:vAlign w:val="bottom"/>
            <w:vMerge w:val="continue"/>
          </w:tcPr>
          <w:p>
            <w:pPr>
              <w:spacing w:after="0"/>
              <w:rPr>
                <w:sz w:val="17"/>
                <w:szCs w:val="17"/>
                <w:color w:val="auto"/>
              </w:rPr>
            </w:pPr>
          </w:p>
        </w:tc>
        <w:tc>
          <w:tcPr>
            <w:tcW w:w="66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rPr>
              <w:t>100%</w:t>
            </w:r>
          </w:p>
        </w:tc>
        <w:tc>
          <w:tcPr>
            <w:tcW w:w="740" w:type="dxa"/>
            <w:vAlign w:val="bottom"/>
          </w:tcPr>
          <w:p>
            <w:pPr>
              <w:spacing w:after="0"/>
              <w:rPr>
                <w:sz w:val="17"/>
                <w:szCs w:val="17"/>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6"/>
                <w:szCs w:val="16"/>
                <w:color w:val="auto"/>
              </w:rPr>
              <w:t>100%</w:t>
            </w:r>
          </w:p>
        </w:tc>
        <w:tc>
          <w:tcPr>
            <w:tcW w:w="1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300" w:type="dxa"/>
            <w:vAlign w:val="bottom"/>
            <w:vMerge w:val="restart"/>
          </w:tcPr>
          <w:p>
            <w:pPr>
              <w:ind w:left="4500"/>
              <w:spacing w:after="0"/>
              <w:rPr>
                <w:sz w:val="20"/>
                <w:szCs w:val="20"/>
                <w:color w:val="auto"/>
              </w:rPr>
            </w:pPr>
            <w:r>
              <w:rPr>
                <w:rFonts w:ascii="Arial" w:cs="Arial" w:eastAsia="Arial" w:hAnsi="Arial"/>
                <w:sz w:val="16"/>
                <w:szCs w:val="16"/>
                <w:color w:val="auto"/>
              </w:rPr>
              <w:t>85</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0"/>
        </w:trPr>
        <w:tc>
          <w:tcPr>
            <w:tcW w:w="1140" w:type="dxa"/>
            <w:vAlign w:val="bottom"/>
          </w:tcPr>
          <w:p>
            <w:pPr>
              <w:spacing w:after="0"/>
              <w:rPr>
                <w:sz w:val="24"/>
                <w:szCs w:val="24"/>
                <w:color w:val="auto"/>
              </w:rPr>
            </w:pPr>
          </w:p>
        </w:tc>
        <w:tc>
          <w:tcPr>
            <w:tcW w:w="530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1140" w:type="dxa"/>
            <w:vAlign w:val="bottom"/>
            <w:tcBorders>
              <w:bottom w:val="single" w:sz="8" w:color="9A9A9A"/>
            </w:tcBorders>
          </w:tcPr>
          <w:p>
            <w:pPr>
              <w:spacing w:after="0"/>
              <w:rPr>
                <w:sz w:val="8"/>
                <w:szCs w:val="8"/>
                <w:color w:val="auto"/>
              </w:rPr>
            </w:pPr>
          </w:p>
        </w:tc>
        <w:tc>
          <w:tcPr>
            <w:tcW w:w="530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7253605</wp:posOffset>
            </wp:positionH>
            <wp:positionV relativeFrom="paragraph">
              <wp:posOffset>-27305</wp:posOffset>
            </wp:positionV>
            <wp:extent cx="33020" cy="406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-27305</wp:posOffset>
            </wp:positionV>
            <wp:extent cx="33020" cy="406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460"/>
          </w:cols>
          <w:pgMar w:left="240" w:top="344" w:right="199" w:bottom="1440" w:gutter="0" w:footer="0" w:header="0"/>
        </w:sectPr>
      </w:pPr>
    </w:p>
    <w:bookmarkStart w:id="85" w:name="page86"/>
    <w:bookmarkEnd w:id="85"/>
    <w:p>
      <w:pPr>
        <w:spacing w:after="0"/>
        <w:rPr>
          <w:sz w:val="20"/>
          <w:szCs w:val="20"/>
          <w:color w:val="auto"/>
        </w:rPr>
      </w:pPr>
      <w:r>
        <w:rPr>
          <w:rFonts w:ascii="Arial" w:cs="Arial" w:eastAsia="Arial" w:hAnsi="Arial"/>
          <w:sz w:val="16"/>
          <w:szCs w:val="16"/>
          <w:color w:val="auto"/>
        </w:rPr>
        <w:t>Kodak’s weighted-average asset allocations for its major Non-U.S. defined benefit pension plans by asset category, are as follows:</w:t>
      </w:r>
    </w:p>
    <w:p>
      <w:pPr>
        <w:spacing w:after="0" w:line="288"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5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20" w:type="dxa"/>
            <w:vAlign w:val="bottom"/>
            <w:gridSpan w:val="3"/>
          </w:tcPr>
          <w:p>
            <w:pPr>
              <w:jc w:val="right"/>
              <w:ind w:right="360"/>
              <w:spacing w:after="0"/>
              <w:rPr>
                <w:sz w:val="20"/>
                <w:szCs w:val="20"/>
                <w:color w:val="auto"/>
              </w:rPr>
            </w:pPr>
            <w:r>
              <w:rPr>
                <w:rFonts w:ascii="Arial" w:cs="Arial" w:eastAsia="Arial" w:hAnsi="Arial"/>
                <w:sz w:val="13"/>
                <w:szCs w:val="13"/>
                <w:b w:val="1"/>
                <w:bCs w:val="1"/>
                <w:color w:val="auto"/>
                <w:w w:val="86"/>
              </w:rPr>
              <w:t>As of December 31,</w:t>
            </w: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960" w:type="dxa"/>
            <w:vAlign w:val="bottom"/>
            <w:gridSpan w:val="2"/>
          </w:tcPr>
          <w:p>
            <w:pPr>
              <w:ind w:left="5700"/>
              <w:spacing w:after="0"/>
              <w:rPr>
                <w:sz w:val="20"/>
                <w:szCs w:val="20"/>
                <w:color w:val="auto"/>
              </w:rPr>
            </w:pPr>
            <w:r>
              <w:rPr>
                <w:rFonts w:ascii="Arial" w:cs="Arial" w:eastAsia="Arial" w:hAnsi="Arial"/>
                <w:sz w:val="13"/>
                <w:szCs w:val="13"/>
                <w:b w:val="1"/>
                <w:bCs w:val="1"/>
                <w:color w:val="auto"/>
                <w:w w:val="82"/>
              </w:rPr>
              <w:t>2017</w:t>
            </w:r>
          </w:p>
        </w:tc>
        <w:tc>
          <w:tcPr>
            <w:tcW w:w="1420" w:type="dxa"/>
            <w:vAlign w:val="bottom"/>
            <w:gridSpan w:val="3"/>
          </w:tcPr>
          <w:p>
            <w:pPr>
              <w:jc w:val="right"/>
              <w:ind w:right="80"/>
              <w:spacing w:after="0"/>
              <w:rPr>
                <w:sz w:val="20"/>
                <w:szCs w:val="20"/>
                <w:color w:val="auto"/>
              </w:rPr>
            </w:pPr>
            <w:r>
              <w:rPr>
                <w:rFonts w:ascii="Arial" w:cs="Arial" w:eastAsia="Arial" w:hAnsi="Arial"/>
                <w:sz w:val="13"/>
                <w:szCs w:val="13"/>
                <w:b w:val="1"/>
                <w:bCs w:val="1"/>
                <w:color w:val="auto"/>
              </w:rPr>
              <w:t>2016</w:t>
            </w: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60" w:type="dxa"/>
            <w:vAlign w:val="bottom"/>
          </w:tcPr>
          <w:p>
            <w:pPr>
              <w:ind w:left="260"/>
              <w:spacing w:after="0"/>
              <w:rPr>
                <w:sz w:val="20"/>
                <w:szCs w:val="20"/>
                <w:color w:val="auto"/>
              </w:rPr>
            </w:pPr>
            <w:r>
              <w:rPr>
                <w:rFonts w:ascii="Arial" w:cs="Arial" w:eastAsia="Arial" w:hAnsi="Arial"/>
                <w:sz w:val="13"/>
                <w:szCs w:val="13"/>
                <w:b w:val="1"/>
                <w:bCs w:val="1"/>
                <w:color w:val="auto"/>
              </w:rPr>
              <w:t>2017 Target</w:t>
            </w:r>
          </w:p>
        </w:tc>
        <w:tc>
          <w:tcPr>
            <w:tcW w:w="0" w:type="dxa"/>
            <w:vAlign w:val="bottom"/>
          </w:tcPr>
          <w:p>
            <w:pPr>
              <w:spacing w:after="0"/>
              <w:rPr>
                <w:sz w:val="1"/>
                <w:szCs w:val="1"/>
                <w:color w:val="auto"/>
              </w:rPr>
            </w:pPr>
          </w:p>
        </w:tc>
      </w:tr>
      <w:tr>
        <w:trPr>
          <w:trHeight w:val="198"/>
        </w:trPr>
        <w:tc>
          <w:tcPr>
            <w:tcW w:w="5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Asset Category</w:t>
            </w:r>
          </w:p>
        </w:tc>
        <w:tc>
          <w:tcPr>
            <w:tcW w:w="660" w:type="dxa"/>
            <w:vAlign w:val="bottom"/>
            <w:tcBorders>
              <w:top w:val="single" w:sz="8" w:color="auto"/>
            </w:tcBorders>
            <w:shd w:val="clear" w:color="auto" w:fill="CFF0FC"/>
          </w:tcPr>
          <w:p>
            <w:pPr>
              <w:spacing w:after="0"/>
              <w:rPr>
                <w:sz w:val="17"/>
                <w:szCs w:val="17"/>
                <w:color w:val="auto"/>
              </w:rPr>
            </w:pPr>
          </w:p>
        </w:tc>
        <w:tc>
          <w:tcPr>
            <w:tcW w:w="40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960" w:type="dxa"/>
            <w:vAlign w:val="bottom"/>
            <w:gridSpan w:val="2"/>
          </w:tcPr>
          <w:p>
            <w:pPr>
              <w:spacing w:after="0"/>
              <w:rPr>
                <w:sz w:val="20"/>
                <w:szCs w:val="20"/>
                <w:color w:val="auto"/>
              </w:rPr>
            </w:pPr>
            <w:r>
              <w:rPr>
                <w:rFonts w:ascii="Arial" w:cs="Arial" w:eastAsia="Arial" w:hAnsi="Arial"/>
                <w:sz w:val="16"/>
                <w:szCs w:val="16"/>
                <w:color w:val="auto"/>
              </w:rPr>
              <w:t>Equity securities</w:t>
            </w: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rPr>
              <w:t>3%</w:t>
            </w:r>
          </w:p>
        </w:tc>
        <w:tc>
          <w:tcPr>
            <w:tcW w:w="740" w:type="dxa"/>
            <w:vAlign w:val="bottom"/>
          </w:tcPr>
          <w:p>
            <w:pPr>
              <w:spacing w:after="0"/>
              <w:rPr>
                <w:sz w:val="17"/>
                <w:szCs w:val="17"/>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6"/>
                <w:szCs w:val="16"/>
                <w:color w:val="auto"/>
              </w:rPr>
              <w:t>4%</w:t>
            </w:r>
          </w:p>
        </w:tc>
        <w:tc>
          <w:tcPr>
            <w:tcW w:w="1160" w:type="dxa"/>
            <w:vAlign w:val="bottom"/>
          </w:tcPr>
          <w:p>
            <w:pPr>
              <w:jc w:val="center"/>
              <w:spacing w:after="0"/>
              <w:rPr>
                <w:sz w:val="20"/>
                <w:szCs w:val="20"/>
                <w:color w:val="auto"/>
              </w:rPr>
            </w:pPr>
            <w:r>
              <w:rPr>
                <w:rFonts w:ascii="Arial" w:cs="Arial" w:eastAsia="Arial" w:hAnsi="Arial"/>
                <w:sz w:val="16"/>
                <w:szCs w:val="16"/>
                <w:color w:val="auto"/>
                <w:w w:val="96"/>
              </w:rPr>
              <w:t>0-6%</w:t>
            </w:r>
          </w:p>
        </w:tc>
        <w:tc>
          <w:tcPr>
            <w:tcW w:w="0" w:type="dxa"/>
            <w:vAlign w:val="bottom"/>
          </w:tcPr>
          <w:p>
            <w:pPr>
              <w:spacing w:after="0"/>
              <w:rPr>
                <w:sz w:val="1"/>
                <w:szCs w:val="1"/>
                <w:color w:val="auto"/>
              </w:rPr>
            </w:pPr>
          </w:p>
        </w:tc>
      </w:tr>
      <w:tr>
        <w:trPr>
          <w:trHeight w:val="205"/>
        </w:trPr>
        <w:tc>
          <w:tcPr>
            <w:tcW w:w="59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Debt securities</w:t>
            </w:r>
          </w:p>
        </w:tc>
        <w:tc>
          <w:tcPr>
            <w:tcW w:w="6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32%</w:t>
            </w:r>
          </w:p>
        </w:tc>
        <w:tc>
          <w:tcPr>
            <w:tcW w:w="740" w:type="dxa"/>
            <w:vAlign w:val="bottom"/>
            <w:shd w:val="clear" w:color="auto" w:fill="CFF0FC"/>
          </w:tcPr>
          <w:p>
            <w:pPr>
              <w:spacing w:after="0"/>
              <w:rPr>
                <w:sz w:val="17"/>
                <w:szCs w:val="17"/>
                <w:color w:val="auto"/>
              </w:rPr>
            </w:pPr>
          </w:p>
        </w:tc>
        <w:tc>
          <w:tcPr>
            <w:tcW w:w="6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31%</w:t>
            </w:r>
          </w:p>
        </w:tc>
        <w:tc>
          <w:tcPr>
            <w:tcW w:w="116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4"/>
              </w:rPr>
              <w:t>30-40%</w:t>
            </w:r>
          </w:p>
        </w:tc>
        <w:tc>
          <w:tcPr>
            <w:tcW w:w="0" w:type="dxa"/>
            <w:vAlign w:val="bottom"/>
          </w:tcPr>
          <w:p>
            <w:pPr>
              <w:spacing w:after="0"/>
              <w:rPr>
                <w:sz w:val="1"/>
                <w:szCs w:val="1"/>
                <w:color w:val="auto"/>
              </w:rPr>
            </w:pPr>
          </w:p>
        </w:tc>
      </w:tr>
      <w:tr>
        <w:trPr>
          <w:trHeight w:val="205"/>
        </w:trPr>
        <w:tc>
          <w:tcPr>
            <w:tcW w:w="5960" w:type="dxa"/>
            <w:vAlign w:val="bottom"/>
            <w:gridSpan w:val="2"/>
          </w:tcPr>
          <w:p>
            <w:pPr>
              <w:spacing w:after="0"/>
              <w:rPr>
                <w:sz w:val="20"/>
                <w:szCs w:val="20"/>
                <w:color w:val="auto"/>
              </w:rPr>
            </w:pPr>
            <w:r>
              <w:rPr>
                <w:rFonts w:ascii="Arial" w:cs="Arial" w:eastAsia="Arial" w:hAnsi="Arial"/>
                <w:sz w:val="16"/>
                <w:szCs w:val="16"/>
                <w:color w:val="auto"/>
              </w:rPr>
              <w:t>Real estate</w:t>
            </w: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rPr>
              <w:t>1%</w:t>
            </w:r>
          </w:p>
        </w:tc>
        <w:tc>
          <w:tcPr>
            <w:tcW w:w="740" w:type="dxa"/>
            <w:vAlign w:val="bottom"/>
          </w:tcPr>
          <w:p>
            <w:pPr>
              <w:spacing w:after="0"/>
              <w:rPr>
                <w:sz w:val="17"/>
                <w:szCs w:val="17"/>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6"/>
                <w:szCs w:val="16"/>
                <w:color w:val="auto"/>
              </w:rPr>
              <w:t>1%</w:t>
            </w:r>
          </w:p>
        </w:tc>
        <w:tc>
          <w:tcPr>
            <w:tcW w:w="1160" w:type="dxa"/>
            <w:vAlign w:val="bottom"/>
          </w:tcPr>
          <w:p>
            <w:pPr>
              <w:jc w:val="center"/>
              <w:spacing w:after="0"/>
              <w:rPr>
                <w:sz w:val="20"/>
                <w:szCs w:val="20"/>
                <w:color w:val="auto"/>
              </w:rPr>
            </w:pPr>
            <w:r>
              <w:rPr>
                <w:rFonts w:ascii="Arial" w:cs="Arial" w:eastAsia="Arial" w:hAnsi="Arial"/>
                <w:sz w:val="16"/>
                <w:szCs w:val="16"/>
                <w:color w:val="auto"/>
                <w:w w:val="96"/>
              </w:rPr>
              <w:t>0-6%</w:t>
            </w:r>
          </w:p>
        </w:tc>
        <w:tc>
          <w:tcPr>
            <w:tcW w:w="0" w:type="dxa"/>
            <w:vAlign w:val="bottom"/>
          </w:tcPr>
          <w:p>
            <w:pPr>
              <w:spacing w:after="0"/>
              <w:rPr>
                <w:sz w:val="1"/>
                <w:szCs w:val="1"/>
                <w:color w:val="auto"/>
              </w:rPr>
            </w:pPr>
          </w:p>
        </w:tc>
      </w:tr>
      <w:tr>
        <w:trPr>
          <w:trHeight w:val="205"/>
        </w:trPr>
        <w:tc>
          <w:tcPr>
            <w:tcW w:w="59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Cash and cash equivalents</w:t>
            </w:r>
          </w:p>
        </w:tc>
        <w:tc>
          <w:tcPr>
            <w:tcW w:w="6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2%</w:t>
            </w:r>
          </w:p>
        </w:tc>
        <w:tc>
          <w:tcPr>
            <w:tcW w:w="740" w:type="dxa"/>
            <w:vAlign w:val="bottom"/>
            <w:shd w:val="clear" w:color="auto" w:fill="CFF0FC"/>
          </w:tcPr>
          <w:p>
            <w:pPr>
              <w:spacing w:after="0"/>
              <w:rPr>
                <w:sz w:val="17"/>
                <w:szCs w:val="17"/>
                <w:color w:val="auto"/>
              </w:rPr>
            </w:pPr>
          </w:p>
        </w:tc>
        <w:tc>
          <w:tcPr>
            <w:tcW w:w="6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3%</w:t>
            </w:r>
          </w:p>
        </w:tc>
        <w:tc>
          <w:tcPr>
            <w:tcW w:w="116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6"/>
              </w:rPr>
              <w:t>0-6%</w:t>
            </w:r>
          </w:p>
        </w:tc>
        <w:tc>
          <w:tcPr>
            <w:tcW w:w="0" w:type="dxa"/>
            <w:vAlign w:val="bottom"/>
          </w:tcPr>
          <w:p>
            <w:pPr>
              <w:spacing w:after="0"/>
              <w:rPr>
                <w:sz w:val="1"/>
                <w:szCs w:val="1"/>
                <w:color w:val="auto"/>
              </w:rPr>
            </w:pPr>
          </w:p>
        </w:tc>
      </w:tr>
      <w:tr>
        <w:trPr>
          <w:trHeight w:val="205"/>
        </w:trPr>
        <w:tc>
          <w:tcPr>
            <w:tcW w:w="5960" w:type="dxa"/>
            <w:vAlign w:val="bottom"/>
            <w:gridSpan w:val="2"/>
          </w:tcPr>
          <w:p>
            <w:pPr>
              <w:spacing w:after="0"/>
              <w:rPr>
                <w:sz w:val="20"/>
                <w:szCs w:val="20"/>
                <w:color w:val="auto"/>
              </w:rPr>
            </w:pPr>
            <w:r>
              <w:rPr>
                <w:rFonts w:ascii="Arial" w:cs="Arial" w:eastAsia="Arial" w:hAnsi="Arial"/>
                <w:sz w:val="16"/>
                <w:szCs w:val="16"/>
                <w:color w:val="auto"/>
              </w:rPr>
              <w:t>Global balanced asset allocation funds</w:t>
            </w: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rPr>
              <w:t>5%</w:t>
            </w:r>
          </w:p>
        </w:tc>
        <w:tc>
          <w:tcPr>
            <w:tcW w:w="740" w:type="dxa"/>
            <w:vAlign w:val="bottom"/>
          </w:tcPr>
          <w:p>
            <w:pPr>
              <w:spacing w:after="0"/>
              <w:rPr>
                <w:sz w:val="17"/>
                <w:szCs w:val="17"/>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6"/>
                <w:szCs w:val="16"/>
                <w:color w:val="auto"/>
              </w:rPr>
              <w:t>4%</w:t>
            </w:r>
          </w:p>
        </w:tc>
        <w:tc>
          <w:tcPr>
            <w:tcW w:w="1160" w:type="dxa"/>
            <w:vAlign w:val="bottom"/>
          </w:tcPr>
          <w:p>
            <w:pPr>
              <w:jc w:val="center"/>
              <w:spacing w:after="0"/>
              <w:rPr>
                <w:sz w:val="20"/>
                <w:szCs w:val="20"/>
                <w:color w:val="auto"/>
              </w:rPr>
            </w:pPr>
            <w:r>
              <w:rPr>
                <w:rFonts w:ascii="Arial" w:cs="Arial" w:eastAsia="Arial" w:hAnsi="Arial"/>
                <w:sz w:val="16"/>
                <w:szCs w:val="16"/>
                <w:color w:val="auto"/>
                <w:w w:val="96"/>
              </w:rPr>
              <w:t>2-8%</w:t>
            </w:r>
          </w:p>
        </w:tc>
        <w:tc>
          <w:tcPr>
            <w:tcW w:w="0" w:type="dxa"/>
            <w:vAlign w:val="bottom"/>
          </w:tcPr>
          <w:p>
            <w:pPr>
              <w:spacing w:after="0"/>
              <w:rPr>
                <w:sz w:val="1"/>
                <w:szCs w:val="1"/>
                <w:color w:val="auto"/>
              </w:rPr>
            </w:pPr>
          </w:p>
        </w:tc>
      </w:tr>
      <w:tr>
        <w:trPr>
          <w:trHeight w:val="205"/>
        </w:trPr>
        <w:tc>
          <w:tcPr>
            <w:tcW w:w="5300" w:type="dxa"/>
            <w:vAlign w:val="bottom"/>
            <w:shd w:val="clear" w:color="auto" w:fill="CFF0FC"/>
          </w:tcPr>
          <w:p>
            <w:pPr>
              <w:spacing w:after="0"/>
              <w:rPr>
                <w:sz w:val="20"/>
                <w:szCs w:val="20"/>
                <w:color w:val="auto"/>
              </w:rPr>
            </w:pPr>
            <w:r>
              <w:rPr>
                <w:rFonts w:ascii="Arial" w:cs="Arial" w:eastAsia="Arial" w:hAnsi="Arial"/>
                <w:sz w:val="16"/>
                <w:szCs w:val="16"/>
                <w:color w:val="auto"/>
              </w:rPr>
              <w:t>Other</w:t>
            </w:r>
          </w:p>
        </w:tc>
        <w:tc>
          <w:tcPr>
            <w:tcW w:w="660" w:type="dxa"/>
            <w:vAlign w:val="bottom"/>
            <w:shd w:val="clear" w:color="auto" w:fill="CFF0FC"/>
          </w:tcPr>
          <w:p>
            <w:pPr>
              <w:spacing w:after="0"/>
              <w:rPr>
                <w:sz w:val="17"/>
                <w:szCs w:val="17"/>
                <w:color w:val="auto"/>
              </w:rPr>
            </w:pPr>
          </w:p>
        </w:tc>
        <w:tc>
          <w:tcPr>
            <w:tcW w:w="6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57%</w:t>
            </w:r>
          </w:p>
        </w:tc>
        <w:tc>
          <w:tcPr>
            <w:tcW w:w="740" w:type="dxa"/>
            <w:vAlign w:val="bottom"/>
            <w:shd w:val="clear" w:color="auto" w:fill="CFF0FC"/>
          </w:tcPr>
          <w:p>
            <w:pPr>
              <w:spacing w:after="0"/>
              <w:rPr>
                <w:sz w:val="17"/>
                <w:szCs w:val="17"/>
                <w:color w:val="auto"/>
              </w:rPr>
            </w:pPr>
          </w:p>
        </w:tc>
        <w:tc>
          <w:tcPr>
            <w:tcW w:w="6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57%</w:t>
            </w:r>
          </w:p>
        </w:tc>
        <w:tc>
          <w:tcPr>
            <w:tcW w:w="116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4"/>
              </w:rPr>
              <w:t>55-65%</w:t>
            </w:r>
          </w:p>
        </w:tc>
        <w:tc>
          <w:tcPr>
            <w:tcW w:w="0" w:type="dxa"/>
            <w:vAlign w:val="bottom"/>
          </w:tcPr>
          <w:p>
            <w:pPr>
              <w:spacing w:after="0"/>
              <w:rPr>
                <w:sz w:val="1"/>
                <w:szCs w:val="1"/>
                <w:color w:val="auto"/>
              </w:rPr>
            </w:pPr>
          </w:p>
        </w:tc>
      </w:tr>
      <w:tr>
        <w:trPr>
          <w:trHeight w:val="20"/>
        </w:trPr>
        <w:tc>
          <w:tcPr>
            <w:tcW w:w="5300" w:type="dxa"/>
            <w:vAlign w:val="bottom"/>
            <w:vMerge w:val="restart"/>
          </w:tcPr>
          <w:p>
            <w:pPr>
              <w:spacing w:after="0"/>
              <w:rPr>
                <w:sz w:val="20"/>
                <w:szCs w:val="20"/>
                <w:color w:val="auto"/>
              </w:rPr>
            </w:pPr>
            <w:r>
              <w:rPr>
                <w:rFonts w:ascii="Arial" w:cs="Arial" w:eastAsia="Arial" w:hAnsi="Arial"/>
                <w:sz w:val="16"/>
                <w:szCs w:val="16"/>
                <w:color w:val="auto"/>
              </w:rPr>
              <w:t>Total</w:t>
            </w:r>
          </w:p>
        </w:tc>
        <w:tc>
          <w:tcPr>
            <w:tcW w:w="6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5300" w:type="dxa"/>
            <w:vAlign w:val="bottom"/>
            <w:vMerge w:val="continue"/>
          </w:tcPr>
          <w:p>
            <w:pPr>
              <w:spacing w:after="0"/>
              <w:rPr>
                <w:sz w:val="17"/>
                <w:szCs w:val="17"/>
                <w:color w:val="auto"/>
              </w:rPr>
            </w:pPr>
          </w:p>
        </w:tc>
        <w:tc>
          <w:tcPr>
            <w:tcW w:w="66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rPr>
              <w:t>100%</w:t>
            </w:r>
          </w:p>
        </w:tc>
        <w:tc>
          <w:tcPr>
            <w:tcW w:w="740" w:type="dxa"/>
            <w:vAlign w:val="bottom"/>
          </w:tcPr>
          <w:p>
            <w:pPr>
              <w:spacing w:after="0"/>
              <w:rPr>
                <w:sz w:val="17"/>
                <w:szCs w:val="17"/>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6"/>
                <w:szCs w:val="16"/>
                <w:color w:val="auto"/>
              </w:rPr>
              <w:t>100%</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Fair Value Measurements</w:t>
      </w:r>
    </w:p>
    <w:p>
      <w:pPr>
        <w:spacing w:after="0" w:line="110" w:lineRule="exact"/>
        <w:rPr>
          <w:sz w:val="20"/>
          <w:szCs w:val="20"/>
          <w:color w:val="auto"/>
        </w:rPr>
      </w:pPr>
    </w:p>
    <w:p>
      <w:pPr>
        <w:spacing w:after="0"/>
        <w:rPr>
          <w:sz w:val="20"/>
          <w:szCs w:val="20"/>
          <w:color w:val="auto"/>
        </w:rPr>
      </w:pPr>
      <w:r>
        <w:rPr>
          <w:rFonts w:ascii="Arial" w:cs="Arial" w:eastAsia="Arial" w:hAnsi="Arial"/>
          <w:sz w:val="15"/>
          <w:szCs w:val="15"/>
          <w:color w:val="auto"/>
        </w:rPr>
        <w:t>Kodak’s asset allocations by level within the fair value hierarchy at December 31, 2017 and 2016 are presented in the tables below for Kodak’s major defined benefit</w:t>
      </w:r>
    </w:p>
    <w:p>
      <w:pPr>
        <w:spacing w:after="0" w:line="33" w:lineRule="exact"/>
        <w:rPr>
          <w:sz w:val="20"/>
          <w:szCs w:val="20"/>
          <w:color w:val="auto"/>
        </w:rPr>
      </w:pPr>
    </w:p>
    <w:p>
      <w:pPr>
        <w:ind w:right="200"/>
        <w:spacing w:after="0" w:line="312" w:lineRule="auto"/>
        <w:rPr>
          <w:sz w:val="20"/>
          <w:szCs w:val="20"/>
          <w:color w:val="auto"/>
        </w:rPr>
      </w:pPr>
      <w:r>
        <w:rPr>
          <w:rFonts w:ascii="Arial" w:cs="Arial" w:eastAsia="Arial" w:hAnsi="Arial"/>
          <w:sz w:val="14"/>
          <w:szCs w:val="14"/>
          <w:color w:val="auto"/>
        </w:rPr>
        <w:t>plans. Kodak’s plan assets are accounted for at fair value and are classified within the fair value hierarchy based on the lowest level of input that is significant to the fair value measurement, with the exception of investments for which fair value is measured using the net asset value per share expedient. Kodak’s assessment of the significance of a particular input to the fair value measurement requires judgment, and may affect the valuation of fair value of assets and their placement within the fair value hierarchy levels.</w:t>
      </w:r>
    </w:p>
    <w:p>
      <w:pPr>
        <w:spacing w:after="0" w:line="37" w:lineRule="exact"/>
        <w:rPr>
          <w:sz w:val="20"/>
          <w:szCs w:val="20"/>
          <w:color w:val="auto"/>
        </w:rPr>
      </w:pPr>
    </w:p>
    <w:p>
      <w:pPr>
        <w:ind w:right="20"/>
        <w:spacing w:after="0" w:line="276" w:lineRule="auto"/>
        <w:rPr>
          <w:sz w:val="20"/>
          <w:szCs w:val="20"/>
          <w:color w:val="auto"/>
        </w:rPr>
      </w:pPr>
      <w:r>
        <w:rPr>
          <w:rFonts w:ascii="Arial" w:cs="Arial" w:eastAsia="Arial" w:hAnsi="Arial"/>
          <w:sz w:val="15"/>
          <w:szCs w:val="15"/>
          <w:color w:val="auto"/>
        </w:rPr>
        <w:t>Assets not utilizing the net asset value per share expedient are valued as follows: Equity and debt securities traded on an active market are valued using a market approach based on the closing price on the last business day of the year. Real estate investments are valued primarily based on independent appraisals and discounted cash flow models, taking into consideration discount rates and local market conditions. Cash and cash equivalents are valued utilizing cost approach valuation techniques. Other investments are valued using a combination of market, income, and cost approaches, based on the nature of the investment. Private equity investments are valued primarily based on independent appraisals, discounted cash flow models, cost, and comparable market transactions, which include inputs such as discount rates and pricing data from the most recent equity financing. Insurance contracts are primarily valued based on contract values, which approximate fair value. For investments with lagged pricing, Kodak uses the available net asset values, and also considers expected return, subsequent cash flows and relevant material events.</w:t>
      </w: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Major U.S. Plans</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December 31, 2017</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114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U.S.</w:t>
            </w:r>
          </w:p>
        </w:tc>
        <w:tc>
          <w:tcPr>
            <w:tcW w:w="2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140" w:type="dxa"/>
            <w:vAlign w:val="bottom"/>
          </w:tcPr>
          <w:p>
            <w:pPr>
              <w:spacing w:after="0"/>
              <w:rPr>
                <w:sz w:val="10"/>
                <w:szCs w:val="10"/>
                <w:color w:val="auto"/>
              </w:rPr>
            </w:pPr>
          </w:p>
        </w:tc>
        <w:tc>
          <w:tcPr>
            <w:tcW w:w="30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0" w:type="dxa"/>
            <w:vAlign w:val="bottom"/>
            <w:gridSpan w:val="3"/>
          </w:tcPr>
          <w:p>
            <w:pPr>
              <w:jc w:val="center"/>
              <w:ind w:right="60"/>
              <w:spacing w:after="0" w:line="118" w:lineRule="exact"/>
              <w:rPr>
                <w:sz w:val="20"/>
                <w:szCs w:val="20"/>
                <w:color w:val="auto"/>
              </w:rPr>
            </w:pPr>
            <w:r>
              <w:rPr>
                <w:rFonts w:ascii="Arial" w:cs="Arial" w:eastAsia="Arial" w:hAnsi="Arial"/>
                <w:sz w:val="13"/>
                <w:szCs w:val="13"/>
                <w:b w:val="1"/>
                <w:bCs w:val="1"/>
                <w:color w:val="auto"/>
                <w:w w:val="88"/>
              </w:rPr>
              <w:t>Quoted Prices</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2"/>
            <w:vMerge w:val="restart"/>
          </w:tcPr>
          <w:p>
            <w:pPr>
              <w:jc w:val="center"/>
              <w:ind w:right="340"/>
              <w:spacing w:after="0"/>
              <w:rPr>
                <w:sz w:val="20"/>
                <w:szCs w:val="20"/>
                <w:color w:val="auto"/>
              </w:rPr>
            </w:pPr>
            <w:r>
              <w:rPr>
                <w:rFonts w:ascii="Arial" w:cs="Arial" w:eastAsia="Arial" w:hAnsi="Arial"/>
                <w:sz w:val="13"/>
                <w:szCs w:val="13"/>
                <w:b w:val="1"/>
                <w:bCs w:val="1"/>
                <w:color w:val="auto"/>
                <w:w w:val="90"/>
              </w:rPr>
              <w:t>Significant</w:t>
            </w:r>
          </w:p>
        </w:tc>
        <w:tc>
          <w:tcPr>
            <w:tcW w:w="80" w:type="dxa"/>
            <w:vAlign w:val="bottom"/>
          </w:tcPr>
          <w:p>
            <w:pPr>
              <w:spacing w:after="0"/>
              <w:rPr>
                <w:sz w:val="10"/>
                <w:szCs w:val="10"/>
                <w:color w:val="auto"/>
              </w:rPr>
            </w:pPr>
          </w:p>
        </w:tc>
        <w:tc>
          <w:tcPr>
            <w:tcW w:w="880" w:type="dxa"/>
            <w:vAlign w:val="bottom"/>
            <w:vMerge w:val="restart"/>
          </w:tcPr>
          <w:p>
            <w:pPr>
              <w:jc w:val="center"/>
              <w:ind w:right="5"/>
              <w:spacing w:after="0"/>
              <w:rPr>
                <w:sz w:val="20"/>
                <w:szCs w:val="20"/>
                <w:color w:val="auto"/>
              </w:rPr>
            </w:pPr>
            <w:r>
              <w:rPr>
                <w:rFonts w:ascii="Arial" w:cs="Arial" w:eastAsia="Arial" w:hAnsi="Arial"/>
                <w:sz w:val="13"/>
                <w:szCs w:val="13"/>
                <w:b w:val="1"/>
                <w:bCs w:val="1"/>
                <w:color w:val="auto"/>
                <w:w w:val="90"/>
              </w:rPr>
              <w:t>Significant</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114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center"/>
              <w:ind w:right="180"/>
              <w:spacing w:after="0" w:line="133" w:lineRule="exact"/>
              <w:rPr>
                <w:sz w:val="20"/>
                <w:szCs w:val="20"/>
                <w:color w:val="auto"/>
              </w:rPr>
            </w:pPr>
            <w:r>
              <w:rPr>
                <w:rFonts w:ascii="Arial" w:cs="Arial" w:eastAsia="Arial" w:hAnsi="Arial"/>
                <w:sz w:val="13"/>
                <w:szCs w:val="13"/>
                <w:b w:val="1"/>
                <w:bCs w:val="1"/>
                <w:color w:val="auto"/>
                <w:w w:val="88"/>
              </w:rPr>
              <w:t>in Active</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14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center"/>
              <w:ind w:right="160"/>
              <w:spacing w:after="0" w:line="133" w:lineRule="exact"/>
              <w:rPr>
                <w:sz w:val="20"/>
                <w:szCs w:val="20"/>
                <w:color w:val="auto"/>
              </w:rPr>
            </w:pPr>
            <w:r>
              <w:rPr>
                <w:rFonts w:ascii="Arial" w:cs="Arial" w:eastAsia="Arial" w:hAnsi="Arial"/>
                <w:sz w:val="13"/>
                <w:szCs w:val="13"/>
                <w:b w:val="1"/>
                <w:bCs w:val="1"/>
                <w:color w:val="auto"/>
                <w:w w:val="94"/>
              </w:rPr>
              <w:t>Markets for</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320"/>
              <w:spacing w:after="0" w:line="133" w:lineRule="exact"/>
              <w:rPr>
                <w:sz w:val="20"/>
                <w:szCs w:val="20"/>
                <w:color w:val="auto"/>
              </w:rPr>
            </w:pPr>
            <w:r>
              <w:rPr>
                <w:rFonts w:ascii="Arial" w:cs="Arial" w:eastAsia="Arial" w:hAnsi="Arial"/>
                <w:sz w:val="13"/>
                <w:szCs w:val="13"/>
                <w:b w:val="1"/>
                <w:bCs w:val="1"/>
                <w:color w:val="auto"/>
                <w:w w:val="87"/>
              </w:rPr>
              <w:t>Observable</w:t>
            </w:r>
          </w:p>
        </w:tc>
        <w:tc>
          <w:tcPr>
            <w:tcW w:w="80" w:type="dxa"/>
            <w:vAlign w:val="bottom"/>
          </w:tcPr>
          <w:p>
            <w:pPr>
              <w:spacing w:after="0"/>
              <w:rPr>
                <w:sz w:val="11"/>
                <w:szCs w:val="11"/>
                <w:color w:val="auto"/>
              </w:rPr>
            </w:pPr>
          </w:p>
        </w:tc>
        <w:tc>
          <w:tcPr>
            <w:tcW w:w="880" w:type="dxa"/>
            <w:vAlign w:val="bottom"/>
          </w:tcPr>
          <w:p>
            <w:pPr>
              <w:jc w:val="center"/>
              <w:ind w:right="5"/>
              <w:spacing w:after="0" w:line="133" w:lineRule="exact"/>
              <w:rPr>
                <w:sz w:val="20"/>
                <w:szCs w:val="20"/>
                <w:color w:val="auto"/>
              </w:rPr>
            </w:pPr>
            <w:r>
              <w:rPr>
                <w:rFonts w:ascii="Arial" w:cs="Arial" w:eastAsia="Arial" w:hAnsi="Arial"/>
                <w:sz w:val="13"/>
                <w:szCs w:val="13"/>
                <w:b w:val="1"/>
                <w:bCs w:val="1"/>
                <w:color w:val="auto"/>
                <w:w w:val="88"/>
              </w:rPr>
              <w:t>Unobservable</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vMerge w:val="restart"/>
          </w:tcPr>
          <w:p>
            <w:pPr>
              <w:jc w:val="center"/>
              <w:ind w:right="320"/>
              <w:spacing w:after="0"/>
              <w:rPr>
                <w:sz w:val="20"/>
                <w:szCs w:val="20"/>
                <w:color w:val="auto"/>
              </w:rPr>
            </w:pPr>
            <w:r>
              <w:rPr>
                <w:rFonts w:ascii="Arial" w:cs="Arial" w:eastAsia="Arial" w:hAnsi="Arial"/>
                <w:sz w:val="13"/>
                <w:szCs w:val="13"/>
                <w:b w:val="1"/>
                <w:bCs w:val="1"/>
                <w:color w:val="auto"/>
                <w:w w:val="89"/>
              </w:rPr>
              <w:t>Measured at</w:t>
            </w: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14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gridSpan w:val="3"/>
          </w:tcPr>
          <w:p>
            <w:pPr>
              <w:jc w:val="center"/>
              <w:ind w:right="60"/>
              <w:spacing w:after="0" w:line="133" w:lineRule="exact"/>
              <w:rPr>
                <w:sz w:val="20"/>
                <w:szCs w:val="20"/>
                <w:color w:val="auto"/>
              </w:rPr>
            </w:pPr>
            <w:r>
              <w:rPr>
                <w:rFonts w:ascii="Arial" w:cs="Arial" w:eastAsia="Arial" w:hAnsi="Arial"/>
                <w:sz w:val="13"/>
                <w:szCs w:val="13"/>
                <w:b w:val="1"/>
                <w:bCs w:val="1"/>
                <w:color w:val="auto"/>
                <w:w w:val="86"/>
              </w:rPr>
              <w:t>Identical Assets</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340"/>
              <w:spacing w:after="0" w:line="133" w:lineRule="exact"/>
              <w:rPr>
                <w:sz w:val="20"/>
                <w:szCs w:val="20"/>
                <w:color w:val="auto"/>
              </w:rPr>
            </w:pPr>
            <w:r>
              <w:rPr>
                <w:rFonts w:ascii="Arial" w:cs="Arial" w:eastAsia="Arial" w:hAnsi="Arial"/>
                <w:sz w:val="13"/>
                <w:szCs w:val="13"/>
                <w:b w:val="1"/>
                <w:bCs w:val="1"/>
                <w:color w:val="auto"/>
                <w:w w:val="92"/>
              </w:rPr>
              <w:t>Inputs</w:t>
            </w:r>
          </w:p>
        </w:tc>
        <w:tc>
          <w:tcPr>
            <w:tcW w:w="80" w:type="dxa"/>
            <w:vAlign w:val="bottom"/>
          </w:tcPr>
          <w:p>
            <w:pPr>
              <w:spacing w:after="0"/>
              <w:rPr>
                <w:sz w:val="11"/>
                <w:szCs w:val="11"/>
                <w:color w:val="auto"/>
              </w:rPr>
            </w:pPr>
          </w:p>
        </w:tc>
        <w:tc>
          <w:tcPr>
            <w:tcW w:w="880" w:type="dxa"/>
            <w:vAlign w:val="bottom"/>
          </w:tcPr>
          <w:p>
            <w:pPr>
              <w:jc w:val="center"/>
              <w:ind w:right="5"/>
              <w:spacing w:after="0" w:line="133" w:lineRule="exact"/>
              <w:rPr>
                <w:sz w:val="20"/>
                <w:szCs w:val="20"/>
                <w:color w:val="auto"/>
              </w:rPr>
            </w:pPr>
            <w:r>
              <w:rPr>
                <w:rFonts w:ascii="Arial" w:cs="Arial" w:eastAsia="Arial" w:hAnsi="Arial"/>
                <w:sz w:val="13"/>
                <w:szCs w:val="13"/>
                <w:b w:val="1"/>
                <w:bCs w:val="1"/>
                <w:color w:val="auto"/>
                <w:w w:val="92"/>
              </w:rPr>
              <w:t>Inputs</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vMerge w:val="restart"/>
          </w:tcPr>
          <w:p>
            <w:pPr>
              <w:jc w:val="right"/>
              <w:ind w:right="440"/>
              <w:spacing w:after="0"/>
              <w:rPr>
                <w:sz w:val="20"/>
                <w:szCs w:val="20"/>
                <w:color w:val="auto"/>
              </w:rPr>
            </w:pPr>
            <w:r>
              <w:rPr>
                <w:rFonts w:ascii="Arial" w:cs="Arial" w:eastAsia="Arial" w:hAnsi="Arial"/>
                <w:sz w:val="13"/>
                <w:szCs w:val="13"/>
                <w:b w:val="1"/>
                <w:bCs w:val="1"/>
                <w:color w:val="auto"/>
              </w:rPr>
              <w:t>Total</w:t>
            </w: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140" w:type="dxa"/>
            <w:vAlign w:val="bottom"/>
          </w:tcPr>
          <w:p>
            <w:pPr>
              <w:spacing w:after="0"/>
              <w:rPr>
                <w:sz w:val="13"/>
                <w:szCs w:val="13"/>
                <w:color w:val="auto"/>
              </w:rPr>
            </w:pPr>
          </w:p>
        </w:tc>
        <w:tc>
          <w:tcPr>
            <w:tcW w:w="3060" w:type="dxa"/>
            <w:vAlign w:val="bottom"/>
          </w:tcPr>
          <w:p>
            <w:pPr>
              <w:spacing w:after="0"/>
              <w:rPr>
                <w:sz w:val="20"/>
                <w:szCs w:val="20"/>
                <w:color w:val="auto"/>
              </w:rPr>
            </w:pPr>
            <w:r>
              <w:rPr>
                <w:rFonts w:ascii="Arial" w:cs="Arial" w:eastAsia="Arial" w:hAnsi="Arial"/>
                <w:sz w:val="13"/>
                <w:szCs w:val="13"/>
                <w:color w:val="auto"/>
              </w:rPr>
              <w:t>(in millions)</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0"/>
              </w:rPr>
              <w:t>(Level 1)</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0"/>
              </w:rPr>
              <w:t>(Level 2)</w:t>
            </w:r>
          </w:p>
        </w:tc>
        <w:tc>
          <w:tcPr>
            <w:tcW w:w="80" w:type="dxa"/>
            <w:vAlign w:val="bottom"/>
          </w:tcPr>
          <w:p>
            <w:pPr>
              <w:spacing w:after="0"/>
              <w:rPr>
                <w:sz w:val="13"/>
                <w:szCs w:val="13"/>
                <w:color w:val="auto"/>
              </w:rPr>
            </w:pPr>
          </w:p>
        </w:tc>
        <w:tc>
          <w:tcPr>
            <w:tcW w:w="880" w:type="dxa"/>
            <w:vAlign w:val="bottom"/>
          </w:tcPr>
          <w:p>
            <w:pPr>
              <w:jc w:val="center"/>
              <w:ind w:right="5"/>
              <w:spacing w:after="0"/>
              <w:rPr>
                <w:sz w:val="20"/>
                <w:szCs w:val="20"/>
                <w:color w:val="auto"/>
              </w:rPr>
            </w:pPr>
            <w:r>
              <w:rPr>
                <w:rFonts w:ascii="Arial" w:cs="Arial" w:eastAsia="Arial" w:hAnsi="Arial"/>
                <w:sz w:val="13"/>
                <w:szCs w:val="13"/>
                <w:b w:val="1"/>
                <w:bCs w:val="1"/>
                <w:color w:val="auto"/>
                <w:w w:val="90"/>
              </w:rPr>
              <w:t>(Level 3)</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4"/>
              </w:rPr>
              <w:t>NAV</w:t>
            </w:r>
          </w:p>
        </w:tc>
        <w:tc>
          <w:tcPr>
            <w:tcW w:w="20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1140" w:type="dxa"/>
            <w:vAlign w:val="bottom"/>
          </w:tcPr>
          <w:p>
            <w:pPr>
              <w:spacing w:after="0"/>
              <w:rPr>
                <w:sz w:val="17"/>
                <w:szCs w:val="17"/>
                <w:color w:val="auto"/>
              </w:rPr>
            </w:pPr>
          </w:p>
        </w:tc>
        <w:tc>
          <w:tcPr>
            <w:tcW w:w="30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Cash and cash equivalents</w:t>
            </w:r>
          </w:p>
        </w:tc>
        <w:tc>
          <w:tcPr>
            <w:tcW w:w="4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ind w:left="700"/>
              <w:spacing w:after="0"/>
              <w:rPr>
                <w:sz w:val="20"/>
                <w:szCs w:val="20"/>
                <w:color w:val="auto"/>
              </w:rPr>
            </w:pPr>
            <w:r>
              <w:rPr>
                <w:rFonts w:ascii="Arial" w:cs="Arial" w:eastAsia="Arial" w:hAnsi="Arial"/>
                <w:sz w:val="16"/>
                <w:szCs w:val="16"/>
                <w:color w:val="auto"/>
                <w:w w:val="99"/>
              </w:rPr>
              <w:t>—</w:t>
            </w:r>
          </w:p>
        </w:tc>
        <w:tc>
          <w:tcPr>
            <w:tcW w:w="20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30</w:t>
            </w:r>
          </w:p>
        </w:tc>
        <w:tc>
          <w:tcPr>
            <w:tcW w:w="20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30</w:t>
            </w:r>
          </w:p>
        </w:tc>
        <w:tc>
          <w:tcPr>
            <w:tcW w:w="100" w:type="dxa"/>
            <w:vAlign w:val="bottom"/>
            <w:tcBorders>
              <w:top w:val="single" w:sz="8" w:color="CFF0FC"/>
            </w:tcBorders>
            <w:shd w:val="clear" w:color="auto" w:fill="CFF0FC"/>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4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40" w:type="dxa"/>
            <w:vAlign w:val="bottom"/>
          </w:tcPr>
          <w:p>
            <w:pPr>
              <w:spacing w:after="0"/>
              <w:rPr>
                <w:sz w:val="17"/>
                <w:szCs w:val="17"/>
                <w:color w:val="auto"/>
              </w:rPr>
            </w:pPr>
          </w:p>
        </w:tc>
        <w:tc>
          <w:tcPr>
            <w:tcW w:w="3060" w:type="dxa"/>
            <w:vAlign w:val="bottom"/>
            <w:shd w:val="clear" w:color="auto" w:fill="CFF0FC"/>
          </w:tcPr>
          <w:p>
            <w:pPr>
              <w:spacing w:after="0"/>
              <w:rPr>
                <w:sz w:val="20"/>
                <w:szCs w:val="20"/>
                <w:color w:val="auto"/>
              </w:rPr>
            </w:pPr>
            <w:r>
              <w:rPr>
                <w:rFonts w:ascii="Arial" w:cs="Arial" w:eastAsia="Arial" w:hAnsi="Arial"/>
                <w:sz w:val="16"/>
                <w:szCs w:val="16"/>
                <w:color w:val="auto"/>
              </w:rPr>
              <w:t>Equity Securities</w:t>
            </w:r>
          </w:p>
        </w:tc>
        <w:tc>
          <w:tcPr>
            <w:tcW w:w="4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w:t>
            </w: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7"/>
                <w:szCs w:val="17"/>
                <w:color w:val="auto"/>
              </w:rPr>
            </w:pPr>
          </w:p>
        </w:tc>
        <w:tc>
          <w:tcPr>
            <w:tcW w:w="880" w:type="dxa"/>
            <w:vAlign w:val="bottom"/>
            <w:shd w:val="clear" w:color="auto" w:fill="CFF0FC"/>
          </w:tcPr>
          <w:p>
            <w:pPr>
              <w:ind w:left="700"/>
              <w:spacing w:after="0"/>
              <w:rPr>
                <w:sz w:val="20"/>
                <w:szCs w:val="20"/>
                <w:color w:val="auto"/>
              </w:rPr>
            </w:pPr>
            <w:r>
              <w:rPr>
                <w:rFonts w:ascii="Arial" w:cs="Arial" w:eastAsia="Arial" w:hAnsi="Arial"/>
                <w:sz w:val="16"/>
                <w:szCs w:val="16"/>
                <w:color w:val="auto"/>
                <w:w w:val="99"/>
              </w:rPr>
              <w:t>—</w:t>
            </w: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322</w:t>
            </w: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382</w:t>
            </w:r>
          </w:p>
        </w:tc>
        <w:tc>
          <w:tcPr>
            <w:tcW w:w="100" w:type="dxa"/>
            <w:vAlign w:val="bottom"/>
            <w:shd w:val="clear" w:color="auto" w:fill="CFF0FC"/>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4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40" w:type="dxa"/>
            <w:vAlign w:val="bottom"/>
          </w:tcPr>
          <w:p>
            <w:pPr>
              <w:spacing w:after="0"/>
              <w:rPr>
                <w:sz w:val="17"/>
                <w:szCs w:val="17"/>
                <w:color w:val="auto"/>
              </w:rPr>
            </w:pPr>
          </w:p>
        </w:tc>
        <w:tc>
          <w:tcPr>
            <w:tcW w:w="3060" w:type="dxa"/>
            <w:vAlign w:val="bottom"/>
            <w:shd w:val="clear" w:color="auto" w:fill="CFF0FC"/>
          </w:tcPr>
          <w:p>
            <w:pPr>
              <w:spacing w:after="0"/>
              <w:rPr>
                <w:sz w:val="20"/>
                <w:szCs w:val="20"/>
                <w:color w:val="auto"/>
              </w:rPr>
            </w:pPr>
            <w:r>
              <w:rPr>
                <w:rFonts w:ascii="Arial" w:cs="Arial" w:eastAsia="Arial" w:hAnsi="Arial"/>
                <w:sz w:val="16"/>
                <w:szCs w:val="16"/>
                <w:color w:val="auto"/>
              </w:rPr>
              <w:t>Debt Securities:</w:t>
            </w:r>
          </w:p>
        </w:tc>
        <w:tc>
          <w:tcPr>
            <w:tcW w:w="4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40" w:type="dxa"/>
            <w:vAlign w:val="bottom"/>
          </w:tcPr>
          <w:p>
            <w:pPr>
              <w:spacing w:after="0"/>
              <w:rPr>
                <w:sz w:val="17"/>
                <w:szCs w:val="17"/>
                <w:color w:val="auto"/>
              </w:rPr>
            </w:pPr>
          </w:p>
        </w:tc>
        <w:tc>
          <w:tcPr>
            <w:tcW w:w="3060" w:type="dxa"/>
            <w:vAlign w:val="bottom"/>
          </w:tcPr>
          <w:p>
            <w:pPr>
              <w:ind w:left="220"/>
              <w:spacing w:after="0"/>
              <w:rPr>
                <w:sz w:val="20"/>
                <w:szCs w:val="20"/>
                <w:color w:val="auto"/>
              </w:rPr>
            </w:pPr>
            <w:r>
              <w:rPr>
                <w:rFonts w:ascii="Arial" w:cs="Arial" w:eastAsia="Arial" w:hAnsi="Arial"/>
                <w:sz w:val="16"/>
                <w:szCs w:val="16"/>
                <w:color w:val="auto"/>
              </w:rPr>
              <w:t>Government Bonds</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80" w:type="dxa"/>
            <w:vAlign w:val="bottom"/>
          </w:tcPr>
          <w:p>
            <w:pPr>
              <w:ind w:left="700"/>
              <w:spacing w:after="0"/>
              <w:rPr>
                <w:sz w:val="20"/>
                <w:szCs w:val="20"/>
                <w:color w:val="auto"/>
              </w:rPr>
            </w:pPr>
            <w:r>
              <w:rPr>
                <w:rFonts w:ascii="Arial" w:cs="Arial" w:eastAsia="Arial" w:hAnsi="Arial"/>
                <w:sz w:val="16"/>
                <w:szCs w:val="16"/>
                <w:color w:val="auto"/>
                <w:w w:val="99"/>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1,179</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1,179</w:t>
            </w: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40" w:type="dxa"/>
            <w:vAlign w:val="bottom"/>
          </w:tcPr>
          <w:p>
            <w:pPr>
              <w:spacing w:after="0"/>
              <w:rPr>
                <w:sz w:val="17"/>
                <w:szCs w:val="17"/>
                <w:color w:val="auto"/>
              </w:rPr>
            </w:pPr>
          </w:p>
        </w:tc>
        <w:tc>
          <w:tcPr>
            <w:tcW w:w="3060" w:type="dxa"/>
            <w:vAlign w:val="bottom"/>
            <w:shd w:val="clear" w:color="auto" w:fill="CFF0FC"/>
          </w:tcPr>
          <w:p>
            <w:pPr>
              <w:ind w:left="220"/>
              <w:spacing w:after="0"/>
              <w:rPr>
                <w:sz w:val="20"/>
                <w:szCs w:val="20"/>
                <w:color w:val="auto"/>
              </w:rPr>
            </w:pPr>
            <w:r>
              <w:rPr>
                <w:rFonts w:ascii="Arial" w:cs="Arial" w:eastAsia="Arial" w:hAnsi="Arial"/>
                <w:sz w:val="16"/>
                <w:szCs w:val="16"/>
                <w:color w:val="auto"/>
              </w:rPr>
              <w:t>Investment Grade Bonds</w:t>
            </w:r>
          </w:p>
        </w:tc>
        <w:tc>
          <w:tcPr>
            <w:tcW w:w="4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421</w:t>
            </w:r>
          </w:p>
        </w:tc>
        <w:tc>
          <w:tcPr>
            <w:tcW w:w="2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80" w:type="dxa"/>
            <w:vAlign w:val="bottom"/>
            <w:shd w:val="clear" w:color="auto" w:fill="CFF0FC"/>
          </w:tcPr>
          <w:p>
            <w:pPr>
              <w:ind w:left="700"/>
              <w:spacing w:after="0"/>
              <w:rPr>
                <w:sz w:val="20"/>
                <w:szCs w:val="20"/>
                <w:color w:val="auto"/>
              </w:rPr>
            </w:pPr>
            <w:r>
              <w:rPr>
                <w:rFonts w:ascii="Arial" w:cs="Arial" w:eastAsia="Arial" w:hAnsi="Arial"/>
                <w:sz w:val="16"/>
                <w:szCs w:val="16"/>
                <w:color w:val="auto"/>
                <w:w w:val="99"/>
              </w:rPr>
              <w:t>—</w:t>
            </w: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421</w:t>
            </w:r>
          </w:p>
        </w:tc>
        <w:tc>
          <w:tcPr>
            <w:tcW w:w="100" w:type="dxa"/>
            <w:vAlign w:val="bottom"/>
            <w:shd w:val="clear" w:color="auto" w:fill="CFF0FC"/>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4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40" w:type="dxa"/>
            <w:vAlign w:val="bottom"/>
          </w:tcPr>
          <w:p>
            <w:pPr>
              <w:spacing w:after="0"/>
              <w:rPr>
                <w:sz w:val="17"/>
                <w:szCs w:val="17"/>
                <w:color w:val="auto"/>
              </w:rPr>
            </w:pPr>
          </w:p>
        </w:tc>
        <w:tc>
          <w:tcPr>
            <w:tcW w:w="3060" w:type="dxa"/>
            <w:vAlign w:val="bottom"/>
            <w:shd w:val="clear" w:color="auto" w:fill="CFF0FC"/>
          </w:tcPr>
          <w:p>
            <w:pPr>
              <w:spacing w:after="0"/>
              <w:rPr>
                <w:sz w:val="20"/>
                <w:szCs w:val="20"/>
                <w:color w:val="auto"/>
              </w:rPr>
            </w:pPr>
            <w:r>
              <w:rPr>
                <w:rFonts w:ascii="Arial" w:cs="Arial" w:eastAsia="Arial" w:hAnsi="Arial"/>
                <w:sz w:val="16"/>
                <w:szCs w:val="16"/>
                <w:color w:val="auto"/>
              </w:rPr>
              <w:t>Real Estate</w:t>
            </w:r>
          </w:p>
        </w:tc>
        <w:tc>
          <w:tcPr>
            <w:tcW w:w="4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7"/>
                <w:szCs w:val="17"/>
                <w:color w:val="auto"/>
              </w:rPr>
            </w:pPr>
          </w:p>
        </w:tc>
        <w:tc>
          <w:tcPr>
            <w:tcW w:w="880" w:type="dxa"/>
            <w:vAlign w:val="bottom"/>
            <w:shd w:val="clear" w:color="auto" w:fill="CFF0FC"/>
          </w:tcPr>
          <w:p>
            <w:pPr>
              <w:ind w:left="700"/>
              <w:spacing w:after="0"/>
              <w:rPr>
                <w:sz w:val="20"/>
                <w:szCs w:val="20"/>
                <w:color w:val="auto"/>
              </w:rPr>
            </w:pPr>
            <w:r>
              <w:rPr>
                <w:rFonts w:ascii="Arial" w:cs="Arial" w:eastAsia="Arial" w:hAnsi="Arial"/>
                <w:sz w:val="16"/>
                <w:szCs w:val="16"/>
                <w:color w:val="auto"/>
                <w:w w:val="89"/>
              </w:rPr>
              <w:t>26</w:t>
            </w: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w:t>
            </w: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94</w:t>
            </w:r>
          </w:p>
        </w:tc>
        <w:tc>
          <w:tcPr>
            <w:tcW w:w="100" w:type="dxa"/>
            <w:vAlign w:val="bottom"/>
            <w:shd w:val="clear" w:color="auto" w:fill="CFF0FC"/>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4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40" w:type="dxa"/>
            <w:vAlign w:val="bottom"/>
          </w:tcPr>
          <w:p>
            <w:pPr>
              <w:spacing w:after="0"/>
              <w:rPr>
                <w:sz w:val="17"/>
                <w:szCs w:val="17"/>
                <w:color w:val="auto"/>
              </w:rPr>
            </w:pPr>
          </w:p>
        </w:tc>
        <w:tc>
          <w:tcPr>
            <w:tcW w:w="3060" w:type="dxa"/>
            <w:vAlign w:val="bottom"/>
            <w:shd w:val="clear" w:color="auto" w:fill="CFF0FC"/>
          </w:tcPr>
          <w:p>
            <w:pPr>
              <w:spacing w:after="0"/>
              <w:rPr>
                <w:sz w:val="20"/>
                <w:szCs w:val="20"/>
                <w:color w:val="auto"/>
              </w:rPr>
            </w:pPr>
            <w:r>
              <w:rPr>
                <w:rFonts w:ascii="Arial" w:cs="Arial" w:eastAsia="Arial" w:hAnsi="Arial"/>
                <w:sz w:val="16"/>
                <w:szCs w:val="16"/>
                <w:color w:val="auto"/>
              </w:rPr>
              <w:t>Global Balanced Asset Allocation Funds</w:t>
            </w:r>
          </w:p>
        </w:tc>
        <w:tc>
          <w:tcPr>
            <w:tcW w:w="4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7"/>
                <w:szCs w:val="17"/>
                <w:color w:val="auto"/>
              </w:rPr>
            </w:pPr>
          </w:p>
        </w:tc>
        <w:tc>
          <w:tcPr>
            <w:tcW w:w="880" w:type="dxa"/>
            <w:vAlign w:val="bottom"/>
            <w:shd w:val="clear" w:color="auto" w:fill="CFF0FC"/>
          </w:tcPr>
          <w:p>
            <w:pPr>
              <w:ind w:left="700"/>
              <w:spacing w:after="0"/>
              <w:rPr>
                <w:sz w:val="20"/>
                <w:szCs w:val="20"/>
                <w:color w:val="auto"/>
              </w:rPr>
            </w:pPr>
            <w:r>
              <w:rPr>
                <w:rFonts w:ascii="Arial" w:cs="Arial" w:eastAsia="Arial" w:hAnsi="Arial"/>
                <w:sz w:val="16"/>
                <w:szCs w:val="16"/>
                <w:color w:val="auto"/>
                <w:w w:val="99"/>
              </w:rPr>
              <w:t>—</w:t>
            </w: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597</w:t>
            </w: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597</w:t>
            </w:r>
          </w:p>
        </w:tc>
        <w:tc>
          <w:tcPr>
            <w:tcW w:w="100" w:type="dxa"/>
            <w:vAlign w:val="bottom"/>
            <w:shd w:val="clear" w:color="auto" w:fill="CFF0FC"/>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4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40" w:type="dxa"/>
            <w:vAlign w:val="bottom"/>
          </w:tcPr>
          <w:p>
            <w:pPr>
              <w:spacing w:after="0"/>
              <w:rPr>
                <w:sz w:val="17"/>
                <w:szCs w:val="17"/>
                <w:color w:val="auto"/>
              </w:rPr>
            </w:pPr>
          </w:p>
        </w:tc>
        <w:tc>
          <w:tcPr>
            <w:tcW w:w="3060" w:type="dxa"/>
            <w:vAlign w:val="bottom"/>
            <w:shd w:val="clear" w:color="auto" w:fill="CFF0FC"/>
          </w:tcPr>
          <w:p>
            <w:pPr>
              <w:spacing w:after="0"/>
              <w:rPr>
                <w:sz w:val="20"/>
                <w:szCs w:val="20"/>
                <w:color w:val="auto"/>
              </w:rPr>
            </w:pPr>
            <w:r>
              <w:rPr>
                <w:rFonts w:ascii="Arial" w:cs="Arial" w:eastAsia="Arial" w:hAnsi="Arial"/>
                <w:sz w:val="16"/>
                <w:szCs w:val="16"/>
                <w:color w:val="auto"/>
              </w:rPr>
              <w:t>Other:</w:t>
            </w:r>
          </w:p>
        </w:tc>
        <w:tc>
          <w:tcPr>
            <w:tcW w:w="4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40" w:type="dxa"/>
            <w:vAlign w:val="bottom"/>
          </w:tcPr>
          <w:p>
            <w:pPr>
              <w:spacing w:after="0"/>
              <w:rPr>
                <w:sz w:val="17"/>
                <w:szCs w:val="17"/>
                <w:color w:val="auto"/>
              </w:rPr>
            </w:pPr>
          </w:p>
        </w:tc>
        <w:tc>
          <w:tcPr>
            <w:tcW w:w="3060" w:type="dxa"/>
            <w:vAlign w:val="bottom"/>
          </w:tcPr>
          <w:p>
            <w:pPr>
              <w:ind w:left="220"/>
              <w:spacing w:after="0"/>
              <w:rPr>
                <w:sz w:val="20"/>
                <w:szCs w:val="20"/>
                <w:color w:val="auto"/>
              </w:rPr>
            </w:pPr>
            <w:r>
              <w:rPr>
                <w:rFonts w:ascii="Arial" w:cs="Arial" w:eastAsia="Arial" w:hAnsi="Arial"/>
                <w:sz w:val="16"/>
                <w:szCs w:val="16"/>
                <w:color w:val="auto"/>
              </w:rPr>
              <w:t>Absolute Return</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80" w:type="dxa"/>
            <w:vAlign w:val="bottom"/>
          </w:tcPr>
          <w:p>
            <w:pPr>
              <w:ind w:left="700"/>
              <w:spacing w:after="0"/>
              <w:rPr>
                <w:sz w:val="20"/>
                <w:szCs w:val="20"/>
                <w:color w:val="auto"/>
              </w:rPr>
            </w:pPr>
            <w:r>
              <w:rPr>
                <w:rFonts w:ascii="Arial" w:cs="Arial" w:eastAsia="Arial" w:hAnsi="Arial"/>
                <w:sz w:val="16"/>
                <w:szCs w:val="16"/>
                <w:color w:val="auto"/>
                <w:w w:val="99"/>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489</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489</w:t>
            </w: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40" w:type="dxa"/>
            <w:vAlign w:val="bottom"/>
          </w:tcPr>
          <w:p>
            <w:pPr>
              <w:spacing w:after="0"/>
              <w:rPr>
                <w:sz w:val="17"/>
                <w:szCs w:val="17"/>
                <w:color w:val="auto"/>
              </w:rPr>
            </w:pPr>
          </w:p>
        </w:tc>
        <w:tc>
          <w:tcPr>
            <w:tcW w:w="3060" w:type="dxa"/>
            <w:vAlign w:val="bottom"/>
            <w:shd w:val="clear" w:color="auto" w:fill="CFF0FC"/>
          </w:tcPr>
          <w:p>
            <w:pPr>
              <w:ind w:left="220"/>
              <w:spacing w:after="0"/>
              <w:rPr>
                <w:sz w:val="20"/>
                <w:szCs w:val="20"/>
                <w:color w:val="auto"/>
              </w:rPr>
            </w:pPr>
            <w:r>
              <w:rPr>
                <w:rFonts w:ascii="Arial" w:cs="Arial" w:eastAsia="Arial" w:hAnsi="Arial"/>
                <w:sz w:val="16"/>
                <w:szCs w:val="16"/>
                <w:color w:val="auto"/>
              </w:rPr>
              <w:t>Private Equity</w:t>
            </w:r>
          </w:p>
        </w:tc>
        <w:tc>
          <w:tcPr>
            <w:tcW w:w="4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7"/>
                <w:szCs w:val="17"/>
                <w:color w:val="auto"/>
              </w:rPr>
            </w:pPr>
          </w:p>
        </w:tc>
        <w:tc>
          <w:tcPr>
            <w:tcW w:w="880" w:type="dxa"/>
            <w:vAlign w:val="bottom"/>
            <w:shd w:val="clear" w:color="auto" w:fill="CFF0FC"/>
          </w:tcPr>
          <w:p>
            <w:pPr>
              <w:ind w:left="700"/>
              <w:spacing w:after="0"/>
              <w:rPr>
                <w:sz w:val="20"/>
                <w:szCs w:val="20"/>
                <w:color w:val="auto"/>
              </w:rPr>
            </w:pPr>
            <w:r>
              <w:rPr>
                <w:rFonts w:ascii="Arial" w:cs="Arial" w:eastAsia="Arial" w:hAnsi="Arial"/>
                <w:sz w:val="16"/>
                <w:szCs w:val="16"/>
                <w:color w:val="auto"/>
                <w:w w:val="89"/>
              </w:rPr>
              <w:t>14</w:t>
            </w: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601</w:t>
            </w: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615</w:t>
            </w:r>
          </w:p>
        </w:tc>
        <w:tc>
          <w:tcPr>
            <w:tcW w:w="100" w:type="dxa"/>
            <w:vAlign w:val="bottom"/>
            <w:shd w:val="clear" w:color="auto" w:fill="CFF0FC"/>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40" w:type="dxa"/>
            <w:vAlign w:val="bottom"/>
          </w:tcPr>
          <w:p>
            <w:pPr>
              <w:spacing w:after="0"/>
              <w:rPr>
                <w:sz w:val="17"/>
                <w:szCs w:val="17"/>
                <w:color w:val="auto"/>
              </w:rPr>
            </w:pPr>
          </w:p>
        </w:tc>
        <w:tc>
          <w:tcPr>
            <w:tcW w:w="3060" w:type="dxa"/>
            <w:vAlign w:val="bottom"/>
          </w:tcPr>
          <w:p>
            <w:pPr>
              <w:ind w:left="220"/>
              <w:spacing w:after="0"/>
              <w:rPr>
                <w:sz w:val="20"/>
                <w:szCs w:val="20"/>
                <w:color w:val="auto"/>
              </w:rPr>
            </w:pPr>
            <w:r>
              <w:rPr>
                <w:rFonts w:ascii="Arial" w:cs="Arial" w:eastAsia="Arial" w:hAnsi="Arial"/>
                <w:sz w:val="16"/>
                <w:szCs w:val="16"/>
                <w:color w:val="auto"/>
              </w:rPr>
              <w:t>Derivatives with unrealized losses</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(3)</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80" w:type="dxa"/>
            <w:vAlign w:val="bottom"/>
          </w:tcPr>
          <w:p>
            <w:pPr>
              <w:ind w:left="700"/>
              <w:spacing w:after="0"/>
              <w:rPr>
                <w:sz w:val="20"/>
                <w:szCs w:val="20"/>
                <w:color w:val="auto"/>
              </w:rPr>
            </w:pPr>
            <w:r>
              <w:rPr>
                <w:rFonts w:ascii="Arial" w:cs="Arial" w:eastAsia="Arial" w:hAnsi="Arial"/>
                <w:sz w:val="16"/>
                <w:szCs w:val="16"/>
                <w:color w:val="auto"/>
                <w:w w:val="99"/>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(3)</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140" w:type="dxa"/>
            <w:vAlign w:val="bottom"/>
          </w:tcPr>
          <w:p>
            <w:pPr>
              <w:spacing w:after="0"/>
              <w:rPr>
                <w:sz w:val="17"/>
                <w:szCs w:val="17"/>
                <w:color w:val="auto"/>
              </w:rPr>
            </w:pPr>
          </w:p>
        </w:tc>
        <w:tc>
          <w:tcPr>
            <w:tcW w:w="3060" w:type="dxa"/>
            <w:vAlign w:val="bottom"/>
            <w:tcBorders>
              <w:top w:val="single" w:sz="8" w:color="CFF0FC"/>
              <w:bottom w:val="single" w:sz="8" w:color="CFF0FC"/>
            </w:tcBorders>
            <w:shd w:val="clear" w:color="auto" w:fill="CFF0FC"/>
          </w:tcPr>
          <w:p>
            <w:pPr>
              <w:spacing w:after="0"/>
              <w:rPr>
                <w:sz w:val="17"/>
                <w:szCs w:val="17"/>
                <w:color w:val="auto"/>
              </w:rPr>
            </w:pPr>
          </w:p>
        </w:tc>
        <w:tc>
          <w:tcPr>
            <w:tcW w:w="44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57</w:t>
            </w:r>
          </w:p>
        </w:tc>
        <w:tc>
          <w:tcPr>
            <w:tcW w:w="60" w:type="dxa"/>
            <w:vAlign w:val="bottom"/>
            <w:tcBorders>
              <w:top w:val="single" w:sz="8" w:color="CFF0FC"/>
              <w:bottom w:val="single" w:sz="8" w:color="CFF0FC"/>
            </w:tcBorders>
            <w:shd w:val="clear" w:color="auto" w:fill="CFF0FC"/>
          </w:tcPr>
          <w:p>
            <w:pPr>
              <w:spacing w:after="0"/>
              <w:rPr>
                <w:sz w:val="17"/>
                <w:szCs w:val="17"/>
                <w:color w:val="auto"/>
              </w:rPr>
            </w:pPr>
          </w:p>
        </w:tc>
        <w:tc>
          <w:tcPr>
            <w:tcW w:w="14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421</w:t>
            </w:r>
          </w:p>
        </w:tc>
        <w:tc>
          <w:tcPr>
            <w:tcW w:w="200" w:type="dxa"/>
            <w:vAlign w:val="bottom"/>
            <w:tcBorders>
              <w:top w:val="single" w:sz="8" w:color="CFF0FC"/>
              <w:bottom w:val="single" w:sz="8" w:color="CFF0FC"/>
            </w:tcBorders>
            <w:shd w:val="clear" w:color="auto" w:fill="CFF0FC"/>
          </w:tcPr>
          <w:p>
            <w:pPr>
              <w:spacing w:after="0"/>
              <w:rPr>
                <w:sz w:val="17"/>
                <w:szCs w:val="17"/>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ind w:left="700"/>
              <w:spacing w:after="0"/>
              <w:rPr>
                <w:sz w:val="20"/>
                <w:szCs w:val="20"/>
                <w:color w:val="auto"/>
              </w:rPr>
            </w:pPr>
            <w:r>
              <w:rPr>
                <w:rFonts w:ascii="Arial" w:cs="Arial" w:eastAsia="Arial" w:hAnsi="Arial"/>
                <w:sz w:val="16"/>
                <w:szCs w:val="16"/>
                <w:color w:val="auto"/>
                <w:w w:val="89"/>
              </w:rPr>
              <w:t>40</w:t>
            </w:r>
          </w:p>
        </w:tc>
        <w:tc>
          <w:tcPr>
            <w:tcW w:w="20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3,286</w:t>
            </w:r>
          </w:p>
        </w:tc>
        <w:tc>
          <w:tcPr>
            <w:tcW w:w="200" w:type="dxa"/>
            <w:vAlign w:val="bottom"/>
            <w:tcBorders>
              <w:top w:val="single" w:sz="8" w:color="CFF0FC"/>
              <w:bottom w:val="single" w:sz="8" w:color="CFF0FC"/>
            </w:tcBorders>
            <w:shd w:val="clear" w:color="auto" w:fill="CFF0FC"/>
          </w:tcPr>
          <w:p>
            <w:pPr>
              <w:spacing w:after="0"/>
              <w:rPr>
                <w:sz w:val="17"/>
                <w:szCs w:val="17"/>
                <w:color w:val="auto"/>
              </w:rPr>
            </w:pPr>
          </w:p>
        </w:tc>
        <w:tc>
          <w:tcPr>
            <w:tcW w:w="200" w:type="dxa"/>
            <w:vAlign w:val="bottom"/>
            <w:tcBorders>
              <w:top w:val="single" w:sz="8" w:color="auto"/>
              <w:bottom w:val="single" w:sz="8" w:color="auto"/>
            </w:tcBorders>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3,804</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0"/>
        </w:trPr>
        <w:tc>
          <w:tcPr>
            <w:tcW w:w="114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gridSpan w:val="2"/>
          </w:tcPr>
          <w:p>
            <w:pPr>
              <w:jc w:val="right"/>
              <w:ind w:right="24"/>
              <w:spacing w:after="0"/>
              <w:rPr>
                <w:sz w:val="20"/>
                <w:szCs w:val="20"/>
                <w:color w:val="auto"/>
              </w:rPr>
            </w:pPr>
            <w:r>
              <w:rPr>
                <w:rFonts w:ascii="Arial" w:cs="Arial" w:eastAsia="Arial" w:hAnsi="Arial"/>
                <w:sz w:val="16"/>
                <w:szCs w:val="16"/>
                <w:color w:val="auto"/>
                <w:w w:val="78"/>
              </w:rPr>
              <w:t>86</w:t>
            </w: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1140" w:type="dxa"/>
            <w:vAlign w:val="bottom"/>
            <w:tcBorders>
              <w:bottom w:val="single" w:sz="8" w:color="9A9A9A"/>
            </w:tcBorders>
          </w:tcPr>
          <w:p>
            <w:pPr>
              <w:spacing w:after="0"/>
              <w:rPr>
                <w:sz w:val="8"/>
                <w:szCs w:val="8"/>
                <w:color w:val="auto"/>
              </w:rPr>
            </w:pPr>
          </w:p>
        </w:tc>
        <w:tc>
          <w:tcPr>
            <w:tcW w:w="306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7253605</wp:posOffset>
            </wp:positionH>
            <wp:positionV relativeFrom="paragraph">
              <wp:posOffset>-27305</wp:posOffset>
            </wp:positionV>
            <wp:extent cx="33020" cy="406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-27305</wp:posOffset>
            </wp:positionV>
            <wp:extent cx="33020" cy="406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460"/>
          </w:cols>
          <w:pgMar w:left="240" w:top="127" w:right="199" w:bottom="1440" w:gutter="0" w:footer="0" w:header="0"/>
        </w:sectPr>
      </w:pPr>
    </w:p>
    <w:bookmarkStart w:id="86" w:name="page87"/>
    <w:bookmarkEnd w:id="86"/>
    <w:p>
      <w:pPr>
        <w:spacing w:after="0"/>
        <w:rPr>
          <w:sz w:val="20"/>
          <w:szCs w:val="20"/>
          <w:color w:val="auto"/>
        </w:rPr>
      </w:pPr>
      <w:r>
        <w:rPr>
          <w:rFonts w:ascii="Arial" w:cs="Arial" w:eastAsia="Arial" w:hAnsi="Arial"/>
          <w:sz w:val="16"/>
          <w:szCs w:val="16"/>
          <w:b w:val="1"/>
          <w:bCs w:val="1"/>
          <w:color w:val="auto"/>
        </w:rPr>
        <w:t>Major U.S. Plans</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December 31, 2016</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43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3"/>
                <w:szCs w:val="13"/>
                <w:b w:val="1"/>
                <w:bCs w:val="1"/>
                <w:color w:val="auto"/>
                <w:w w:val="94"/>
              </w:rPr>
              <w:t>U.S.</w:t>
            </w:r>
          </w:p>
        </w:tc>
        <w:tc>
          <w:tcPr>
            <w:tcW w:w="1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2"/>
          </w:tcPr>
          <w:p>
            <w:pPr>
              <w:jc w:val="center"/>
              <w:ind w:right="280"/>
              <w:spacing w:after="0" w:line="118" w:lineRule="exact"/>
              <w:rPr>
                <w:sz w:val="20"/>
                <w:szCs w:val="20"/>
                <w:color w:val="auto"/>
              </w:rPr>
            </w:pPr>
            <w:r>
              <w:rPr>
                <w:rFonts w:ascii="Arial" w:cs="Arial" w:eastAsia="Arial" w:hAnsi="Arial"/>
                <w:sz w:val="13"/>
                <w:szCs w:val="13"/>
                <w:b w:val="1"/>
                <w:bCs w:val="1"/>
                <w:color w:val="auto"/>
                <w:w w:val="88"/>
              </w:rPr>
              <w:t>Quoted Prices</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vMerge w:val="restart"/>
          </w:tcPr>
          <w:p>
            <w:pPr>
              <w:jc w:val="center"/>
              <w:ind w:right="104"/>
              <w:spacing w:after="0"/>
              <w:rPr>
                <w:sz w:val="20"/>
                <w:szCs w:val="20"/>
                <w:color w:val="auto"/>
              </w:rPr>
            </w:pPr>
            <w:r>
              <w:rPr>
                <w:rFonts w:ascii="Arial" w:cs="Arial" w:eastAsia="Arial" w:hAnsi="Arial"/>
                <w:sz w:val="13"/>
                <w:szCs w:val="13"/>
                <w:b w:val="1"/>
                <w:bCs w:val="1"/>
                <w:color w:val="auto"/>
                <w:w w:val="90"/>
              </w:rPr>
              <w:t>Significant</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80" w:type="dxa"/>
            <w:vAlign w:val="bottom"/>
            <w:gridSpan w:val="2"/>
            <w:vMerge w:val="restart"/>
          </w:tcPr>
          <w:p>
            <w:pPr>
              <w:jc w:val="center"/>
              <w:ind w:right="400"/>
              <w:spacing w:after="0"/>
              <w:rPr>
                <w:sz w:val="20"/>
                <w:szCs w:val="20"/>
                <w:color w:val="auto"/>
              </w:rPr>
            </w:pPr>
            <w:r>
              <w:rPr>
                <w:rFonts w:ascii="Arial" w:cs="Arial" w:eastAsia="Arial" w:hAnsi="Arial"/>
                <w:sz w:val="13"/>
                <w:szCs w:val="13"/>
                <w:b w:val="1"/>
                <w:bCs w:val="1"/>
                <w:color w:val="auto"/>
                <w:w w:val="90"/>
              </w:rPr>
              <w:t>Significant</w:t>
            </w:r>
          </w:p>
        </w:tc>
        <w:tc>
          <w:tcPr>
            <w:tcW w:w="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jc w:val="center"/>
              <w:ind w:right="280"/>
              <w:spacing w:after="0" w:line="133" w:lineRule="exact"/>
              <w:rPr>
                <w:sz w:val="20"/>
                <w:szCs w:val="20"/>
                <w:color w:val="auto"/>
              </w:rPr>
            </w:pPr>
            <w:r>
              <w:rPr>
                <w:rFonts w:ascii="Arial" w:cs="Arial" w:eastAsia="Arial" w:hAnsi="Arial"/>
                <w:sz w:val="13"/>
                <w:szCs w:val="13"/>
                <w:b w:val="1"/>
                <w:bCs w:val="1"/>
                <w:color w:val="auto"/>
                <w:w w:val="92"/>
              </w:rPr>
              <w:t>in Active</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jc w:val="center"/>
              <w:ind w:right="280"/>
              <w:spacing w:after="0" w:line="133" w:lineRule="exact"/>
              <w:rPr>
                <w:sz w:val="20"/>
                <w:szCs w:val="20"/>
                <w:color w:val="auto"/>
              </w:rPr>
            </w:pPr>
            <w:r>
              <w:rPr>
                <w:rFonts w:ascii="Arial" w:cs="Arial" w:eastAsia="Arial" w:hAnsi="Arial"/>
                <w:sz w:val="13"/>
                <w:szCs w:val="13"/>
                <w:b w:val="1"/>
                <w:bCs w:val="1"/>
                <w:color w:val="auto"/>
                <w:w w:val="94"/>
              </w:rPr>
              <w:t>Markets for</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jc w:val="center"/>
              <w:ind w:right="104"/>
              <w:spacing w:after="0" w:line="133" w:lineRule="exact"/>
              <w:rPr>
                <w:sz w:val="20"/>
                <w:szCs w:val="20"/>
                <w:color w:val="auto"/>
              </w:rPr>
            </w:pPr>
            <w:r>
              <w:rPr>
                <w:rFonts w:ascii="Arial" w:cs="Arial" w:eastAsia="Arial" w:hAnsi="Arial"/>
                <w:sz w:val="13"/>
                <w:szCs w:val="13"/>
                <w:b w:val="1"/>
                <w:bCs w:val="1"/>
                <w:color w:val="auto"/>
                <w:w w:val="90"/>
              </w:rPr>
              <w:t>Observable</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tcPr>
          <w:p>
            <w:pPr>
              <w:jc w:val="center"/>
              <w:ind w:right="400"/>
              <w:spacing w:after="0" w:line="133" w:lineRule="exact"/>
              <w:rPr>
                <w:sz w:val="20"/>
                <w:szCs w:val="20"/>
                <w:color w:val="auto"/>
              </w:rPr>
            </w:pPr>
            <w:r>
              <w:rPr>
                <w:rFonts w:ascii="Arial" w:cs="Arial" w:eastAsia="Arial" w:hAnsi="Arial"/>
                <w:sz w:val="13"/>
                <w:szCs w:val="13"/>
                <w:b w:val="1"/>
                <w:bCs w:val="1"/>
                <w:color w:val="auto"/>
                <w:w w:val="88"/>
              </w:rPr>
              <w:t>Unobservable</w:t>
            </w:r>
          </w:p>
        </w:tc>
        <w:tc>
          <w:tcPr>
            <w:tcW w:w="160" w:type="dxa"/>
            <w:vAlign w:val="bottom"/>
          </w:tcPr>
          <w:p>
            <w:pPr>
              <w:spacing w:after="0"/>
              <w:rPr>
                <w:sz w:val="11"/>
                <w:szCs w:val="11"/>
                <w:color w:val="auto"/>
              </w:rPr>
            </w:pPr>
          </w:p>
        </w:tc>
        <w:tc>
          <w:tcPr>
            <w:tcW w:w="1040" w:type="dxa"/>
            <w:vAlign w:val="bottom"/>
            <w:vMerge w:val="restart"/>
          </w:tcPr>
          <w:p>
            <w:pPr>
              <w:jc w:val="right"/>
              <w:ind w:right="182"/>
              <w:spacing w:after="0"/>
              <w:rPr>
                <w:sz w:val="20"/>
                <w:szCs w:val="20"/>
                <w:color w:val="auto"/>
              </w:rPr>
            </w:pPr>
            <w:r>
              <w:rPr>
                <w:rFonts w:ascii="Arial" w:cs="Arial" w:eastAsia="Arial" w:hAnsi="Arial"/>
                <w:sz w:val="13"/>
                <w:szCs w:val="13"/>
                <w:b w:val="1"/>
                <w:bCs w:val="1"/>
                <w:color w:val="auto"/>
              </w:rPr>
              <w:t>Measured at</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jc w:val="center"/>
              <w:ind w:right="280"/>
              <w:spacing w:after="0" w:line="133" w:lineRule="exact"/>
              <w:rPr>
                <w:sz w:val="20"/>
                <w:szCs w:val="20"/>
                <w:color w:val="auto"/>
              </w:rPr>
            </w:pPr>
            <w:r>
              <w:rPr>
                <w:rFonts w:ascii="Arial" w:cs="Arial" w:eastAsia="Arial" w:hAnsi="Arial"/>
                <w:sz w:val="13"/>
                <w:szCs w:val="13"/>
                <w:b w:val="1"/>
                <w:bCs w:val="1"/>
                <w:color w:val="auto"/>
                <w:w w:val="86"/>
              </w:rPr>
              <w:t>Identical Assets</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jc w:val="center"/>
              <w:ind w:right="104"/>
              <w:spacing w:after="0" w:line="133" w:lineRule="exact"/>
              <w:rPr>
                <w:sz w:val="20"/>
                <w:szCs w:val="20"/>
                <w:color w:val="auto"/>
              </w:rPr>
            </w:pPr>
            <w:r>
              <w:rPr>
                <w:rFonts w:ascii="Arial" w:cs="Arial" w:eastAsia="Arial" w:hAnsi="Arial"/>
                <w:sz w:val="13"/>
                <w:szCs w:val="13"/>
                <w:b w:val="1"/>
                <w:bCs w:val="1"/>
                <w:color w:val="auto"/>
                <w:w w:val="92"/>
              </w:rPr>
              <w:t>Inputs</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tcPr>
          <w:p>
            <w:pPr>
              <w:jc w:val="center"/>
              <w:ind w:right="400"/>
              <w:spacing w:after="0" w:line="133" w:lineRule="exact"/>
              <w:rPr>
                <w:sz w:val="20"/>
                <w:szCs w:val="20"/>
                <w:color w:val="auto"/>
              </w:rPr>
            </w:pPr>
            <w:r>
              <w:rPr>
                <w:rFonts w:ascii="Arial" w:cs="Arial" w:eastAsia="Arial" w:hAnsi="Arial"/>
                <w:sz w:val="13"/>
                <w:szCs w:val="13"/>
                <w:b w:val="1"/>
                <w:bCs w:val="1"/>
                <w:color w:val="auto"/>
                <w:w w:val="92"/>
              </w:rPr>
              <w:t>Inputs</w:t>
            </w:r>
          </w:p>
        </w:tc>
        <w:tc>
          <w:tcPr>
            <w:tcW w:w="16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gridSpan w:val="2"/>
            <w:vMerge w:val="restart"/>
          </w:tcPr>
          <w:p>
            <w:pPr>
              <w:jc w:val="right"/>
              <w:ind w:right="60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53"/>
        </w:trPr>
        <w:tc>
          <w:tcPr>
            <w:tcW w:w="4380" w:type="dxa"/>
            <w:vAlign w:val="bottom"/>
            <w:gridSpan w:val="2"/>
          </w:tcPr>
          <w:p>
            <w:pPr>
              <w:spacing w:after="0"/>
              <w:rPr>
                <w:sz w:val="20"/>
                <w:szCs w:val="20"/>
                <w:color w:val="auto"/>
              </w:rPr>
            </w:pPr>
            <w:r>
              <w:rPr>
                <w:rFonts w:ascii="Arial" w:cs="Arial" w:eastAsia="Arial" w:hAnsi="Arial"/>
                <w:sz w:val="13"/>
                <w:szCs w:val="13"/>
                <w:color w:val="auto"/>
              </w:rPr>
              <w:t>(in millions)</w:t>
            </w:r>
          </w:p>
        </w:tc>
        <w:tc>
          <w:tcPr>
            <w:tcW w:w="120" w:type="dxa"/>
            <w:vAlign w:val="bottom"/>
          </w:tcPr>
          <w:p>
            <w:pPr>
              <w:spacing w:after="0"/>
              <w:rPr>
                <w:sz w:val="13"/>
                <w:szCs w:val="13"/>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4"/>
              </w:rPr>
              <w:t>(Level 1)</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jc w:val="center"/>
              <w:ind w:right="104"/>
              <w:spacing w:after="0"/>
              <w:rPr>
                <w:sz w:val="20"/>
                <w:szCs w:val="20"/>
                <w:color w:val="auto"/>
              </w:rPr>
            </w:pPr>
            <w:r>
              <w:rPr>
                <w:rFonts w:ascii="Arial" w:cs="Arial" w:eastAsia="Arial" w:hAnsi="Arial"/>
                <w:sz w:val="13"/>
                <w:szCs w:val="13"/>
                <w:b w:val="1"/>
                <w:bCs w:val="1"/>
                <w:color w:val="auto"/>
                <w:w w:val="90"/>
              </w:rPr>
              <w:t>(Level 2)</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90"/>
              </w:rPr>
              <w:t>(Level 3)</w:t>
            </w:r>
          </w:p>
        </w:tc>
        <w:tc>
          <w:tcPr>
            <w:tcW w:w="160" w:type="dxa"/>
            <w:vAlign w:val="bottom"/>
          </w:tcPr>
          <w:p>
            <w:pPr>
              <w:spacing w:after="0"/>
              <w:rPr>
                <w:sz w:val="13"/>
                <w:szCs w:val="13"/>
                <w:color w:val="auto"/>
              </w:rPr>
            </w:pPr>
          </w:p>
        </w:tc>
        <w:tc>
          <w:tcPr>
            <w:tcW w:w="1040" w:type="dxa"/>
            <w:vAlign w:val="bottom"/>
          </w:tcPr>
          <w:p>
            <w:pPr>
              <w:jc w:val="right"/>
              <w:ind w:right="402"/>
              <w:spacing w:after="0"/>
              <w:rPr>
                <w:sz w:val="20"/>
                <w:szCs w:val="20"/>
                <w:color w:val="auto"/>
              </w:rPr>
            </w:pPr>
            <w:r>
              <w:rPr>
                <w:rFonts w:ascii="Arial" w:cs="Arial" w:eastAsia="Arial" w:hAnsi="Arial"/>
                <w:sz w:val="13"/>
                <w:szCs w:val="13"/>
                <w:b w:val="1"/>
                <w:bCs w:val="1"/>
                <w:color w:val="auto"/>
              </w:rPr>
              <w:t>NAV</w:t>
            </w: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Cash and cash equivalents</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1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ind w:left="860"/>
              <w:spacing w:after="0"/>
              <w:rPr>
                <w:sz w:val="20"/>
                <w:szCs w:val="20"/>
                <w:color w:val="auto"/>
              </w:rPr>
            </w:pPr>
            <w:r>
              <w:rPr>
                <w:rFonts w:ascii="Arial" w:cs="Arial" w:eastAsia="Arial" w:hAnsi="Arial"/>
                <w:sz w:val="16"/>
                <w:szCs w:val="16"/>
                <w:color w:val="auto"/>
                <w:w w:val="99"/>
              </w:rPr>
              <w:t>—</w:t>
            </w:r>
          </w:p>
        </w:tc>
        <w:tc>
          <w:tcPr>
            <w:tcW w:w="24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106</w:t>
            </w:r>
          </w:p>
        </w:tc>
        <w:tc>
          <w:tcPr>
            <w:tcW w:w="240" w:type="dxa"/>
            <w:vAlign w:val="bottom"/>
            <w:tcBorders>
              <w:top w:val="single" w:sz="8" w:color="CFF0FC"/>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jc w:val="right"/>
              <w:ind w:right="124"/>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107</w:t>
            </w: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4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4360" w:type="dxa"/>
            <w:vAlign w:val="bottom"/>
            <w:shd w:val="clear" w:color="auto" w:fill="CFF0FC"/>
          </w:tcPr>
          <w:p>
            <w:pPr>
              <w:spacing w:after="0"/>
              <w:rPr>
                <w:sz w:val="20"/>
                <w:szCs w:val="20"/>
                <w:color w:val="auto"/>
              </w:rPr>
            </w:pPr>
            <w:r>
              <w:rPr>
                <w:rFonts w:ascii="Arial" w:cs="Arial" w:eastAsia="Arial" w:hAnsi="Arial"/>
                <w:sz w:val="16"/>
                <w:szCs w:val="16"/>
                <w:color w:val="auto"/>
              </w:rPr>
              <w:t>Equity Securities</w:t>
            </w:r>
          </w:p>
        </w:tc>
        <w:tc>
          <w:tcPr>
            <w:tcW w:w="12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ind w:left="8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582</w:t>
            </w: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582</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4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4360" w:type="dxa"/>
            <w:vAlign w:val="bottom"/>
            <w:shd w:val="clear" w:color="auto" w:fill="CFF0FC"/>
          </w:tcPr>
          <w:p>
            <w:pPr>
              <w:spacing w:after="0"/>
              <w:rPr>
                <w:sz w:val="20"/>
                <w:szCs w:val="20"/>
                <w:color w:val="auto"/>
              </w:rPr>
            </w:pPr>
            <w:r>
              <w:rPr>
                <w:rFonts w:ascii="Arial" w:cs="Arial" w:eastAsia="Arial" w:hAnsi="Arial"/>
                <w:sz w:val="16"/>
                <w:szCs w:val="16"/>
                <w:color w:val="auto"/>
              </w:rPr>
              <w:t>Debt Securities:</w:t>
            </w:r>
          </w:p>
        </w:tc>
        <w:tc>
          <w:tcPr>
            <w:tcW w:w="1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360" w:type="dxa"/>
            <w:vAlign w:val="bottom"/>
          </w:tcPr>
          <w:p>
            <w:pPr>
              <w:ind w:left="200"/>
              <w:spacing w:after="0"/>
              <w:rPr>
                <w:sz w:val="20"/>
                <w:szCs w:val="20"/>
                <w:color w:val="auto"/>
              </w:rPr>
            </w:pPr>
            <w:r>
              <w:rPr>
                <w:rFonts w:ascii="Arial" w:cs="Arial" w:eastAsia="Arial" w:hAnsi="Arial"/>
                <w:sz w:val="16"/>
                <w:szCs w:val="16"/>
                <w:color w:val="auto"/>
              </w:rPr>
              <w:t>Government Bonds</w:t>
            </w:r>
          </w:p>
        </w:tc>
        <w:tc>
          <w:tcPr>
            <w:tcW w:w="12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ind w:left="8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849</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849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3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Investment Grade Bonds</w:t>
            </w:r>
          </w:p>
        </w:tc>
        <w:tc>
          <w:tcPr>
            <w:tcW w:w="12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373</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ind w:left="8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373</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4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4360" w:type="dxa"/>
            <w:vAlign w:val="bottom"/>
            <w:shd w:val="clear" w:color="auto" w:fill="CFF0FC"/>
          </w:tcPr>
          <w:p>
            <w:pPr>
              <w:spacing w:after="0"/>
              <w:rPr>
                <w:sz w:val="20"/>
                <w:szCs w:val="20"/>
                <w:color w:val="auto"/>
              </w:rPr>
            </w:pPr>
            <w:r>
              <w:rPr>
                <w:rFonts w:ascii="Arial" w:cs="Arial" w:eastAsia="Arial" w:hAnsi="Arial"/>
                <w:sz w:val="16"/>
                <w:szCs w:val="16"/>
                <w:color w:val="auto"/>
              </w:rPr>
              <w:t>Real Estate</w:t>
            </w:r>
          </w:p>
        </w:tc>
        <w:tc>
          <w:tcPr>
            <w:tcW w:w="12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40" w:type="dxa"/>
            <w:vAlign w:val="bottom"/>
            <w:shd w:val="clear" w:color="auto" w:fill="CFF0FC"/>
          </w:tcPr>
          <w:p>
            <w:pPr>
              <w:ind w:left="860"/>
              <w:spacing w:after="0"/>
              <w:rPr>
                <w:sz w:val="20"/>
                <w:szCs w:val="20"/>
                <w:color w:val="auto"/>
              </w:rPr>
            </w:pPr>
            <w:r>
              <w:rPr>
                <w:rFonts w:ascii="Arial" w:cs="Arial" w:eastAsia="Arial" w:hAnsi="Arial"/>
                <w:sz w:val="16"/>
                <w:szCs w:val="16"/>
                <w:color w:val="auto"/>
                <w:w w:val="89"/>
              </w:rPr>
              <w:t>32</w:t>
            </w: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84</w:t>
            </w: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116</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4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4360" w:type="dxa"/>
            <w:vAlign w:val="bottom"/>
            <w:shd w:val="clear" w:color="auto" w:fill="CFF0FC"/>
          </w:tcPr>
          <w:p>
            <w:pPr>
              <w:spacing w:after="0"/>
              <w:rPr>
                <w:sz w:val="20"/>
                <w:szCs w:val="20"/>
                <w:color w:val="auto"/>
              </w:rPr>
            </w:pPr>
            <w:r>
              <w:rPr>
                <w:rFonts w:ascii="Arial" w:cs="Arial" w:eastAsia="Arial" w:hAnsi="Arial"/>
                <w:sz w:val="16"/>
                <w:szCs w:val="16"/>
                <w:color w:val="auto"/>
              </w:rPr>
              <w:t>Global Balanced Asset Allocation Funds</w:t>
            </w:r>
          </w:p>
        </w:tc>
        <w:tc>
          <w:tcPr>
            <w:tcW w:w="12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ind w:left="8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511</w:t>
            </w: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511</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4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4360" w:type="dxa"/>
            <w:vAlign w:val="bottom"/>
            <w:shd w:val="clear" w:color="auto" w:fill="CFF0FC"/>
          </w:tcPr>
          <w:p>
            <w:pPr>
              <w:spacing w:after="0"/>
              <w:rPr>
                <w:sz w:val="20"/>
                <w:szCs w:val="20"/>
                <w:color w:val="auto"/>
              </w:rPr>
            </w:pPr>
            <w:r>
              <w:rPr>
                <w:rFonts w:ascii="Arial" w:cs="Arial" w:eastAsia="Arial" w:hAnsi="Arial"/>
                <w:sz w:val="16"/>
                <w:szCs w:val="16"/>
                <w:color w:val="auto"/>
              </w:rPr>
              <w:t>Other:</w:t>
            </w:r>
          </w:p>
        </w:tc>
        <w:tc>
          <w:tcPr>
            <w:tcW w:w="1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360" w:type="dxa"/>
            <w:vAlign w:val="bottom"/>
          </w:tcPr>
          <w:p>
            <w:pPr>
              <w:ind w:left="200"/>
              <w:spacing w:after="0"/>
              <w:rPr>
                <w:sz w:val="20"/>
                <w:szCs w:val="20"/>
                <w:color w:val="auto"/>
              </w:rPr>
            </w:pPr>
            <w:r>
              <w:rPr>
                <w:rFonts w:ascii="Arial" w:cs="Arial" w:eastAsia="Arial" w:hAnsi="Arial"/>
                <w:sz w:val="16"/>
                <w:szCs w:val="16"/>
                <w:color w:val="auto"/>
              </w:rPr>
              <w:t>Absolute Return</w:t>
            </w:r>
          </w:p>
        </w:tc>
        <w:tc>
          <w:tcPr>
            <w:tcW w:w="12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ind w:left="8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457</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457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3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Private Equity</w:t>
            </w:r>
          </w:p>
        </w:tc>
        <w:tc>
          <w:tcPr>
            <w:tcW w:w="12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40" w:type="dxa"/>
            <w:vAlign w:val="bottom"/>
            <w:shd w:val="clear" w:color="auto" w:fill="CFF0FC"/>
          </w:tcPr>
          <w:p>
            <w:pPr>
              <w:ind w:left="860"/>
              <w:spacing w:after="0"/>
              <w:rPr>
                <w:sz w:val="20"/>
                <w:szCs w:val="20"/>
                <w:color w:val="auto"/>
              </w:rPr>
            </w:pPr>
            <w:r>
              <w:rPr>
                <w:rFonts w:ascii="Arial" w:cs="Arial" w:eastAsia="Arial" w:hAnsi="Arial"/>
                <w:sz w:val="16"/>
                <w:szCs w:val="16"/>
                <w:color w:val="auto"/>
                <w:w w:val="89"/>
              </w:rPr>
              <w:t>14</w:t>
            </w: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645</w:t>
            </w: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659</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360" w:type="dxa"/>
            <w:vAlign w:val="bottom"/>
          </w:tcPr>
          <w:p>
            <w:pPr>
              <w:ind w:left="200"/>
              <w:spacing w:after="0"/>
              <w:rPr>
                <w:sz w:val="20"/>
                <w:szCs w:val="20"/>
                <w:color w:val="auto"/>
              </w:rPr>
            </w:pPr>
            <w:r>
              <w:rPr>
                <w:rFonts w:ascii="Arial" w:cs="Arial" w:eastAsia="Arial" w:hAnsi="Arial"/>
                <w:sz w:val="16"/>
                <w:szCs w:val="16"/>
                <w:color w:val="auto"/>
              </w:rPr>
              <w:t>Derivatives with unrealized losses</w:t>
            </w:r>
          </w:p>
        </w:tc>
        <w:tc>
          <w:tcPr>
            <w:tcW w:w="120" w:type="dxa"/>
            <w:vAlign w:val="bottom"/>
          </w:tcPr>
          <w:p>
            <w:pPr>
              <w:spacing w:after="0"/>
              <w:rPr>
                <w:sz w:val="17"/>
                <w:szCs w:val="17"/>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ind w:left="8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36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auto"/>
            </w:tcBorders>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373</w:t>
            </w:r>
          </w:p>
        </w:tc>
        <w:tc>
          <w:tcPr>
            <w:tcW w:w="240" w:type="dxa"/>
            <w:vAlign w:val="bottom"/>
            <w:tcBorders>
              <w:top w:val="single" w:sz="8" w:color="CFF0FC"/>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ind w:left="860"/>
              <w:spacing w:after="0"/>
              <w:rPr>
                <w:sz w:val="20"/>
                <w:szCs w:val="20"/>
                <w:color w:val="auto"/>
              </w:rPr>
            </w:pPr>
            <w:r>
              <w:rPr>
                <w:rFonts w:ascii="Arial" w:cs="Arial" w:eastAsia="Arial" w:hAnsi="Arial"/>
                <w:sz w:val="16"/>
                <w:szCs w:val="16"/>
                <w:color w:val="auto"/>
                <w:w w:val="89"/>
              </w:rPr>
              <w:t>46</w:t>
            </w:r>
          </w:p>
        </w:tc>
        <w:tc>
          <w:tcPr>
            <w:tcW w:w="240" w:type="dxa"/>
            <w:vAlign w:val="bottom"/>
            <w:tcBorders>
              <w:top w:val="single" w:sz="8" w:color="CFF0FC"/>
              <w:bottom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auto"/>
            </w:tcBorders>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3,234</w:t>
            </w:r>
          </w:p>
        </w:tc>
        <w:tc>
          <w:tcPr>
            <w:tcW w:w="240" w:type="dxa"/>
            <w:vAlign w:val="bottom"/>
            <w:tcBorders>
              <w:top w:val="single" w:sz="8" w:color="CFF0FC"/>
              <w:bottom w:val="single" w:sz="8" w:color="CFF0FC"/>
            </w:tcBorders>
            <w:shd w:val="clear" w:color="auto" w:fill="CFF0FC"/>
          </w:tcPr>
          <w:p>
            <w:pPr>
              <w:spacing w:after="0"/>
              <w:rPr>
                <w:sz w:val="17"/>
                <w:szCs w:val="17"/>
                <w:color w:val="auto"/>
              </w:rPr>
            </w:pPr>
          </w:p>
        </w:tc>
        <w:tc>
          <w:tcPr>
            <w:tcW w:w="280" w:type="dxa"/>
            <w:vAlign w:val="bottom"/>
            <w:tcBorders>
              <w:top w:val="single" w:sz="8" w:color="auto"/>
              <w:bottom w:val="single" w:sz="8" w:color="auto"/>
            </w:tcBorders>
            <w:shd w:val="clear" w:color="auto" w:fill="CFF0FC"/>
          </w:tcPr>
          <w:p>
            <w:pPr>
              <w:jc w:val="right"/>
              <w:ind w:right="124"/>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3,653</w:t>
            </w: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ind w:right="40"/>
        <w:spacing w:after="0" w:line="276" w:lineRule="auto"/>
        <w:rPr>
          <w:sz w:val="20"/>
          <w:szCs w:val="20"/>
          <w:color w:val="auto"/>
        </w:rPr>
      </w:pPr>
      <w:r>
        <w:rPr>
          <w:rFonts w:ascii="Arial" w:cs="Arial" w:eastAsia="Arial" w:hAnsi="Arial"/>
          <w:sz w:val="15"/>
          <w:szCs w:val="15"/>
          <w:color w:val="auto"/>
        </w:rPr>
        <w:t>For Kodak’s major U.S. defined benefit pension plans, equity investments are invested broadly in U.S. equity, developed international equity, and emerging markets. Fixed income investments are comprised primarily of long duration U.S. Treasuries and investment-grade corporate bonds. Real estate investments primarily include investments in limited partnerships that invest in office, industrial, retail and apartment properties. Global Balanced Asset Allocation investments are commingled funds that hold a diversified portfolio of passive market exposures, including equities, debt, currencies and commodities. Absolute return investments are comprised of a diversified portfolio of hedge funds using equity, debt, commodity, and currency strategies held separate from the derivative-linked hedge funds described later in this footnote. Private equity investments are primarily comprised of limited partnerships and fund-of-fund investments that invest in distressed investments, venture capital, leveraged buyouts and special situations. Natural resource investments in oil and gas partnerships and timber funds are also included in this category.</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62865</wp:posOffset>
            </wp:positionV>
            <wp:extent cx="7301865" cy="406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301865" cy="40640"/>
                    </a:xfrm>
                    <a:prstGeom prst="rect">
                      <a:avLst/>
                    </a:prstGeom>
                    <a:noFill/>
                  </pic:spPr>
                </pic:pic>
              </a:graphicData>
            </a:graphic>
          </wp:anchor>
        </w:drawing>
      </w:r>
    </w:p>
    <w:p>
      <w:pPr>
        <w:sectPr>
          <w:pgSz w:w="11900" w:h="16838" w:orient="portrait"/>
          <w:cols w:equalWidth="0" w:num="1">
            <w:col w:w="11440"/>
          </w:cols>
          <w:pgMar w:left="240" w:top="123" w:right="219" w:bottom="1440" w:gutter="0" w:footer="0" w:header="0"/>
        </w:sectPr>
      </w:pPr>
    </w:p>
    <w:bookmarkStart w:id="87" w:name="page88"/>
    <w:bookmarkEnd w:id="87"/>
    <w:p>
      <w:pPr>
        <w:spacing w:after="0"/>
        <w:rPr>
          <w:sz w:val="20"/>
          <w:szCs w:val="20"/>
          <w:color w:val="auto"/>
        </w:rPr>
      </w:pPr>
      <w:r>
        <w:rPr>
          <w:rFonts w:ascii="Arial" w:cs="Arial" w:eastAsia="Arial" w:hAnsi="Arial"/>
          <w:sz w:val="16"/>
          <w:szCs w:val="16"/>
          <w:b w:val="1"/>
          <w:bCs w:val="1"/>
          <w:color w:val="auto"/>
        </w:rPr>
        <w:t>Major Non-U.S. Plans</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December 31, 2017</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43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3"/>
                <w:szCs w:val="13"/>
                <w:b w:val="1"/>
                <w:bCs w:val="1"/>
                <w:color w:val="auto"/>
                <w:w w:val="90"/>
              </w:rPr>
              <w:t>Non - U.S.</w:t>
            </w:r>
          </w:p>
        </w:tc>
        <w:tc>
          <w:tcPr>
            <w:tcW w:w="1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jc w:val="center"/>
              <w:ind w:right="44"/>
              <w:spacing w:after="0" w:line="118" w:lineRule="exact"/>
              <w:rPr>
                <w:sz w:val="20"/>
                <w:szCs w:val="20"/>
                <w:color w:val="auto"/>
              </w:rPr>
            </w:pPr>
            <w:r>
              <w:rPr>
                <w:rFonts w:ascii="Arial" w:cs="Arial" w:eastAsia="Arial" w:hAnsi="Arial"/>
                <w:sz w:val="13"/>
                <w:szCs w:val="13"/>
                <w:b w:val="1"/>
                <w:bCs w:val="1"/>
                <w:color w:val="auto"/>
                <w:w w:val="88"/>
              </w:rPr>
              <w:t>Quoted Prices</w:t>
            </w: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vMerge w:val="restart"/>
          </w:tcPr>
          <w:p>
            <w:pPr>
              <w:jc w:val="center"/>
              <w:ind w:right="103"/>
              <w:spacing w:after="0"/>
              <w:rPr>
                <w:sz w:val="20"/>
                <w:szCs w:val="20"/>
                <w:color w:val="auto"/>
              </w:rPr>
            </w:pPr>
            <w:r>
              <w:rPr>
                <w:rFonts w:ascii="Arial" w:cs="Arial" w:eastAsia="Arial" w:hAnsi="Arial"/>
                <w:sz w:val="13"/>
                <w:szCs w:val="13"/>
                <w:b w:val="1"/>
                <w:bCs w:val="1"/>
                <w:color w:val="auto"/>
                <w:w w:val="90"/>
              </w:rPr>
              <w:t>Significant</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80" w:type="dxa"/>
            <w:vAlign w:val="bottom"/>
            <w:gridSpan w:val="2"/>
            <w:vMerge w:val="restart"/>
          </w:tcPr>
          <w:p>
            <w:pPr>
              <w:jc w:val="center"/>
              <w:ind w:right="400"/>
              <w:spacing w:after="0"/>
              <w:rPr>
                <w:sz w:val="20"/>
                <w:szCs w:val="20"/>
                <w:color w:val="auto"/>
              </w:rPr>
            </w:pPr>
            <w:r>
              <w:rPr>
                <w:rFonts w:ascii="Arial" w:cs="Arial" w:eastAsia="Arial" w:hAnsi="Arial"/>
                <w:sz w:val="13"/>
                <w:szCs w:val="13"/>
                <w:b w:val="1"/>
                <w:bCs w:val="1"/>
                <w:color w:val="auto"/>
                <w:w w:val="90"/>
              </w:rPr>
              <w:t>Significant</w:t>
            </w:r>
          </w:p>
        </w:tc>
        <w:tc>
          <w:tcPr>
            <w:tcW w:w="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jc w:val="center"/>
              <w:ind w:right="44"/>
              <w:spacing w:after="0" w:line="133" w:lineRule="exact"/>
              <w:rPr>
                <w:sz w:val="20"/>
                <w:szCs w:val="20"/>
                <w:color w:val="auto"/>
              </w:rPr>
            </w:pPr>
            <w:r>
              <w:rPr>
                <w:rFonts w:ascii="Arial" w:cs="Arial" w:eastAsia="Arial" w:hAnsi="Arial"/>
                <w:sz w:val="13"/>
                <w:szCs w:val="13"/>
                <w:b w:val="1"/>
                <w:bCs w:val="1"/>
                <w:color w:val="auto"/>
                <w:w w:val="92"/>
              </w:rPr>
              <w:t>in Active</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jc w:val="center"/>
              <w:ind w:right="44"/>
              <w:spacing w:after="0" w:line="133" w:lineRule="exact"/>
              <w:rPr>
                <w:sz w:val="20"/>
                <w:szCs w:val="20"/>
                <w:color w:val="auto"/>
              </w:rPr>
            </w:pPr>
            <w:r>
              <w:rPr>
                <w:rFonts w:ascii="Arial" w:cs="Arial" w:eastAsia="Arial" w:hAnsi="Arial"/>
                <w:sz w:val="13"/>
                <w:szCs w:val="13"/>
                <w:b w:val="1"/>
                <w:bCs w:val="1"/>
                <w:color w:val="auto"/>
                <w:w w:val="94"/>
              </w:rPr>
              <w:t>Markets for</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jc w:val="center"/>
              <w:ind w:right="103"/>
              <w:spacing w:after="0" w:line="133" w:lineRule="exact"/>
              <w:rPr>
                <w:sz w:val="20"/>
                <w:szCs w:val="20"/>
                <w:color w:val="auto"/>
              </w:rPr>
            </w:pPr>
            <w:r>
              <w:rPr>
                <w:rFonts w:ascii="Arial" w:cs="Arial" w:eastAsia="Arial" w:hAnsi="Arial"/>
                <w:sz w:val="13"/>
                <w:szCs w:val="13"/>
                <w:b w:val="1"/>
                <w:bCs w:val="1"/>
                <w:color w:val="auto"/>
                <w:w w:val="90"/>
              </w:rPr>
              <w:t>Observable</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tcPr>
          <w:p>
            <w:pPr>
              <w:jc w:val="center"/>
              <w:ind w:right="400"/>
              <w:spacing w:after="0" w:line="133" w:lineRule="exact"/>
              <w:rPr>
                <w:sz w:val="20"/>
                <w:szCs w:val="20"/>
                <w:color w:val="auto"/>
              </w:rPr>
            </w:pPr>
            <w:r>
              <w:rPr>
                <w:rFonts w:ascii="Arial" w:cs="Arial" w:eastAsia="Arial" w:hAnsi="Arial"/>
                <w:sz w:val="13"/>
                <w:szCs w:val="13"/>
                <w:b w:val="1"/>
                <w:bCs w:val="1"/>
                <w:color w:val="auto"/>
                <w:w w:val="88"/>
              </w:rPr>
              <w:t>Unobservable</w:t>
            </w:r>
          </w:p>
        </w:tc>
        <w:tc>
          <w:tcPr>
            <w:tcW w:w="160" w:type="dxa"/>
            <w:vAlign w:val="bottom"/>
          </w:tcPr>
          <w:p>
            <w:pPr>
              <w:spacing w:after="0"/>
              <w:rPr>
                <w:sz w:val="11"/>
                <w:szCs w:val="11"/>
                <w:color w:val="auto"/>
              </w:rPr>
            </w:pPr>
          </w:p>
        </w:tc>
        <w:tc>
          <w:tcPr>
            <w:tcW w:w="1040" w:type="dxa"/>
            <w:vAlign w:val="bottom"/>
            <w:vMerge w:val="restart"/>
          </w:tcPr>
          <w:p>
            <w:pPr>
              <w:jc w:val="right"/>
              <w:ind w:right="182"/>
              <w:spacing w:after="0"/>
              <w:rPr>
                <w:sz w:val="20"/>
                <w:szCs w:val="20"/>
                <w:color w:val="auto"/>
              </w:rPr>
            </w:pPr>
            <w:r>
              <w:rPr>
                <w:rFonts w:ascii="Arial" w:cs="Arial" w:eastAsia="Arial" w:hAnsi="Arial"/>
                <w:sz w:val="13"/>
                <w:szCs w:val="13"/>
                <w:b w:val="1"/>
                <w:bCs w:val="1"/>
                <w:color w:val="auto"/>
              </w:rPr>
              <w:t>Measured at</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jc w:val="center"/>
              <w:ind w:right="44"/>
              <w:spacing w:after="0" w:line="133" w:lineRule="exact"/>
              <w:rPr>
                <w:sz w:val="20"/>
                <w:szCs w:val="20"/>
                <w:color w:val="auto"/>
              </w:rPr>
            </w:pPr>
            <w:r>
              <w:rPr>
                <w:rFonts w:ascii="Arial" w:cs="Arial" w:eastAsia="Arial" w:hAnsi="Arial"/>
                <w:sz w:val="13"/>
                <w:szCs w:val="13"/>
                <w:b w:val="1"/>
                <w:bCs w:val="1"/>
                <w:color w:val="auto"/>
                <w:w w:val="86"/>
              </w:rPr>
              <w:t>Identical Assets</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jc w:val="center"/>
              <w:ind w:right="103"/>
              <w:spacing w:after="0" w:line="133" w:lineRule="exact"/>
              <w:rPr>
                <w:sz w:val="20"/>
                <w:szCs w:val="20"/>
                <w:color w:val="auto"/>
              </w:rPr>
            </w:pPr>
            <w:r>
              <w:rPr>
                <w:rFonts w:ascii="Arial" w:cs="Arial" w:eastAsia="Arial" w:hAnsi="Arial"/>
                <w:sz w:val="13"/>
                <w:szCs w:val="13"/>
                <w:b w:val="1"/>
                <w:bCs w:val="1"/>
                <w:color w:val="auto"/>
                <w:w w:val="92"/>
              </w:rPr>
              <w:t>Inputs</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tcPr>
          <w:p>
            <w:pPr>
              <w:jc w:val="center"/>
              <w:ind w:right="400"/>
              <w:spacing w:after="0" w:line="133" w:lineRule="exact"/>
              <w:rPr>
                <w:sz w:val="20"/>
                <w:szCs w:val="20"/>
                <w:color w:val="auto"/>
              </w:rPr>
            </w:pPr>
            <w:r>
              <w:rPr>
                <w:rFonts w:ascii="Arial" w:cs="Arial" w:eastAsia="Arial" w:hAnsi="Arial"/>
                <w:sz w:val="13"/>
                <w:szCs w:val="13"/>
                <w:b w:val="1"/>
                <w:bCs w:val="1"/>
                <w:color w:val="auto"/>
                <w:w w:val="92"/>
              </w:rPr>
              <w:t>Inputs</w:t>
            </w:r>
          </w:p>
        </w:tc>
        <w:tc>
          <w:tcPr>
            <w:tcW w:w="16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gridSpan w:val="2"/>
            <w:vMerge w:val="restart"/>
          </w:tcPr>
          <w:p>
            <w:pPr>
              <w:ind w:left="180"/>
              <w:spacing w:after="0"/>
              <w:rPr>
                <w:sz w:val="20"/>
                <w:szCs w:val="20"/>
                <w:color w:val="auto"/>
              </w:rPr>
            </w:pPr>
            <w:r>
              <w:rPr>
                <w:rFonts w:ascii="Arial" w:cs="Arial" w:eastAsia="Arial" w:hAnsi="Arial"/>
                <w:sz w:val="13"/>
                <w:szCs w:val="13"/>
                <w:b w:val="1"/>
                <w:bCs w:val="1"/>
                <w:color w:val="auto"/>
              </w:rPr>
              <w:t>Total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380" w:type="dxa"/>
            <w:vAlign w:val="bottom"/>
            <w:gridSpan w:val="2"/>
          </w:tcPr>
          <w:p>
            <w:pPr>
              <w:spacing w:after="0"/>
              <w:rPr>
                <w:sz w:val="20"/>
                <w:szCs w:val="20"/>
                <w:color w:val="auto"/>
              </w:rPr>
            </w:pPr>
            <w:r>
              <w:rPr>
                <w:rFonts w:ascii="Arial" w:cs="Arial" w:eastAsia="Arial" w:hAnsi="Arial"/>
                <w:sz w:val="13"/>
                <w:szCs w:val="13"/>
                <w:color w:val="auto"/>
              </w:rPr>
              <w:t>(in millions)</w:t>
            </w:r>
          </w:p>
        </w:tc>
        <w:tc>
          <w:tcPr>
            <w:tcW w:w="120" w:type="dxa"/>
            <w:vAlign w:val="bottom"/>
          </w:tcPr>
          <w:p>
            <w:pPr>
              <w:spacing w:after="0"/>
              <w:rPr>
                <w:sz w:val="13"/>
                <w:szCs w:val="13"/>
                <w:color w:val="auto"/>
              </w:rPr>
            </w:pPr>
          </w:p>
        </w:tc>
        <w:tc>
          <w:tcPr>
            <w:tcW w:w="1060" w:type="dxa"/>
            <w:vAlign w:val="bottom"/>
          </w:tcPr>
          <w:p>
            <w:pPr>
              <w:jc w:val="center"/>
              <w:ind w:right="44"/>
              <w:spacing w:after="0"/>
              <w:rPr>
                <w:sz w:val="20"/>
                <w:szCs w:val="20"/>
                <w:color w:val="auto"/>
              </w:rPr>
            </w:pPr>
            <w:r>
              <w:rPr>
                <w:rFonts w:ascii="Arial" w:cs="Arial" w:eastAsia="Arial" w:hAnsi="Arial"/>
                <w:sz w:val="13"/>
                <w:szCs w:val="13"/>
                <w:b w:val="1"/>
                <w:bCs w:val="1"/>
                <w:color w:val="auto"/>
                <w:w w:val="94"/>
              </w:rPr>
              <w:t>(Level 1)</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jc w:val="center"/>
              <w:ind w:right="103"/>
              <w:spacing w:after="0"/>
              <w:rPr>
                <w:sz w:val="20"/>
                <w:szCs w:val="20"/>
                <w:color w:val="auto"/>
              </w:rPr>
            </w:pPr>
            <w:r>
              <w:rPr>
                <w:rFonts w:ascii="Arial" w:cs="Arial" w:eastAsia="Arial" w:hAnsi="Arial"/>
                <w:sz w:val="13"/>
                <w:szCs w:val="13"/>
                <w:b w:val="1"/>
                <w:bCs w:val="1"/>
                <w:color w:val="auto"/>
                <w:w w:val="90"/>
              </w:rPr>
              <w:t>(Level 2)</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90"/>
              </w:rPr>
              <w:t>(Level 3)</w:t>
            </w:r>
          </w:p>
        </w:tc>
        <w:tc>
          <w:tcPr>
            <w:tcW w:w="160" w:type="dxa"/>
            <w:vAlign w:val="bottom"/>
          </w:tcPr>
          <w:p>
            <w:pPr>
              <w:spacing w:after="0"/>
              <w:rPr>
                <w:sz w:val="13"/>
                <w:szCs w:val="13"/>
                <w:color w:val="auto"/>
              </w:rPr>
            </w:pPr>
          </w:p>
        </w:tc>
        <w:tc>
          <w:tcPr>
            <w:tcW w:w="1040" w:type="dxa"/>
            <w:vAlign w:val="bottom"/>
          </w:tcPr>
          <w:p>
            <w:pPr>
              <w:jc w:val="right"/>
              <w:ind w:right="402"/>
              <w:spacing w:after="0"/>
              <w:rPr>
                <w:sz w:val="20"/>
                <w:szCs w:val="20"/>
                <w:color w:val="auto"/>
              </w:rPr>
            </w:pPr>
            <w:r>
              <w:rPr>
                <w:rFonts w:ascii="Arial" w:cs="Arial" w:eastAsia="Arial" w:hAnsi="Arial"/>
                <w:sz w:val="13"/>
                <w:szCs w:val="13"/>
                <w:b w:val="1"/>
                <w:bCs w:val="1"/>
                <w:color w:val="auto"/>
              </w:rPr>
              <w:t>NAV</w:t>
            </w: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Cash and cash equivalents</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w:t>
            </w:r>
          </w:p>
        </w:tc>
        <w:tc>
          <w:tcPr>
            <w:tcW w:w="26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ind w:left="860"/>
              <w:spacing w:after="0"/>
              <w:rPr>
                <w:sz w:val="20"/>
                <w:szCs w:val="20"/>
                <w:color w:val="auto"/>
              </w:rPr>
            </w:pPr>
            <w:r>
              <w:rPr>
                <w:rFonts w:ascii="Arial" w:cs="Arial" w:eastAsia="Arial" w:hAnsi="Arial"/>
                <w:sz w:val="16"/>
                <w:szCs w:val="16"/>
                <w:color w:val="auto"/>
                <w:w w:val="99"/>
              </w:rPr>
              <w:t>—</w:t>
            </w:r>
          </w:p>
        </w:tc>
        <w:tc>
          <w:tcPr>
            <w:tcW w:w="24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240" w:type="dxa"/>
            <w:vAlign w:val="bottom"/>
            <w:tcBorders>
              <w:top w:val="single" w:sz="8" w:color="CFF0FC"/>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jc w:val="right"/>
              <w:ind w:right="124"/>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w:t>
            </w:r>
          </w:p>
        </w:tc>
        <w:tc>
          <w:tcPr>
            <w:tcW w:w="120" w:type="dxa"/>
            <w:vAlign w:val="bottom"/>
            <w:tcBorders>
              <w:top w:val="single" w:sz="8" w:color="CFF0FC"/>
            </w:tcBorders>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4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4360" w:type="dxa"/>
            <w:vAlign w:val="bottom"/>
            <w:shd w:val="clear" w:color="auto" w:fill="CFF0FC"/>
          </w:tcPr>
          <w:p>
            <w:pPr>
              <w:spacing w:after="0"/>
              <w:rPr>
                <w:sz w:val="20"/>
                <w:szCs w:val="20"/>
                <w:color w:val="auto"/>
              </w:rPr>
            </w:pPr>
            <w:r>
              <w:rPr>
                <w:rFonts w:ascii="Arial" w:cs="Arial" w:eastAsia="Arial" w:hAnsi="Arial"/>
                <w:sz w:val="16"/>
                <w:szCs w:val="16"/>
                <w:color w:val="auto"/>
              </w:rPr>
              <w:t>Equity Securities</w:t>
            </w:r>
          </w:p>
        </w:tc>
        <w:tc>
          <w:tcPr>
            <w:tcW w:w="12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ind w:left="8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w:t>
            </w: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w:t>
            </w:r>
          </w:p>
        </w:tc>
        <w:tc>
          <w:tcPr>
            <w:tcW w:w="12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4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4360" w:type="dxa"/>
            <w:vAlign w:val="bottom"/>
            <w:shd w:val="clear" w:color="auto" w:fill="CFF0FC"/>
          </w:tcPr>
          <w:p>
            <w:pPr>
              <w:spacing w:after="0"/>
              <w:rPr>
                <w:sz w:val="20"/>
                <w:szCs w:val="20"/>
                <w:color w:val="auto"/>
              </w:rPr>
            </w:pPr>
            <w:r>
              <w:rPr>
                <w:rFonts w:ascii="Arial" w:cs="Arial" w:eastAsia="Arial" w:hAnsi="Arial"/>
                <w:sz w:val="16"/>
                <w:szCs w:val="16"/>
                <w:color w:val="auto"/>
              </w:rPr>
              <w:t>Debt Securities:</w:t>
            </w:r>
          </w:p>
        </w:tc>
        <w:tc>
          <w:tcPr>
            <w:tcW w:w="1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360" w:type="dxa"/>
            <w:vAlign w:val="bottom"/>
          </w:tcPr>
          <w:p>
            <w:pPr>
              <w:ind w:left="200"/>
              <w:spacing w:after="0"/>
              <w:rPr>
                <w:sz w:val="20"/>
                <w:szCs w:val="20"/>
                <w:color w:val="auto"/>
              </w:rPr>
            </w:pPr>
            <w:r>
              <w:rPr>
                <w:rFonts w:ascii="Arial" w:cs="Arial" w:eastAsia="Arial" w:hAnsi="Arial"/>
                <w:sz w:val="16"/>
                <w:szCs w:val="16"/>
                <w:color w:val="auto"/>
              </w:rPr>
              <w:t>Government Bonds</w:t>
            </w: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ind w:left="8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79</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79</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3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Inflation-Linked Bonds</w:t>
            </w:r>
          </w:p>
        </w:tc>
        <w:tc>
          <w:tcPr>
            <w:tcW w:w="12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ind w:left="8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12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360" w:type="dxa"/>
            <w:vAlign w:val="bottom"/>
          </w:tcPr>
          <w:p>
            <w:pPr>
              <w:ind w:left="200"/>
              <w:spacing w:after="0"/>
              <w:rPr>
                <w:sz w:val="20"/>
                <w:szCs w:val="20"/>
                <w:color w:val="auto"/>
              </w:rPr>
            </w:pPr>
            <w:r>
              <w:rPr>
                <w:rFonts w:ascii="Arial" w:cs="Arial" w:eastAsia="Arial" w:hAnsi="Arial"/>
                <w:sz w:val="16"/>
                <w:szCs w:val="16"/>
                <w:color w:val="auto"/>
              </w:rPr>
              <w:t>Investment Grade Bonds</w:t>
            </w: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62</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ind w:left="8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76</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138</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3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Global High Yield &amp; Emerging Market Debt</w:t>
            </w:r>
          </w:p>
        </w:tc>
        <w:tc>
          <w:tcPr>
            <w:tcW w:w="12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ind w:left="8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w:t>
            </w: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4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4360" w:type="dxa"/>
            <w:vAlign w:val="bottom"/>
            <w:shd w:val="clear" w:color="auto" w:fill="CFF0FC"/>
          </w:tcPr>
          <w:p>
            <w:pPr>
              <w:spacing w:after="0"/>
              <w:rPr>
                <w:sz w:val="20"/>
                <w:szCs w:val="20"/>
                <w:color w:val="auto"/>
              </w:rPr>
            </w:pPr>
            <w:r>
              <w:rPr>
                <w:rFonts w:ascii="Arial" w:cs="Arial" w:eastAsia="Arial" w:hAnsi="Arial"/>
                <w:sz w:val="16"/>
                <w:szCs w:val="16"/>
                <w:color w:val="auto"/>
              </w:rPr>
              <w:t>Real Estate</w:t>
            </w:r>
          </w:p>
        </w:tc>
        <w:tc>
          <w:tcPr>
            <w:tcW w:w="12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ind w:left="8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w:t>
            </w: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4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4360" w:type="dxa"/>
            <w:vAlign w:val="bottom"/>
            <w:shd w:val="clear" w:color="auto" w:fill="CFF0FC"/>
          </w:tcPr>
          <w:p>
            <w:pPr>
              <w:spacing w:after="0"/>
              <w:rPr>
                <w:sz w:val="20"/>
                <w:szCs w:val="20"/>
                <w:color w:val="auto"/>
              </w:rPr>
            </w:pPr>
            <w:r>
              <w:rPr>
                <w:rFonts w:ascii="Arial" w:cs="Arial" w:eastAsia="Arial" w:hAnsi="Arial"/>
                <w:sz w:val="16"/>
                <w:szCs w:val="16"/>
                <w:color w:val="auto"/>
              </w:rPr>
              <w:t>Global Balanced Asset Allocation Funds</w:t>
            </w:r>
          </w:p>
        </w:tc>
        <w:tc>
          <w:tcPr>
            <w:tcW w:w="12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ind w:left="8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w:t>
            </w: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w:t>
            </w:r>
          </w:p>
        </w:tc>
        <w:tc>
          <w:tcPr>
            <w:tcW w:w="12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4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4360" w:type="dxa"/>
            <w:vAlign w:val="bottom"/>
            <w:shd w:val="clear" w:color="auto" w:fill="CFF0FC"/>
          </w:tcPr>
          <w:p>
            <w:pPr>
              <w:spacing w:after="0"/>
              <w:rPr>
                <w:sz w:val="20"/>
                <w:szCs w:val="20"/>
                <w:color w:val="auto"/>
              </w:rPr>
            </w:pPr>
            <w:r>
              <w:rPr>
                <w:rFonts w:ascii="Arial" w:cs="Arial" w:eastAsia="Arial" w:hAnsi="Arial"/>
                <w:sz w:val="16"/>
                <w:szCs w:val="16"/>
                <w:color w:val="auto"/>
              </w:rPr>
              <w:t>Other:</w:t>
            </w:r>
          </w:p>
        </w:tc>
        <w:tc>
          <w:tcPr>
            <w:tcW w:w="1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360" w:type="dxa"/>
            <w:vAlign w:val="bottom"/>
          </w:tcPr>
          <w:p>
            <w:pPr>
              <w:ind w:left="200"/>
              <w:spacing w:after="0"/>
              <w:rPr>
                <w:sz w:val="20"/>
                <w:szCs w:val="20"/>
                <w:color w:val="auto"/>
              </w:rPr>
            </w:pPr>
            <w:r>
              <w:rPr>
                <w:rFonts w:ascii="Arial" w:cs="Arial" w:eastAsia="Arial" w:hAnsi="Arial"/>
                <w:sz w:val="16"/>
                <w:szCs w:val="16"/>
                <w:color w:val="auto"/>
              </w:rPr>
              <w:t>Absolute Return</w:t>
            </w: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ind w:left="8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3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Private Equity</w:t>
            </w:r>
          </w:p>
        </w:tc>
        <w:tc>
          <w:tcPr>
            <w:tcW w:w="12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ind w:left="8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w:t>
            </w: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w:t>
            </w:r>
          </w:p>
        </w:tc>
        <w:tc>
          <w:tcPr>
            <w:tcW w:w="12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360" w:type="dxa"/>
            <w:vAlign w:val="bottom"/>
          </w:tcPr>
          <w:p>
            <w:pPr>
              <w:ind w:left="200"/>
              <w:spacing w:after="0"/>
              <w:rPr>
                <w:sz w:val="20"/>
                <w:szCs w:val="20"/>
                <w:color w:val="auto"/>
              </w:rPr>
            </w:pPr>
            <w:r>
              <w:rPr>
                <w:rFonts w:ascii="Arial" w:cs="Arial" w:eastAsia="Arial" w:hAnsi="Arial"/>
                <w:sz w:val="16"/>
                <w:szCs w:val="16"/>
                <w:color w:val="auto"/>
              </w:rPr>
              <w:t>Insurance Contracts</w:t>
            </w: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358</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ind w:left="8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358</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3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Derivatives with unrealized gains</w:t>
            </w:r>
          </w:p>
        </w:tc>
        <w:tc>
          <w:tcPr>
            <w:tcW w:w="12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ind w:left="8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26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420</w:t>
            </w:r>
          </w:p>
        </w:tc>
        <w:tc>
          <w:tcPr>
            <w:tcW w:w="24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ind w:left="860"/>
              <w:spacing w:after="0"/>
              <w:rPr>
                <w:sz w:val="20"/>
                <w:szCs w:val="20"/>
                <w:color w:val="auto"/>
              </w:rPr>
            </w:pPr>
            <w:r>
              <w:rPr>
                <w:rFonts w:ascii="Arial" w:cs="Arial" w:eastAsia="Arial" w:hAnsi="Arial"/>
                <w:sz w:val="16"/>
                <w:szCs w:val="16"/>
                <w:color w:val="auto"/>
                <w:w w:val="99"/>
              </w:rPr>
              <w:t>—</w:t>
            </w:r>
          </w:p>
        </w:tc>
        <w:tc>
          <w:tcPr>
            <w:tcW w:w="24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294</w:t>
            </w:r>
          </w:p>
        </w:tc>
        <w:tc>
          <w:tcPr>
            <w:tcW w:w="24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24"/>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721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jc w:val="right"/>
              <w:spacing w:after="0"/>
              <w:rPr>
                <w:sz w:val="20"/>
                <w:szCs w:val="20"/>
                <w:color w:val="auto"/>
              </w:rPr>
            </w:pPr>
            <w:r>
              <w:rPr>
                <w:rFonts w:ascii="Arial" w:cs="Arial" w:eastAsia="Arial" w:hAnsi="Arial"/>
                <w:sz w:val="16"/>
                <w:szCs w:val="16"/>
                <w:color w:val="auto"/>
              </w:rPr>
              <w:t>88</w:t>
            </w: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0"/>
        </w:trPr>
        <w:tc>
          <w:tcPr>
            <w:tcW w:w="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43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7253605</wp:posOffset>
            </wp:positionH>
            <wp:positionV relativeFrom="paragraph">
              <wp:posOffset>-27305</wp:posOffset>
            </wp:positionV>
            <wp:extent cx="33020" cy="406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-27305</wp:posOffset>
            </wp:positionV>
            <wp:extent cx="33020" cy="406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460"/>
          </w:cols>
          <w:pgMar w:left="240" w:top="413" w:right="199" w:bottom="1440" w:gutter="0" w:footer="0" w:header="0"/>
        </w:sectPr>
      </w:pPr>
    </w:p>
    <w:bookmarkStart w:id="88" w:name="page89"/>
    <w:bookmarkEnd w:id="88"/>
    <w:p>
      <w:pPr>
        <w:spacing w:after="0"/>
        <w:rPr>
          <w:sz w:val="20"/>
          <w:szCs w:val="20"/>
          <w:color w:val="auto"/>
        </w:rPr>
      </w:pPr>
      <w:r>
        <w:rPr>
          <w:rFonts w:ascii="Arial" w:cs="Arial" w:eastAsia="Arial" w:hAnsi="Arial"/>
          <w:sz w:val="16"/>
          <w:szCs w:val="16"/>
          <w:b w:val="1"/>
          <w:bCs w:val="1"/>
          <w:color w:val="auto"/>
        </w:rPr>
        <w:t>Major Non-U.S. Plans</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December 31, 2016</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43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3"/>
                <w:szCs w:val="13"/>
                <w:b w:val="1"/>
                <w:bCs w:val="1"/>
                <w:color w:val="auto"/>
                <w:w w:val="90"/>
              </w:rPr>
              <w:t>Non - U.S.</w:t>
            </w:r>
          </w:p>
        </w:tc>
        <w:tc>
          <w:tcPr>
            <w:tcW w:w="1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2"/>
          </w:tcPr>
          <w:p>
            <w:pPr>
              <w:jc w:val="center"/>
              <w:ind w:right="280"/>
              <w:spacing w:after="0" w:line="118" w:lineRule="exact"/>
              <w:rPr>
                <w:sz w:val="20"/>
                <w:szCs w:val="20"/>
                <w:color w:val="auto"/>
              </w:rPr>
            </w:pPr>
            <w:r>
              <w:rPr>
                <w:rFonts w:ascii="Arial" w:cs="Arial" w:eastAsia="Arial" w:hAnsi="Arial"/>
                <w:sz w:val="13"/>
                <w:szCs w:val="13"/>
                <w:b w:val="1"/>
                <w:bCs w:val="1"/>
                <w:color w:val="auto"/>
                <w:w w:val="88"/>
              </w:rPr>
              <w:t>Quoted Prices</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vMerge w:val="restart"/>
          </w:tcPr>
          <w:p>
            <w:pPr>
              <w:jc w:val="center"/>
              <w:ind w:right="103"/>
              <w:spacing w:after="0"/>
              <w:rPr>
                <w:sz w:val="20"/>
                <w:szCs w:val="20"/>
                <w:color w:val="auto"/>
              </w:rPr>
            </w:pPr>
            <w:r>
              <w:rPr>
                <w:rFonts w:ascii="Arial" w:cs="Arial" w:eastAsia="Arial" w:hAnsi="Arial"/>
                <w:sz w:val="13"/>
                <w:szCs w:val="13"/>
                <w:b w:val="1"/>
                <w:bCs w:val="1"/>
                <w:color w:val="auto"/>
                <w:w w:val="90"/>
              </w:rPr>
              <w:t>Significant</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80" w:type="dxa"/>
            <w:vAlign w:val="bottom"/>
            <w:gridSpan w:val="2"/>
            <w:vMerge w:val="restart"/>
          </w:tcPr>
          <w:p>
            <w:pPr>
              <w:jc w:val="center"/>
              <w:ind w:right="400"/>
              <w:spacing w:after="0"/>
              <w:rPr>
                <w:sz w:val="20"/>
                <w:szCs w:val="20"/>
                <w:color w:val="auto"/>
              </w:rPr>
            </w:pPr>
            <w:r>
              <w:rPr>
                <w:rFonts w:ascii="Arial" w:cs="Arial" w:eastAsia="Arial" w:hAnsi="Arial"/>
                <w:sz w:val="13"/>
                <w:szCs w:val="13"/>
                <w:b w:val="1"/>
                <w:bCs w:val="1"/>
                <w:color w:val="auto"/>
                <w:w w:val="90"/>
              </w:rPr>
              <w:t>Significant</w:t>
            </w:r>
          </w:p>
        </w:tc>
        <w:tc>
          <w:tcPr>
            <w:tcW w:w="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jc w:val="center"/>
              <w:ind w:right="280"/>
              <w:spacing w:after="0" w:line="133" w:lineRule="exact"/>
              <w:rPr>
                <w:sz w:val="20"/>
                <w:szCs w:val="20"/>
                <w:color w:val="auto"/>
              </w:rPr>
            </w:pPr>
            <w:r>
              <w:rPr>
                <w:rFonts w:ascii="Arial" w:cs="Arial" w:eastAsia="Arial" w:hAnsi="Arial"/>
                <w:sz w:val="13"/>
                <w:szCs w:val="13"/>
                <w:b w:val="1"/>
                <w:bCs w:val="1"/>
                <w:color w:val="auto"/>
                <w:w w:val="92"/>
              </w:rPr>
              <w:t>in Active</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jc w:val="center"/>
              <w:ind w:right="280"/>
              <w:spacing w:after="0" w:line="133" w:lineRule="exact"/>
              <w:rPr>
                <w:sz w:val="20"/>
                <w:szCs w:val="20"/>
                <w:color w:val="auto"/>
              </w:rPr>
            </w:pPr>
            <w:r>
              <w:rPr>
                <w:rFonts w:ascii="Arial" w:cs="Arial" w:eastAsia="Arial" w:hAnsi="Arial"/>
                <w:sz w:val="13"/>
                <w:szCs w:val="13"/>
                <w:b w:val="1"/>
                <w:bCs w:val="1"/>
                <w:color w:val="auto"/>
                <w:w w:val="94"/>
              </w:rPr>
              <w:t>Markets for</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jc w:val="center"/>
              <w:ind w:right="103"/>
              <w:spacing w:after="0" w:line="133" w:lineRule="exact"/>
              <w:rPr>
                <w:sz w:val="20"/>
                <w:szCs w:val="20"/>
                <w:color w:val="auto"/>
              </w:rPr>
            </w:pPr>
            <w:r>
              <w:rPr>
                <w:rFonts w:ascii="Arial" w:cs="Arial" w:eastAsia="Arial" w:hAnsi="Arial"/>
                <w:sz w:val="13"/>
                <w:szCs w:val="13"/>
                <w:b w:val="1"/>
                <w:bCs w:val="1"/>
                <w:color w:val="auto"/>
                <w:w w:val="90"/>
              </w:rPr>
              <w:t>Observable</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tcPr>
          <w:p>
            <w:pPr>
              <w:jc w:val="center"/>
              <w:ind w:right="400"/>
              <w:spacing w:after="0" w:line="133" w:lineRule="exact"/>
              <w:rPr>
                <w:sz w:val="20"/>
                <w:szCs w:val="20"/>
                <w:color w:val="auto"/>
              </w:rPr>
            </w:pPr>
            <w:r>
              <w:rPr>
                <w:rFonts w:ascii="Arial" w:cs="Arial" w:eastAsia="Arial" w:hAnsi="Arial"/>
                <w:sz w:val="13"/>
                <w:szCs w:val="13"/>
                <w:b w:val="1"/>
                <w:bCs w:val="1"/>
                <w:color w:val="auto"/>
                <w:w w:val="88"/>
              </w:rPr>
              <w:t>Unobservable</w:t>
            </w:r>
          </w:p>
        </w:tc>
        <w:tc>
          <w:tcPr>
            <w:tcW w:w="160" w:type="dxa"/>
            <w:vAlign w:val="bottom"/>
          </w:tcPr>
          <w:p>
            <w:pPr>
              <w:spacing w:after="0"/>
              <w:rPr>
                <w:sz w:val="11"/>
                <w:szCs w:val="11"/>
                <w:color w:val="auto"/>
              </w:rPr>
            </w:pPr>
          </w:p>
        </w:tc>
        <w:tc>
          <w:tcPr>
            <w:tcW w:w="1280" w:type="dxa"/>
            <w:vAlign w:val="bottom"/>
            <w:gridSpan w:val="2"/>
            <w:vMerge w:val="restart"/>
          </w:tcPr>
          <w:p>
            <w:pPr>
              <w:jc w:val="center"/>
              <w:ind w:right="400"/>
              <w:spacing w:after="0"/>
              <w:rPr>
                <w:sz w:val="20"/>
                <w:szCs w:val="20"/>
                <w:color w:val="auto"/>
              </w:rPr>
            </w:pPr>
            <w:r>
              <w:rPr>
                <w:rFonts w:ascii="Arial" w:cs="Arial" w:eastAsia="Arial" w:hAnsi="Arial"/>
                <w:sz w:val="13"/>
                <w:szCs w:val="13"/>
                <w:b w:val="1"/>
                <w:bCs w:val="1"/>
                <w:color w:val="auto"/>
                <w:w w:val="89"/>
              </w:rPr>
              <w:t>Measured at</w:t>
            </w: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jc w:val="center"/>
              <w:ind w:right="280"/>
              <w:spacing w:after="0" w:line="133" w:lineRule="exact"/>
              <w:rPr>
                <w:sz w:val="20"/>
                <w:szCs w:val="20"/>
                <w:color w:val="auto"/>
              </w:rPr>
            </w:pPr>
            <w:r>
              <w:rPr>
                <w:rFonts w:ascii="Arial" w:cs="Arial" w:eastAsia="Arial" w:hAnsi="Arial"/>
                <w:sz w:val="13"/>
                <w:szCs w:val="13"/>
                <w:b w:val="1"/>
                <w:bCs w:val="1"/>
                <w:color w:val="auto"/>
                <w:w w:val="86"/>
              </w:rPr>
              <w:t>Identical Assets</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jc w:val="center"/>
              <w:ind w:right="103"/>
              <w:spacing w:after="0" w:line="133" w:lineRule="exact"/>
              <w:rPr>
                <w:sz w:val="20"/>
                <w:szCs w:val="20"/>
                <w:color w:val="auto"/>
              </w:rPr>
            </w:pPr>
            <w:r>
              <w:rPr>
                <w:rFonts w:ascii="Arial" w:cs="Arial" w:eastAsia="Arial" w:hAnsi="Arial"/>
                <w:sz w:val="13"/>
                <w:szCs w:val="13"/>
                <w:b w:val="1"/>
                <w:bCs w:val="1"/>
                <w:color w:val="auto"/>
                <w:w w:val="92"/>
              </w:rPr>
              <w:t>Inputs</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tcPr>
          <w:p>
            <w:pPr>
              <w:jc w:val="center"/>
              <w:ind w:right="400"/>
              <w:spacing w:after="0" w:line="133" w:lineRule="exact"/>
              <w:rPr>
                <w:sz w:val="20"/>
                <w:szCs w:val="20"/>
                <w:color w:val="auto"/>
              </w:rPr>
            </w:pPr>
            <w:r>
              <w:rPr>
                <w:rFonts w:ascii="Arial" w:cs="Arial" w:eastAsia="Arial" w:hAnsi="Arial"/>
                <w:sz w:val="13"/>
                <w:szCs w:val="13"/>
                <w:b w:val="1"/>
                <w:bCs w:val="1"/>
                <w:color w:val="auto"/>
                <w:w w:val="92"/>
              </w:rPr>
              <w:t>Inputs</w:t>
            </w:r>
          </w:p>
        </w:tc>
        <w:tc>
          <w:tcPr>
            <w:tcW w:w="16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gridSpan w:val="2"/>
            <w:vMerge w:val="restart"/>
          </w:tcPr>
          <w:p>
            <w:pPr>
              <w:jc w:val="right"/>
              <w:ind w:right="60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53"/>
        </w:trPr>
        <w:tc>
          <w:tcPr>
            <w:tcW w:w="4380" w:type="dxa"/>
            <w:vAlign w:val="bottom"/>
            <w:gridSpan w:val="2"/>
          </w:tcPr>
          <w:p>
            <w:pPr>
              <w:spacing w:after="0"/>
              <w:rPr>
                <w:sz w:val="20"/>
                <w:szCs w:val="20"/>
                <w:color w:val="auto"/>
              </w:rPr>
            </w:pPr>
            <w:r>
              <w:rPr>
                <w:rFonts w:ascii="Arial" w:cs="Arial" w:eastAsia="Arial" w:hAnsi="Arial"/>
                <w:sz w:val="13"/>
                <w:szCs w:val="13"/>
                <w:color w:val="auto"/>
              </w:rPr>
              <w:t>(in millions)</w:t>
            </w:r>
          </w:p>
        </w:tc>
        <w:tc>
          <w:tcPr>
            <w:tcW w:w="120" w:type="dxa"/>
            <w:vAlign w:val="bottom"/>
          </w:tcPr>
          <w:p>
            <w:pPr>
              <w:spacing w:after="0"/>
              <w:rPr>
                <w:sz w:val="13"/>
                <w:szCs w:val="13"/>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4"/>
              </w:rPr>
              <w:t>(Level 1)</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jc w:val="center"/>
              <w:ind w:right="103"/>
              <w:spacing w:after="0"/>
              <w:rPr>
                <w:sz w:val="20"/>
                <w:szCs w:val="20"/>
                <w:color w:val="auto"/>
              </w:rPr>
            </w:pPr>
            <w:r>
              <w:rPr>
                <w:rFonts w:ascii="Arial" w:cs="Arial" w:eastAsia="Arial" w:hAnsi="Arial"/>
                <w:sz w:val="13"/>
                <w:szCs w:val="13"/>
                <w:b w:val="1"/>
                <w:bCs w:val="1"/>
                <w:color w:val="auto"/>
                <w:w w:val="90"/>
              </w:rPr>
              <w:t>(Level 2)</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90"/>
              </w:rPr>
              <w:t>(Level 3)</w:t>
            </w:r>
          </w:p>
        </w:tc>
        <w:tc>
          <w:tcPr>
            <w:tcW w:w="160" w:type="dxa"/>
            <w:vAlign w:val="bottom"/>
          </w:tcPr>
          <w:p>
            <w:pPr>
              <w:spacing w:after="0"/>
              <w:rPr>
                <w:sz w:val="13"/>
                <w:szCs w:val="13"/>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w w:val="94"/>
              </w:rPr>
              <w:t>NAV</w:t>
            </w: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Cash and cash equivalents</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w:t>
            </w:r>
          </w:p>
        </w:tc>
        <w:tc>
          <w:tcPr>
            <w:tcW w:w="1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ind w:left="860"/>
              <w:spacing w:after="0"/>
              <w:rPr>
                <w:sz w:val="20"/>
                <w:szCs w:val="20"/>
                <w:color w:val="auto"/>
              </w:rPr>
            </w:pPr>
            <w:r>
              <w:rPr>
                <w:rFonts w:ascii="Arial" w:cs="Arial" w:eastAsia="Arial" w:hAnsi="Arial"/>
                <w:sz w:val="16"/>
                <w:szCs w:val="16"/>
                <w:color w:val="auto"/>
                <w:w w:val="99"/>
              </w:rPr>
              <w:t>—</w:t>
            </w:r>
          </w:p>
        </w:tc>
        <w:tc>
          <w:tcPr>
            <w:tcW w:w="24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w:t>
            </w:r>
          </w:p>
        </w:tc>
        <w:tc>
          <w:tcPr>
            <w:tcW w:w="24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jc w:val="right"/>
              <w:ind w:right="150"/>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w:t>
            </w: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4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4360" w:type="dxa"/>
            <w:vAlign w:val="bottom"/>
            <w:shd w:val="clear" w:color="auto" w:fill="CFF0FC"/>
          </w:tcPr>
          <w:p>
            <w:pPr>
              <w:spacing w:after="0"/>
              <w:rPr>
                <w:sz w:val="20"/>
                <w:szCs w:val="20"/>
                <w:color w:val="auto"/>
              </w:rPr>
            </w:pPr>
            <w:r>
              <w:rPr>
                <w:rFonts w:ascii="Arial" w:cs="Arial" w:eastAsia="Arial" w:hAnsi="Arial"/>
                <w:sz w:val="16"/>
                <w:szCs w:val="16"/>
                <w:color w:val="auto"/>
              </w:rPr>
              <w:t>Equity Securities</w:t>
            </w:r>
          </w:p>
        </w:tc>
        <w:tc>
          <w:tcPr>
            <w:tcW w:w="12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ind w:left="8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w:t>
            </w:r>
          </w:p>
        </w:tc>
        <w:tc>
          <w:tcPr>
            <w:tcW w:w="2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4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4360" w:type="dxa"/>
            <w:vAlign w:val="bottom"/>
            <w:shd w:val="clear" w:color="auto" w:fill="CFF0FC"/>
          </w:tcPr>
          <w:p>
            <w:pPr>
              <w:spacing w:after="0"/>
              <w:rPr>
                <w:sz w:val="20"/>
                <w:szCs w:val="20"/>
                <w:color w:val="auto"/>
              </w:rPr>
            </w:pPr>
            <w:r>
              <w:rPr>
                <w:rFonts w:ascii="Arial" w:cs="Arial" w:eastAsia="Arial" w:hAnsi="Arial"/>
                <w:sz w:val="16"/>
                <w:szCs w:val="16"/>
                <w:color w:val="auto"/>
              </w:rPr>
              <w:t>Debt Securities:</w:t>
            </w:r>
          </w:p>
        </w:tc>
        <w:tc>
          <w:tcPr>
            <w:tcW w:w="1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360" w:type="dxa"/>
            <w:vAlign w:val="bottom"/>
          </w:tcPr>
          <w:p>
            <w:pPr>
              <w:ind w:left="200"/>
              <w:spacing w:after="0"/>
              <w:rPr>
                <w:sz w:val="20"/>
                <w:szCs w:val="20"/>
                <w:color w:val="auto"/>
              </w:rPr>
            </w:pPr>
            <w:r>
              <w:rPr>
                <w:rFonts w:ascii="Arial" w:cs="Arial" w:eastAsia="Arial" w:hAnsi="Arial"/>
                <w:sz w:val="16"/>
                <w:szCs w:val="16"/>
                <w:color w:val="auto"/>
              </w:rPr>
              <w:t>Government Bonds</w:t>
            </w:r>
          </w:p>
        </w:tc>
        <w:tc>
          <w:tcPr>
            <w:tcW w:w="12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ind w:left="8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86</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3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Inflation-Linked Bonds</w:t>
            </w:r>
          </w:p>
        </w:tc>
        <w:tc>
          <w:tcPr>
            <w:tcW w:w="12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ind w:left="8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2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360" w:type="dxa"/>
            <w:vAlign w:val="bottom"/>
          </w:tcPr>
          <w:p>
            <w:pPr>
              <w:ind w:left="200"/>
              <w:spacing w:after="0"/>
              <w:rPr>
                <w:sz w:val="20"/>
                <w:szCs w:val="20"/>
                <w:color w:val="auto"/>
              </w:rPr>
            </w:pPr>
            <w:r>
              <w:rPr>
                <w:rFonts w:ascii="Arial" w:cs="Arial" w:eastAsia="Arial" w:hAnsi="Arial"/>
                <w:sz w:val="16"/>
                <w:szCs w:val="16"/>
                <w:color w:val="auto"/>
              </w:rPr>
              <w:t>Investment Grade Bonds</w:t>
            </w:r>
          </w:p>
        </w:tc>
        <w:tc>
          <w:tcPr>
            <w:tcW w:w="12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59</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ind w:left="8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57</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3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Global High Yield &amp; Emerging Market Debt</w:t>
            </w:r>
          </w:p>
        </w:tc>
        <w:tc>
          <w:tcPr>
            <w:tcW w:w="12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ind w:left="8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w:t>
            </w:r>
          </w:p>
        </w:tc>
        <w:tc>
          <w:tcPr>
            <w:tcW w:w="2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4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4360" w:type="dxa"/>
            <w:vAlign w:val="bottom"/>
            <w:shd w:val="clear" w:color="auto" w:fill="CFF0FC"/>
          </w:tcPr>
          <w:p>
            <w:pPr>
              <w:spacing w:after="0"/>
              <w:rPr>
                <w:sz w:val="20"/>
                <w:szCs w:val="20"/>
                <w:color w:val="auto"/>
              </w:rPr>
            </w:pPr>
            <w:r>
              <w:rPr>
                <w:rFonts w:ascii="Arial" w:cs="Arial" w:eastAsia="Arial" w:hAnsi="Arial"/>
                <w:sz w:val="16"/>
                <w:szCs w:val="16"/>
                <w:color w:val="auto"/>
              </w:rPr>
              <w:t>Real Estate</w:t>
            </w:r>
          </w:p>
        </w:tc>
        <w:tc>
          <w:tcPr>
            <w:tcW w:w="12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ind w:left="8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w:t>
            </w:r>
          </w:p>
        </w:tc>
        <w:tc>
          <w:tcPr>
            <w:tcW w:w="2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4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4360" w:type="dxa"/>
            <w:vAlign w:val="bottom"/>
            <w:shd w:val="clear" w:color="auto" w:fill="CFF0FC"/>
          </w:tcPr>
          <w:p>
            <w:pPr>
              <w:spacing w:after="0"/>
              <w:rPr>
                <w:sz w:val="20"/>
                <w:szCs w:val="20"/>
                <w:color w:val="auto"/>
              </w:rPr>
            </w:pPr>
            <w:r>
              <w:rPr>
                <w:rFonts w:ascii="Arial" w:cs="Arial" w:eastAsia="Arial" w:hAnsi="Arial"/>
                <w:sz w:val="16"/>
                <w:szCs w:val="16"/>
                <w:color w:val="auto"/>
              </w:rPr>
              <w:t>Global Balanced Asset Allocation Funds</w:t>
            </w:r>
          </w:p>
        </w:tc>
        <w:tc>
          <w:tcPr>
            <w:tcW w:w="12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ind w:left="8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w:t>
            </w:r>
          </w:p>
        </w:tc>
        <w:tc>
          <w:tcPr>
            <w:tcW w:w="2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4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4360" w:type="dxa"/>
            <w:vAlign w:val="bottom"/>
            <w:shd w:val="clear" w:color="auto" w:fill="CFF0FC"/>
          </w:tcPr>
          <w:p>
            <w:pPr>
              <w:spacing w:after="0"/>
              <w:rPr>
                <w:sz w:val="20"/>
                <w:szCs w:val="20"/>
                <w:color w:val="auto"/>
              </w:rPr>
            </w:pPr>
            <w:r>
              <w:rPr>
                <w:rFonts w:ascii="Arial" w:cs="Arial" w:eastAsia="Arial" w:hAnsi="Arial"/>
                <w:sz w:val="16"/>
                <w:szCs w:val="16"/>
                <w:color w:val="auto"/>
              </w:rPr>
              <w:t>Other:</w:t>
            </w:r>
          </w:p>
        </w:tc>
        <w:tc>
          <w:tcPr>
            <w:tcW w:w="1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360" w:type="dxa"/>
            <w:vAlign w:val="bottom"/>
          </w:tcPr>
          <w:p>
            <w:pPr>
              <w:ind w:left="200"/>
              <w:spacing w:after="0"/>
              <w:rPr>
                <w:sz w:val="20"/>
                <w:szCs w:val="20"/>
                <w:color w:val="auto"/>
              </w:rPr>
            </w:pPr>
            <w:r>
              <w:rPr>
                <w:rFonts w:ascii="Arial" w:cs="Arial" w:eastAsia="Arial" w:hAnsi="Arial"/>
                <w:sz w:val="16"/>
                <w:szCs w:val="16"/>
                <w:color w:val="auto"/>
              </w:rPr>
              <w:t>Absolute Return</w:t>
            </w:r>
          </w:p>
        </w:tc>
        <w:tc>
          <w:tcPr>
            <w:tcW w:w="12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ind w:left="8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3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Private Equity</w:t>
            </w:r>
          </w:p>
        </w:tc>
        <w:tc>
          <w:tcPr>
            <w:tcW w:w="12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ind w:left="8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w:t>
            </w:r>
          </w:p>
        </w:tc>
        <w:tc>
          <w:tcPr>
            <w:tcW w:w="2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360" w:type="dxa"/>
            <w:vAlign w:val="bottom"/>
          </w:tcPr>
          <w:p>
            <w:pPr>
              <w:ind w:left="200"/>
              <w:spacing w:after="0"/>
              <w:rPr>
                <w:sz w:val="20"/>
                <w:szCs w:val="20"/>
                <w:color w:val="auto"/>
              </w:rPr>
            </w:pPr>
            <w:r>
              <w:rPr>
                <w:rFonts w:ascii="Arial" w:cs="Arial" w:eastAsia="Arial" w:hAnsi="Arial"/>
                <w:sz w:val="16"/>
                <w:szCs w:val="16"/>
                <w:color w:val="auto"/>
              </w:rPr>
              <w:t>Insurance Contracts</w:t>
            </w:r>
          </w:p>
        </w:tc>
        <w:tc>
          <w:tcPr>
            <w:tcW w:w="12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333</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ind w:left="8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333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3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Derivatives with unrealized gains</w:t>
            </w:r>
          </w:p>
        </w:tc>
        <w:tc>
          <w:tcPr>
            <w:tcW w:w="12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(3)</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ind w:left="8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392</w:t>
            </w:r>
          </w:p>
        </w:tc>
        <w:tc>
          <w:tcPr>
            <w:tcW w:w="24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ind w:left="860"/>
              <w:spacing w:after="0"/>
              <w:rPr>
                <w:sz w:val="20"/>
                <w:szCs w:val="20"/>
                <w:color w:val="auto"/>
              </w:rPr>
            </w:pPr>
            <w:r>
              <w:rPr>
                <w:rFonts w:ascii="Arial" w:cs="Arial" w:eastAsia="Arial" w:hAnsi="Arial"/>
                <w:sz w:val="16"/>
                <w:szCs w:val="16"/>
                <w:color w:val="auto"/>
                <w:w w:val="99"/>
              </w:rPr>
              <w:t>—</w:t>
            </w:r>
          </w:p>
        </w:tc>
        <w:tc>
          <w:tcPr>
            <w:tcW w:w="24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295</w:t>
            </w:r>
          </w:p>
        </w:tc>
        <w:tc>
          <w:tcPr>
            <w:tcW w:w="2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693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For Kodak’s major non-U.S. defined benefit pension plans, equity investments are invested broadly in local equity, developed international and emerging markets. Fixed income investments are comprised primarily of government and investment grade corporate bonds. Real estate investments primarily include investments in limited partnerships that invest in office, industrial, and retail properties. Global Balanced Asset Allocation investments are commingled funds that hold a diversified portfolio of passive market exposures, including equities, debt, currencies and commodities. Absolute return investments are comprised of a diversified portfolio of hedge funds using equity, debt, commodity, and currency strategies held separate from the derivative-linked hedge funds described late in this footnote. Private equity investments are comprised of limited partnerships and fund-of-fund investments that invest in distressed investments, venture capital and leveraged buyouts. Insurance contracts are typically annuities from life insurance companies covering specific pension obligations.</w:t>
      </w:r>
    </w:p>
    <w:p>
      <w:pPr>
        <w:spacing w:after="0" w:line="77" w:lineRule="exact"/>
        <w:rPr>
          <w:sz w:val="20"/>
          <w:szCs w:val="20"/>
          <w:color w:val="auto"/>
        </w:rPr>
      </w:pPr>
    </w:p>
    <w:p>
      <w:pPr>
        <w:ind w:right="80"/>
        <w:spacing w:after="0" w:line="255" w:lineRule="auto"/>
        <w:rPr>
          <w:sz w:val="20"/>
          <w:szCs w:val="20"/>
          <w:color w:val="auto"/>
        </w:rPr>
      </w:pPr>
      <w:r>
        <w:rPr>
          <w:rFonts w:ascii="Arial" w:cs="Arial" w:eastAsia="Arial" w:hAnsi="Arial"/>
          <w:sz w:val="16"/>
          <w:szCs w:val="16"/>
          <w:color w:val="auto"/>
        </w:rPr>
        <w:t>For Kodak’s major defined benefit pension plans, certain investment managers are authorized to invest in derivatives such as futures, swaps, and currency forward contracts. Investments in derivatives are used to obtain desired exposure to a particular asset, index or bond duration and require only a portion of the total exposure to be invested as cash collateral. In instances where exposures are obtained via derivatives, the majority of the exposure value is available to be invested, and is typically invested, in a diversified portfolio of hedge fund strategies that generate returns in addition to the return generated by the derivatives. Of the December 31, 2017 investments shown in the major U.S. plans table above, 2% of the total pension assets represented equity securities exposure obtained via derivatives and are reported in equity securities, and 31% of the total pension assets represented U.S. government bond exposure, at 18 years target duration, obtained via derivatives and are reported in government bonds. Of the December 31, 2016 investments shown in the major U.S. plans table above, 10% of the total pension assets represented equity securities exposure obtained via derivatives and are reported in equity securities, and 23% of the total pension assets represented U.S. government bond exposure, at 18 years target duration, obtained via derivatives and are reported in government bonds.</w:t>
      </w:r>
    </w:p>
    <w:p>
      <w:pPr>
        <w:spacing w:after="0" w:line="78" w:lineRule="exact"/>
        <w:rPr>
          <w:sz w:val="20"/>
          <w:szCs w:val="20"/>
          <w:color w:val="auto"/>
        </w:rPr>
      </w:pPr>
    </w:p>
    <w:p>
      <w:pPr>
        <w:ind w:right="100"/>
        <w:spacing w:after="0" w:line="261" w:lineRule="auto"/>
        <w:rPr>
          <w:sz w:val="20"/>
          <w:szCs w:val="20"/>
          <w:color w:val="auto"/>
        </w:rPr>
      </w:pPr>
      <w:r>
        <w:rPr>
          <w:rFonts w:ascii="Arial" w:cs="Arial" w:eastAsia="Arial" w:hAnsi="Arial"/>
          <w:sz w:val="16"/>
          <w:szCs w:val="16"/>
          <w:color w:val="auto"/>
        </w:rPr>
        <w:t>Of the December 31, 2017 investments shown in the major Non-U.S. plans table above, 0% and 7% of the total pension assets represented derivative exposures to equity securities and government bonds (at 13 years target duration) and are reported in those respective classes. Of the December 31, 2016 investments shown in the major Non-U.S. plans table above, 0% and 9% of the total pension assets represented derivative exposures to equity securities and government bonds (at 13 years target duration) and are reported in those respective classes.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62865</wp:posOffset>
            </wp:positionV>
            <wp:extent cx="7301865" cy="406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301865" cy="40640"/>
                    </a:xfrm>
                    <a:prstGeom prst="rect">
                      <a:avLst/>
                    </a:prstGeom>
                    <a:noFill/>
                  </pic:spPr>
                </pic:pic>
              </a:graphicData>
            </a:graphic>
          </wp:anchor>
        </w:drawing>
      </w:r>
    </w:p>
    <w:p>
      <w:pPr>
        <w:sectPr>
          <w:pgSz w:w="11900" w:h="16838" w:orient="portrait"/>
          <w:cols w:equalWidth="0" w:num="1">
            <w:col w:w="11440"/>
          </w:cols>
          <w:pgMar w:left="240" w:top="220" w:right="219" w:bottom="1440" w:gutter="0" w:footer="0" w:header="0"/>
        </w:sectPr>
      </w:pPr>
    </w:p>
    <w:bookmarkStart w:id="89" w:name="page90"/>
    <w:bookmarkEnd w:id="89"/>
    <w:p>
      <w:pPr>
        <w:spacing w:after="0"/>
        <w:rPr>
          <w:sz w:val="20"/>
          <w:szCs w:val="20"/>
          <w:color w:val="auto"/>
        </w:rPr>
      </w:pPr>
      <w:r>
        <w:rPr>
          <w:rFonts w:ascii="Arial" w:cs="Arial" w:eastAsia="Arial" w:hAnsi="Arial"/>
          <w:sz w:val="16"/>
          <w:szCs w:val="16"/>
          <w:color w:val="auto"/>
        </w:rPr>
        <w:t>The following is a reconciliation of the beginning and ending balances of level 3 assets of Kodak’s major U.S. defined benefit pension plans: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30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gridSpan w:val="2"/>
          </w:tcPr>
          <w:p>
            <w:pPr>
              <w:jc w:val="right"/>
              <w:ind w:right="324"/>
              <w:spacing w:after="0"/>
              <w:rPr>
                <w:sz w:val="20"/>
                <w:szCs w:val="20"/>
                <w:color w:val="auto"/>
              </w:rPr>
            </w:pPr>
            <w:r>
              <w:rPr>
                <w:rFonts w:ascii="Arial" w:cs="Arial" w:eastAsia="Arial" w:hAnsi="Arial"/>
                <w:sz w:val="13"/>
                <w:szCs w:val="13"/>
                <w:b w:val="1"/>
                <w:bCs w:val="1"/>
                <w:color w:val="auto"/>
                <w:w w:val="94"/>
              </w:rPr>
              <w:t>U.S.</w:t>
            </w:r>
          </w:p>
        </w:tc>
        <w:tc>
          <w:tcPr>
            <w:tcW w:w="5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30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20" w:type="dxa"/>
            <w:vAlign w:val="bottom"/>
            <w:gridSpan w:val="5"/>
          </w:tcPr>
          <w:p>
            <w:pPr>
              <w:jc w:val="center"/>
              <w:ind w:right="80"/>
              <w:spacing w:after="0" w:line="118" w:lineRule="exact"/>
              <w:rPr>
                <w:sz w:val="20"/>
                <w:szCs w:val="20"/>
                <w:color w:val="auto"/>
              </w:rPr>
            </w:pPr>
            <w:r>
              <w:rPr>
                <w:rFonts w:ascii="Arial" w:cs="Arial" w:eastAsia="Arial" w:hAnsi="Arial"/>
                <w:sz w:val="13"/>
                <w:szCs w:val="13"/>
                <w:b w:val="1"/>
                <w:bCs w:val="1"/>
                <w:color w:val="auto"/>
                <w:w w:val="90"/>
              </w:rPr>
              <w:t>Net Realized and</w:t>
            </w: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60" w:type="dxa"/>
            <w:vAlign w:val="bottom"/>
            <w:gridSpan w:val="3"/>
            <w:vMerge w:val="restart"/>
          </w:tcPr>
          <w:p>
            <w:pPr>
              <w:jc w:val="center"/>
              <w:ind w:right="420"/>
              <w:spacing w:after="0"/>
              <w:rPr>
                <w:sz w:val="20"/>
                <w:szCs w:val="20"/>
                <w:color w:val="auto"/>
              </w:rPr>
            </w:pPr>
            <w:r>
              <w:rPr>
                <w:rFonts w:ascii="Arial" w:cs="Arial" w:eastAsia="Arial" w:hAnsi="Arial"/>
                <w:sz w:val="13"/>
                <w:szCs w:val="13"/>
                <w:b w:val="1"/>
                <w:bCs w:val="1"/>
                <w:color w:val="auto"/>
                <w:w w:val="91"/>
              </w:rPr>
              <w:t>Net Transfer</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30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120" w:type="dxa"/>
            <w:vAlign w:val="bottom"/>
            <w:vMerge w:val="restart"/>
          </w:tcPr>
          <w:p>
            <w:pPr>
              <w:jc w:val="center"/>
              <w:ind w:left="150"/>
              <w:spacing w:after="0"/>
              <w:rPr>
                <w:sz w:val="20"/>
                <w:szCs w:val="20"/>
                <w:color w:val="auto"/>
              </w:rPr>
            </w:pPr>
            <w:r>
              <w:rPr>
                <w:rFonts w:ascii="Arial" w:cs="Arial" w:eastAsia="Arial" w:hAnsi="Arial"/>
                <w:sz w:val="13"/>
                <w:szCs w:val="13"/>
                <w:b w:val="1"/>
                <w:bCs w:val="1"/>
                <w:color w:val="auto"/>
                <w:w w:val="89"/>
              </w:rPr>
              <w:t>Balance at</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20" w:type="dxa"/>
            <w:vAlign w:val="bottom"/>
            <w:gridSpan w:val="5"/>
          </w:tcPr>
          <w:p>
            <w:pPr>
              <w:jc w:val="center"/>
              <w:ind w:right="80"/>
              <w:spacing w:after="0" w:line="133" w:lineRule="exact"/>
              <w:rPr>
                <w:sz w:val="20"/>
                <w:szCs w:val="20"/>
                <w:color w:val="auto"/>
              </w:rPr>
            </w:pPr>
            <w:r>
              <w:rPr>
                <w:rFonts w:ascii="Arial" w:cs="Arial" w:eastAsia="Arial" w:hAnsi="Arial"/>
                <w:sz w:val="13"/>
                <w:szCs w:val="13"/>
                <w:b w:val="1"/>
                <w:bCs w:val="1"/>
                <w:color w:val="auto"/>
                <w:w w:val="89"/>
              </w:rPr>
              <w:t>Unrealized Gains and</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60" w:type="dxa"/>
            <w:vAlign w:val="bottom"/>
            <w:gridSpan w:val="3"/>
            <w:vMerge w:val="continue"/>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gridSpan w:val="2"/>
            <w:vMerge w:val="restart"/>
          </w:tcPr>
          <w:p>
            <w:pPr>
              <w:jc w:val="center"/>
              <w:ind w:right="260"/>
              <w:spacing w:after="0"/>
              <w:rPr>
                <w:sz w:val="20"/>
                <w:szCs w:val="20"/>
                <w:color w:val="auto"/>
              </w:rPr>
            </w:pPr>
            <w:r>
              <w:rPr>
                <w:rFonts w:ascii="Arial" w:cs="Arial" w:eastAsia="Arial" w:hAnsi="Arial"/>
                <w:sz w:val="13"/>
                <w:szCs w:val="13"/>
                <w:b w:val="1"/>
                <w:bCs w:val="1"/>
                <w:color w:val="auto"/>
                <w:w w:val="89"/>
              </w:rPr>
              <w:t>Balance at</w:t>
            </w:r>
          </w:p>
        </w:tc>
        <w:tc>
          <w:tcPr>
            <w:tcW w:w="0" w:type="dxa"/>
            <w:vAlign w:val="bottom"/>
          </w:tcPr>
          <w:p>
            <w:pPr>
              <w:spacing w:after="0"/>
              <w:rPr>
                <w:sz w:val="1"/>
                <w:szCs w:val="1"/>
                <w:color w:val="auto"/>
              </w:rPr>
            </w:pPr>
          </w:p>
        </w:tc>
      </w:tr>
      <w:tr>
        <w:trPr>
          <w:trHeight w:val="133"/>
        </w:trPr>
        <w:tc>
          <w:tcPr>
            <w:tcW w:w="230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20" w:type="dxa"/>
            <w:vAlign w:val="bottom"/>
            <w:gridSpan w:val="5"/>
          </w:tcPr>
          <w:p>
            <w:pPr>
              <w:jc w:val="center"/>
              <w:ind w:right="60"/>
              <w:spacing w:after="0" w:line="133" w:lineRule="exact"/>
              <w:rPr>
                <w:sz w:val="20"/>
                <w:szCs w:val="20"/>
                <w:color w:val="auto"/>
              </w:rPr>
            </w:pPr>
            <w:r>
              <w:rPr>
                <w:rFonts w:ascii="Arial" w:cs="Arial" w:eastAsia="Arial" w:hAnsi="Arial"/>
                <w:sz w:val="13"/>
                <w:szCs w:val="13"/>
                <w:b w:val="1"/>
                <w:bCs w:val="1"/>
                <w:color w:val="auto"/>
                <w:w w:val="86"/>
              </w:rPr>
              <w:t>(Losses) Relating to</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60" w:type="dxa"/>
            <w:vAlign w:val="bottom"/>
            <w:gridSpan w:val="3"/>
          </w:tcPr>
          <w:p>
            <w:pPr>
              <w:jc w:val="center"/>
              <w:ind w:right="420"/>
              <w:spacing w:after="0" w:line="133" w:lineRule="exact"/>
              <w:rPr>
                <w:sz w:val="20"/>
                <w:szCs w:val="20"/>
                <w:color w:val="auto"/>
              </w:rPr>
            </w:pPr>
            <w:r>
              <w:rPr>
                <w:rFonts w:ascii="Arial" w:cs="Arial" w:eastAsia="Arial" w:hAnsi="Arial"/>
                <w:sz w:val="13"/>
                <w:szCs w:val="13"/>
                <w:b w:val="1"/>
                <w:bCs w:val="1"/>
                <w:color w:val="auto"/>
                <w:w w:val="94"/>
              </w:rPr>
              <w:t>Into/(Out of)</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300" w:type="dxa"/>
            <w:vAlign w:val="bottom"/>
          </w:tcPr>
          <w:p>
            <w:pPr>
              <w:spacing w:after="0"/>
              <w:rPr>
                <w:sz w:val="20"/>
                <w:szCs w:val="20"/>
                <w:color w:val="auto"/>
              </w:rPr>
            </w:pPr>
            <w:r>
              <w:rPr>
                <w:rFonts w:ascii="Arial" w:cs="Arial" w:eastAsia="Arial" w:hAnsi="Arial"/>
                <w:sz w:val="13"/>
                <w:szCs w:val="13"/>
                <w:color w:val="auto"/>
              </w:rPr>
              <w:t>(in millions)</w:t>
            </w:r>
          </w:p>
        </w:tc>
        <w:tc>
          <w:tcPr>
            <w:tcW w:w="2640" w:type="dxa"/>
            <w:vAlign w:val="bottom"/>
          </w:tcPr>
          <w:p>
            <w:pPr>
              <w:spacing w:after="0"/>
              <w:rPr>
                <w:sz w:val="13"/>
                <w:szCs w:val="13"/>
                <w:color w:val="auto"/>
              </w:rPr>
            </w:pPr>
          </w:p>
        </w:tc>
        <w:tc>
          <w:tcPr>
            <w:tcW w:w="1120" w:type="dxa"/>
            <w:vAlign w:val="bottom"/>
          </w:tcPr>
          <w:p>
            <w:pPr>
              <w:jc w:val="center"/>
              <w:ind w:left="150"/>
              <w:spacing w:after="0"/>
              <w:rPr>
                <w:sz w:val="20"/>
                <w:szCs w:val="20"/>
                <w:color w:val="auto"/>
              </w:rPr>
            </w:pPr>
            <w:r>
              <w:rPr>
                <w:rFonts w:ascii="Arial" w:cs="Arial" w:eastAsia="Arial" w:hAnsi="Arial"/>
                <w:sz w:val="13"/>
                <w:szCs w:val="13"/>
                <w:b w:val="1"/>
                <w:bCs w:val="1"/>
                <w:color w:val="auto"/>
                <w:w w:val="88"/>
              </w:rPr>
              <w:t>January 1, 2017</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20" w:type="dxa"/>
            <w:vAlign w:val="bottom"/>
            <w:gridSpan w:val="5"/>
          </w:tcPr>
          <w:p>
            <w:pPr>
              <w:jc w:val="center"/>
              <w:ind w:right="80"/>
              <w:spacing w:after="0"/>
              <w:rPr>
                <w:sz w:val="20"/>
                <w:szCs w:val="20"/>
                <w:color w:val="auto"/>
              </w:rPr>
            </w:pPr>
            <w:r>
              <w:rPr>
                <w:rFonts w:ascii="Arial" w:cs="Arial" w:eastAsia="Arial" w:hAnsi="Arial"/>
                <w:sz w:val="13"/>
                <w:szCs w:val="13"/>
                <w:b w:val="1"/>
                <w:bCs w:val="1"/>
                <w:color w:val="auto"/>
                <w:w w:val="88"/>
              </w:rPr>
              <w:t>Assets Still Held</w:t>
            </w: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60" w:type="dxa"/>
            <w:vAlign w:val="bottom"/>
            <w:gridSpan w:val="3"/>
          </w:tcPr>
          <w:p>
            <w:pPr>
              <w:jc w:val="center"/>
              <w:ind w:right="440"/>
              <w:spacing w:after="0"/>
              <w:rPr>
                <w:sz w:val="20"/>
                <w:szCs w:val="20"/>
                <w:color w:val="auto"/>
              </w:rPr>
            </w:pPr>
            <w:r>
              <w:rPr>
                <w:rFonts w:ascii="Arial" w:cs="Arial" w:eastAsia="Arial" w:hAnsi="Arial"/>
                <w:sz w:val="13"/>
                <w:szCs w:val="13"/>
                <w:b w:val="1"/>
                <w:bCs w:val="1"/>
                <w:color w:val="auto"/>
                <w:w w:val="90"/>
              </w:rPr>
              <w:t>Level 3</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8"/>
              </w:rPr>
              <w:t>December 31, 2017</w:t>
            </w:r>
          </w:p>
        </w:tc>
        <w:tc>
          <w:tcPr>
            <w:tcW w:w="0" w:type="dxa"/>
            <w:vAlign w:val="bottom"/>
          </w:tcPr>
          <w:p>
            <w:pPr>
              <w:spacing w:after="0"/>
              <w:rPr>
                <w:sz w:val="1"/>
                <w:szCs w:val="1"/>
                <w:color w:val="auto"/>
              </w:rPr>
            </w:pPr>
          </w:p>
        </w:tc>
      </w:tr>
      <w:tr>
        <w:trPr>
          <w:trHeight w:val="198"/>
        </w:trPr>
        <w:tc>
          <w:tcPr>
            <w:tcW w:w="2300" w:type="dxa"/>
            <w:vAlign w:val="bottom"/>
          </w:tcPr>
          <w:p>
            <w:pPr>
              <w:spacing w:after="0"/>
              <w:rPr>
                <w:sz w:val="20"/>
                <w:szCs w:val="20"/>
                <w:color w:val="auto"/>
              </w:rPr>
            </w:pPr>
            <w:r>
              <w:rPr>
                <w:rFonts w:ascii="Arial" w:cs="Arial" w:eastAsia="Arial" w:hAnsi="Arial"/>
                <w:sz w:val="16"/>
                <w:szCs w:val="16"/>
                <w:color w:val="auto"/>
              </w:rPr>
              <w:t>Real Estate</w:t>
            </w:r>
          </w:p>
        </w:tc>
        <w:tc>
          <w:tcPr>
            <w:tcW w:w="2640" w:type="dxa"/>
            <w:vAlign w:val="bottom"/>
          </w:tcPr>
          <w:p>
            <w:pPr>
              <w:spacing w:after="0"/>
              <w:rPr>
                <w:sz w:val="17"/>
                <w:szCs w:val="17"/>
                <w:color w:val="auto"/>
              </w:rPr>
            </w:pPr>
          </w:p>
        </w:tc>
        <w:tc>
          <w:tcPr>
            <w:tcW w:w="1120" w:type="dxa"/>
            <w:vAlign w:val="bottom"/>
            <w:tcBorders>
              <w:top w:val="single" w:sz="8" w:color="auto"/>
            </w:tcBorders>
          </w:tcPr>
          <w:p>
            <w:pPr>
              <w:jc w:val="right"/>
              <w:ind w:right="970"/>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color w:val="auto"/>
              </w:rPr>
              <w:t>32</w:t>
            </w:r>
          </w:p>
        </w:tc>
        <w:tc>
          <w:tcPr>
            <w:tcW w:w="260" w:type="dxa"/>
            <w:vAlign w:val="bottom"/>
          </w:tcPr>
          <w:p>
            <w:pPr>
              <w:spacing w:after="0"/>
              <w:rPr>
                <w:sz w:val="17"/>
                <w:szCs w:val="17"/>
                <w:color w:val="auto"/>
              </w:rPr>
            </w:pPr>
          </w:p>
        </w:tc>
        <w:tc>
          <w:tcPr>
            <w:tcW w:w="880" w:type="dxa"/>
            <w:vAlign w:val="bottom"/>
            <w:tcBorders>
              <w:top w:val="single" w:sz="8" w:color="auto"/>
            </w:tcBorders>
          </w:tcPr>
          <w:p>
            <w:pPr>
              <w:jc w:val="right"/>
              <w:ind w:right="728"/>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color w:val="auto"/>
              </w:rPr>
              <w:t>5</w:t>
            </w: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Borders>
              <w:top w:val="single" w:sz="8" w:color="auto"/>
            </w:tcBorders>
          </w:tcPr>
          <w:p>
            <w:pPr>
              <w:jc w:val="right"/>
              <w:ind w:right="144"/>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26</w:t>
            </w: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300" w:type="dxa"/>
            <w:vAlign w:val="bottom"/>
            <w:shd w:val="clear" w:color="auto" w:fill="CFF0FC"/>
          </w:tcPr>
          <w:p>
            <w:pPr>
              <w:spacing w:after="0"/>
              <w:rPr>
                <w:sz w:val="20"/>
                <w:szCs w:val="20"/>
                <w:color w:val="auto"/>
              </w:rPr>
            </w:pPr>
            <w:r>
              <w:rPr>
                <w:rFonts w:ascii="Arial" w:cs="Arial" w:eastAsia="Arial" w:hAnsi="Arial"/>
                <w:sz w:val="16"/>
                <w:szCs w:val="16"/>
                <w:color w:val="auto"/>
              </w:rPr>
              <w:t>Private Equity</w:t>
            </w:r>
          </w:p>
        </w:tc>
        <w:tc>
          <w:tcPr>
            <w:tcW w:w="264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14</w:t>
            </w: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60" w:type="dxa"/>
            <w:vAlign w:val="bottom"/>
            <w:gridSpan w:val="3"/>
            <w:shd w:val="clear" w:color="auto" w:fill="CFF0FC"/>
          </w:tcPr>
          <w:p>
            <w:pPr>
              <w:jc w:val="right"/>
              <w:ind w:right="60"/>
              <w:spacing w:after="0"/>
              <w:rPr>
                <w:sz w:val="20"/>
                <w:szCs w:val="20"/>
                <w:color w:val="auto"/>
              </w:rPr>
            </w:pPr>
            <w:r>
              <w:rPr>
                <w:rFonts w:ascii="Arial" w:cs="Arial" w:eastAsia="Arial" w:hAnsi="Arial"/>
                <w:sz w:val="16"/>
                <w:szCs w:val="16"/>
                <w:color w:val="auto"/>
              </w:rPr>
              <w:t>(3)</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300" w:type="dxa"/>
            <w:vAlign w:val="bottom"/>
          </w:tcPr>
          <w:p>
            <w:pPr>
              <w:spacing w:after="0"/>
              <w:rPr>
                <w:sz w:val="20"/>
                <w:szCs w:val="20"/>
                <w:color w:val="auto"/>
              </w:rPr>
            </w:pPr>
            <w:r>
              <w:rPr>
                <w:rFonts w:ascii="Arial" w:cs="Arial" w:eastAsia="Arial" w:hAnsi="Arial"/>
                <w:sz w:val="16"/>
                <w:szCs w:val="16"/>
                <w:color w:val="auto"/>
              </w:rPr>
              <w:t>Total</w:t>
            </w:r>
          </w:p>
        </w:tc>
        <w:tc>
          <w:tcPr>
            <w:tcW w:w="2640" w:type="dxa"/>
            <w:vAlign w:val="bottom"/>
          </w:tcPr>
          <w:p>
            <w:pPr>
              <w:spacing w:after="0"/>
              <w:rPr>
                <w:sz w:val="17"/>
                <w:szCs w:val="17"/>
                <w:color w:val="auto"/>
              </w:rPr>
            </w:pPr>
          </w:p>
        </w:tc>
        <w:tc>
          <w:tcPr>
            <w:tcW w:w="1120" w:type="dxa"/>
            <w:vAlign w:val="bottom"/>
            <w:tcBorders>
              <w:top w:val="single" w:sz="8" w:color="auto"/>
              <w:bottom w:val="single" w:sz="8" w:color="auto"/>
            </w:tcBorders>
          </w:tcPr>
          <w:p>
            <w:pPr>
              <w:jc w:val="right"/>
              <w:ind w:right="970"/>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rPr>
              <w:t>46</w:t>
            </w:r>
          </w:p>
        </w:tc>
        <w:tc>
          <w:tcPr>
            <w:tcW w:w="260" w:type="dxa"/>
            <w:vAlign w:val="bottom"/>
          </w:tcPr>
          <w:p>
            <w:pPr>
              <w:spacing w:after="0"/>
              <w:rPr>
                <w:sz w:val="17"/>
                <w:szCs w:val="17"/>
                <w:color w:val="auto"/>
              </w:rPr>
            </w:pPr>
          </w:p>
        </w:tc>
        <w:tc>
          <w:tcPr>
            <w:tcW w:w="880" w:type="dxa"/>
            <w:vAlign w:val="bottom"/>
            <w:tcBorders>
              <w:top w:val="single" w:sz="8" w:color="auto"/>
              <w:bottom w:val="single" w:sz="8" w:color="auto"/>
            </w:tcBorders>
          </w:tcPr>
          <w:p>
            <w:pPr>
              <w:jc w:val="right"/>
              <w:ind w:right="728"/>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bottom w:val="single" w:sz="8" w:color="auto"/>
            </w:tcBorders>
          </w:tcPr>
          <w:p>
            <w:pPr>
              <w:spacing w:after="0"/>
              <w:rPr>
                <w:sz w:val="17"/>
                <w:szCs w:val="17"/>
                <w:color w:val="auto"/>
              </w:rPr>
            </w:pPr>
          </w:p>
        </w:tc>
        <w:tc>
          <w:tcPr>
            <w:tcW w:w="3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rPr>
              <w:t>8</w:t>
            </w: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44"/>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40</w:t>
            </w: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7"/>
        </w:trPr>
        <w:tc>
          <w:tcPr>
            <w:tcW w:w="23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gridSpan w:val="2"/>
          </w:tcPr>
          <w:p>
            <w:pPr>
              <w:jc w:val="right"/>
              <w:ind w:right="324"/>
              <w:spacing w:after="0"/>
              <w:rPr>
                <w:sz w:val="20"/>
                <w:szCs w:val="20"/>
                <w:color w:val="auto"/>
              </w:rPr>
            </w:pPr>
            <w:r>
              <w:rPr>
                <w:rFonts w:ascii="Arial" w:cs="Arial" w:eastAsia="Arial" w:hAnsi="Arial"/>
                <w:sz w:val="13"/>
                <w:szCs w:val="13"/>
                <w:b w:val="1"/>
                <w:bCs w:val="1"/>
                <w:color w:val="auto"/>
                <w:w w:val="94"/>
              </w:rPr>
              <w:t>U.S.</w:t>
            </w:r>
          </w:p>
        </w:tc>
        <w:tc>
          <w:tcPr>
            <w:tcW w:w="5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30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20" w:type="dxa"/>
            <w:vAlign w:val="bottom"/>
            <w:gridSpan w:val="5"/>
          </w:tcPr>
          <w:p>
            <w:pPr>
              <w:jc w:val="center"/>
              <w:ind w:right="80"/>
              <w:spacing w:after="0" w:line="118" w:lineRule="exact"/>
              <w:rPr>
                <w:sz w:val="20"/>
                <w:szCs w:val="20"/>
                <w:color w:val="auto"/>
              </w:rPr>
            </w:pPr>
            <w:r>
              <w:rPr>
                <w:rFonts w:ascii="Arial" w:cs="Arial" w:eastAsia="Arial" w:hAnsi="Arial"/>
                <w:sz w:val="13"/>
                <w:szCs w:val="13"/>
                <w:b w:val="1"/>
                <w:bCs w:val="1"/>
                <w:color w:val="auto"/>
                <w:w w:val="90"/>
              </w:rPr>
              <w:t>Net Realized and</w:t>
            </w: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60" w:type="dxa"/>
            <w:vAlign w:val="bottom"/>
            <w:gridSpan w:val="3"/>
            <w:vMerge w:val="restart"/>
          </w:tcPr>
          <w:p>
            <w:pPr>
              <w:jc w:val="center"/>
              <w:ind w:right="420"/>
              <w:spacing w:after="0"/>
              <w:rPr>
                <w:sz w:val="20"/>
                <w:szCs w:val="20"/>
                <w:color w:val="auto"/>
              </w:rPr>
            </w:pPr>
            <w:r>
              <w:rPr>
                <w:rFonts w:ascii="Arial" w:cs="Arial" w:eastAsia="Arial" w:hAnsi="Arial"/>
                <w:sz w:val="13"/>
                <w:szCs w:val="13"/>
                <w:b w:val="1"/>
                <w:bCs w:val="1"/>
                <w:color w:val="auto"/>
                <w:w w:val="91"/>
              </w:rPr>
              <w:t>Net Transfer</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30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120" w:type="dxa"/>
            <w:vAlign w:val="bottom"/>
            <w:vMerge w:val="restart"/>
          </w:tcPr>
          <w:p>
            <w:pPr>
              <w:jc w:val="center"/>
              <w:ind w:left="150"/>
              <w:spacing w:after="0"/>
              <w:rPr>
                <w:sz w:val="20"/>
                <w:szCs w:val="20"/>
                <w:color w:val="auto"/>
              </w:rPr>
            </w:pPr>
            <w:r>
              <w:rPr>
                <w:rFonts w:ascii="Arial" w:cs="Arial" w:eastAsia="Arial" w:hAnsi="Arial"/>
                <w:sz w:val="13"/>
                <w:szCs w:val="13"/>
                <w:b w:val="1"/>
                <w:bCs w:val="1"/>
                <w:color w:val="auto"/>
                <w:w w:val="89"/>
              </w:rPr>
              <w:t>Balance at</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20" w:type="dxa"/>
            <w:vAlign w:val="bottom"/>
            <w:gridSpan w:val="5"/>
          </w:tcPr>
          <w:p>
            <w:pPr>
              <w:jc w:val="center"/>
              <w:ind w:right="80"/>
              <w:spacing w:after="0" w:line="133" w:lineRule="exact"/>
              <w:rPr>
                <w:sz w:val="20"/>
                <w:szCs w:val="20"/>
                <w:color w:val="auto"/>
              </w:rPr>
            </w:pPr>
            <w:r>
              <w:rPr>
                <w:rFonts w:ascii="Arial" w:cs="Arial" w:eastAsia="Arial" w:hAnsi="Arial"/>
                <w:sz w:val="13"/>
                <w:szCs w:val="13"/>
                <w:b w:val="1"/>
                <w:bCs w:val="1"/>
                <w:color w:val="auto"/>
                <w:w w:val="89"/>
              </w:rPr>
              <w:t>Unrealized Gains and</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60" w:type="dxa"/>
            <w:vAlign w:val="bottom"/>
            <w:gridSpan w:val="3"/>
            <w:vMerge w:val="continue"/>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gridSpan w:val="2"/>
            <w:vMerge w:val="restart"/>
          </w:tcPr>
          <w:p>
            <w:pPr>
              <w:jc w:val="center"/>
              <w:ind w:right="260"/>
              <w:spacing w:after="0"/>
              <w:rPr>
                <w:sz w:val="20"/>
                <w:szCs w:val="20"/>
                <w:color w:val="auto"/>
              </w:rPr>
            </w:pPr>
            <w:r>
              <w:rPr>
                <w:rFonts w:ascii="Arial" w:cs="Arial" w:eastAsia="Arial" w:hAnsi="Arial"/>
                <w:sz w:val="13"/>
                <w:szCs w:val="13"/>
                <w:b w:val="1"/>
                <w:bCs w:val="1"/>
                <w:color w:val="auto"/>
                <w:w w:val="89"/>
              </w:rPr>
              <w:t>Balance at</w:t>
            </w:r>
          </w:p>
        </w:tc>
        <w:tc>
          <w:tcPr>
            <w:tcW w:w="0" w:type="dxa"/>
            <w:vAlign w:val="bottom"/>
          </w:tcPr>
          <w:p>
            <w:pPr>
              <w:spacing w:after="0"/>
              <w:rPr>
                <w:sz w:val="1"/>
                <w:szCs w:val="1"/>
                <w:color w:val="auto"/>
              </w:rPr>
            </w:pPr>
          </w:p>
        </w:tc>
      </w:tr>
      <w:tr>
        <w:trPr>
          <w:trHeight w:val="133"/>
        </w:trPr>
        <w:tc>
          <w:tcPr>
            <w:tcW w:w="230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20" w:type="dxa"/>
            <w:vAlign w:val="bottom"/>
            <w:gridSpan w:val="5"/>
          </w:tcPr>
          <w:p>
            <w:pPr>
              <w:jc w:val="center"/>
              <w:ind w:right="60"/>
              <w:spacing w:after="0" w:line="133" w:lineRule="exact"/>
              <w:rPr>
                <w:sz w:val="20"/>
                <w:szCs w:val="20"/>
                <w:color w:val="auto"/>
              </w:rPr>
            </w:pPr>
            <w:r>
              <w:rPr>
                <w:rFonts w:ascii="Arial" w:cs="Arial" w:eastAsia="Arial" w:hAnsi="Arial"/>
                <w:sz w:val="13"/>
                <w:szCs w:val="13"/>
                <w:b w:val="1"/>
                <w:bCs w:val="1"/>
                <w:color w:val="auto"/>
                <w:w w:val="86"/>
              </w:rPr>
              <w:t>(Losses) Relating to</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60" w:type="dxa"/>
            <w:vAlign w:val="bottom"/>
            <w:gridSpan w:val="3"/>
          </w:tcPr>
          <w:p>
            <w:pPr>
              <w:jc w:val="center"/>
              <w:ind w:right="420"/>
              <w:spacing w:after="0" w:line="133" w:lineRule="exact"/>
              <w:rPr>
                <w:sz w:val="20"/>
                <w:szCs w:val="20"/>
                <w:color w:val="auto"/>
              </w:rPr>
            </w:pPr>
            <w:r>
              <w:rPr>
                <w:rFonts w:ascii="Arial" w:cs="Arial" w:eastAsia="Arial" w:hAnsi="Arial"/>
                <w:sz w:val="13"/>
                <w:szCs w:val="13"/>
                <w:b w:val="1"/>
                <w:bCs w:val="1"/>
                <w:color w:val="auto"/>
                <w:w w:val="94"/>
              </w:rPr>
              <w:t>Into/(Out of)</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300" w:type="dxa"/>
            <w:vAlign w:val="bottom"/>
            <w:tcBorders>
              <w:bottom w:val="single" w:sz="8" w:color="CFF0FC"/>
            </w:tcBorders>
          </w:tcPr>
          <w:p>
            <w:pPr>
              <w:spacing w:after="0"/>
              <w:rPr>
                <w:sz w:val="20"/>
                <w:szCs w:val="20"/>
                <w:color w:val="auto"/>
              </w:rPr>
            </w:pPr>
            <w:r>
              <w:rPr>
                <w:rFonts w:ascii="Arial" w:cs="Arial" w:eastAsia="Arial" w:hAnsi="Arial"/>
                <w:sz w:val="13"/>
                <w:szCs w:val="13"/>
                <w:color w:val="auto"/>
              </w:rPr>
              <w:t>(in millions)</w:t>
            </w:r>
          </w:p>
        </w:tc>
        <w:tc>
          <w:tcPr>
            <w:tcW w:w="2640" w:type="dxa"/>
            <w:vAlign w:val="bottom"/>
            <w:tcBorders>
              <w:bottom w:val="single" w:sz="8" w:color="CFF0FC"/>
            </w:tcBorders>
          </w:tcPr>
          <w:p>
            <w:pPr>
              <w:spacing w:after="0"/>
              <w:rPr>
                <w:sz w:val="13"/>
                <w:szCs w:val="13"/>
                <w:color w:val="auto"/>
              </w:rPr>
            </w:pPr>
          </w:p>
        </w:tc>
        <w:tc>
          <w:tcPr>
            <w:tcW w:w="1120" w:type="dxa"/>
            <w:vAlign w:val="bottom"/>
            <w:tcBorders>
              <w:bottom w:val="single" w:sz="8" w:color="auto"/>
            </w:tcBorders>
          </w:tcPr>
          <w:p>
            <w:pPr>
              <w:jc w:val="center"/>
              <w:ind w:left="150"/>
              <w:spacing w:after="0"/>
              <w:rPr>
                <w:sz w:val="20"/>
                <w:szCs w:val="20"/>
                <w:color w:val="auto"/>
              </w:rPr>
            </w:pPr>
            <w:r>
              <w:rPr>
                <w:rFonts w:ascii="Arial" w:cs="Arial" w:eastAsia="Arial" w:hAnsi="Arial"/>
                <w:sz w:val="13"/>
                <w:szCs w:val="13"/>
                <w:b w:val="1"/>
                <w:bCs w:val="1"/>
                <w:color w:val="auto"/>
                <w:w w:val="88"/>
              </w:rPr>
              <w:t>January 1, 2016</w:t>
            </w: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136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88"/>
              </w:rPr>
              <w:t>Assets Still Held</w:t>
            </w:r>
          </w:p>
        </w:tc>
        <w:tc>
          <w:tcPr>
            <w:tcW w:w="60" w:type="dxa"/>
            <w:vAlign w:val="bottom"/>
            <w:tcBorders>
              <w:bottom w:val="single" w:sz="8" w:color="CFF0FC"/>
            </w:tcBorders>
          </w:tcPr>
          <w:p>
            <w:pPr>
              <w:spacing w:after="0"/>
              <w:rPr>
                <w:sz w:val="13"/>
                <w:szCs w:val="13"/>
                <w:color w:val="auto"/>
              </w:rPr>
            </w:pPr>
          </w:p>
        </w:tc>
        <w:tc>
          <w:tcPr>
            <w:tcW w:w="3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3"/>
                <w:szCs w:val="13"/>
                <w:b w:val="1"/>
                <w:bCs w:val="1"/>
                <w:color w:val="auto"/>
                <w:w w:val="90"/>
              </w:rPr>
              <w:t>Level 3</w:t>
            </w:r>
          </w:p>
        </w:tc>
        <w:tc>
          <w:tcPr>
            <w:tcW w:w="100" w:type="dxa"/>
            <w:vAlign w:val="bottom"/>
            <w:tcBorders>
              <w:bottom w:val="single" w:sz="8" w:color="CFF0FC"/>
            </w:tcBorders>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center"/>
              <w:ind w:right="46"/>
              <w:spacing w:after="0"/>
              <w:rPr>
                <w:sz w:val="20"/>
                <w:szCs w:val="20"/>
                <w:color w:val="auto"/>
              </w:rPr>
            </w:pPr>
            <w:r>
              <w:rPr>
                <w:rFonts w:ascii="Arial" w:cs="Arial" w:eastAsia="Arial" w:hAnsi="Arial"/>
                <w:sz w:val="13"/>
                <w:szCs w:val="13"/>
                <w:b w:val="1"/>
                <w:bCs w:val="1"/>
                <w:color w:val="auto"/>
                <w:w w:val="88"/>
              </w:rPr>
              <w:t>December 31, 2016</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2300" w:type="dxa"/>
            <w:vAlign w:val="bottom"/>
            <w:shd w:val="clear" w:color="auto" w:fill="CFF0FC"/>
          </w:tcPr>
          <w:p>
            <w:pPr>
              <w:spacing w:after="0"/>
              <w:rPr>
                <w:sz w:val="20"/>
                <w:szCs w:val="20"/>
                <w:color w:val="auto"/>
              </w:rPr>
            </w:pPr>
            <w:r>
              <w:rPr>
                <w:rFonts w:ascii="Arial" w:cs="Arial" w:eastAsia="Arial" w:hAnsi="Arial"/>
                <w:sz w:val="16"/>
                <w:szCs w:val="16"/>
                <w:color w:val="auto"/>
              </w:rPr>
              <w:t>Real Estate</w:t>
            </w:r>
          </w:p>
        </w:tc>
        <w:tc>
          <w:tcPr>
            <w:tcW w:w="264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970"/>
              <w:spacing w:after="0"/>
              <w:rPr>
                <w:sz w:val="20"/>
                <w:szCs w:val="20"/>
                <w:color w:val="auto"/>
              </w:rPr>
            </w:pPr>
            <w:r>
              <w:rPr>
                <w:rFonts w:ascii="Arial" w:cs="Arial" w:eastAsia="Arial" w:hAnsi="Arial"/>
                <w:sz w:val="15"/>
                <w:szCs w:val="15"/>
                <w:color w:val="auto"/>
                <w:w w:val="71"/>
              </w:rPr>
              <w:t>$</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34</w:t>
            </w: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728"/>
              <w:spacing w:after="0"/>
              <w:rPr>
                <w:sz w:val="20"/>
                <w:szCs w:val="20"/>
                <w:color w:val="auto"/>
              </w:rPr>
            </w:pPr>
            <w:r>
              <w:rPr>
                <w:rFonts w:ascii="Arial" w:cs="Arial" w:eastAsia="Arial" w:hAnsi="Arial"/>
                <w:sz w:val="15"/>
                <w:szCs w:val="15"/>
                <w:color w:val="auto"/>
                <w:w w:val="71"/>
              </w:rPr>
              <w:t>$</w:t>
            </w:r>
          </w:p>
        </w:tc>
        <w:tc>
          <w:tcPr>
            <w:tcW w:w="140" w:type="dxa"/>
            <w:vAlign w:val="bottom"/>
            <w:shd w:val="clear" w:color="auto" w:fill="CFF0FC"/>
          </w:tcPr>
          <w:p>
            <w:pPr>
              <w:spacing w:after="0"/>
              <w:rPr>
                <w:sz w:val="17"/>
                <w:szCs w:val="17"/>
                <w:color w:val="auto"/>
              </w:rPr>
            </w:pP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7</w:t>
            </w:r>
          </w:p>
        </w:tc>
        <w:tc>
          <w:tcPr>
            <w:tcW w:w="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1160" w:type="dxa"/>
            <w:vAlign w:val="bottom"/>
            <w:gridSpan w:val="3"/>
            <w:shd w:val="clear" w:color="auto" w:fill="CFF0FC"/>
          </w:tcPr>
          <w:p>
            <w:pPr>
              <w:jc w:val="right"/>
              <w:ind w:right="60"/>
              <w:spacing w:after="0"/>
              <w:rPr>
                <w:sz w:val="20"/>
                <w:szCs w:val="20"/>
                <w:color w:val="auto"/>
              </w:rPr>
            </w:pPr>
            <w:r>
              <w:rPr>
                <w:rFonts w:ascii="Arial" w:cs="Arial" w:eastAsia="Arial" w:hAnsi="Arial"/>
                <w:sz w:val="16"/>
                <w:szCs w:val="16"/>
                <w:color w:val="auto"/>
              </w:rPr>
              <w:t>(9)</w:t>
            </w:r>
          </w:p>
        </w:tc>
        <w:tc>
          <w:tcPr>
            <w:tcW w:w="160" w:type="dxa"/>
            <w:vAlign w:val="bottom"/>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300" w:type="dxa"/>
            <w:vAlign w:val="bottom"/>
          </w:tcPr>
          <w:p>
            <w:pPr>
              <w:spacing w:after="0"/>
              <w:rPr>
                <w:sz w:val="20"/>
                <w:szCs w:val="20"/>
                <w:color w:val="auto"/>
              </w:rPr>
            </w:pPr>
            <w:r>
              <w:rPr>
                <w:rFonts w:ascii="Arial" w:cs="Arial" w:eastAsia="Arial" w:hAnsi="Arial"/>
                <w:sz w:val="16"/>
                <w:szCs w:val="16"/>
                <w:color w:val="auto"/>
              </w:rPr>
              <w:t>Private Equity</w:t>
            </w:r>
          </w:p>
        </w:tc>
        <w:tc>
          <w:tcPr>
            <w:tcW w:w="26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24</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gridSpan w:val="3"/>
          </w:tcPr>
          <w:p>
            <w:pPr>
              <w:jc w:val="right"/>
              <w:ind w:right="20"/>
              <w:spacing w:after="0"/>
              <w:rPr>
                <w:sz w:val="20"/>
                <w:szCs w:val="20"/>
                <w:color w:val="auto"/>
              </w:rPr>
            </w:pPr>
            <w:r>
              <w:rPr>
                <w:rFonts w:ascii="Arial" w:cs="Arial" w:eastAsia="Arial" w:hAnsi="Arial"/>
                <w:sz w:val="16"/>
                <w:szCs w:val="16"/>
                <w:color w:val="auto"/>
              </w:rPr>
              <w:t>(6)</w:t>
            </w: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gridSpan w:val="3"/>
          </w:tcPr>
          <w:p>
            <w:pPr>
              <w:jc w:val="right"/>
              <w:ind w:right="60"/>
              <w:spacing w:after="0"/>
              <w:rPr>
                <w:sz w:val="20"/>
                <w:szCs w:val="20"/>
                <w:color w:val="auto"/>
              </w:rPr>
            </w:pPr>
            <w:r>
              <w:rPr>
                <w:rFonts w:ascii="Arial" w:cs="Arial" w:eastAsia="Arial" w:hAnsi="Arial"/>
                <w:sz w:val="16"/>
                <w:szCs w:val="16"/>
                <w:color w:val="auto"/>
              </w:rPr>
              <w:t>(4)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3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Total</w:t>
            </w:r>
          </w:p>
        </w:tc>
        <w:tc>
          <w:tcPr>
            <w:tcW w:w="2640" w:type="dxa"/>
            <w:vAlign w:val="bottom"/>
            <w:tcBorders>
              <w:top w:val="single" w:sz="8" w:color="CFF0FC"/>
              <w:bottom w:val="single" w:sz="8" w:color="CFF0FC"/>
            </w:tcBorders>
            <w:shd w:val="clear" w:color="auto" w:fill="CFF0FC"/>
          </w:tcPr>
          <w:p>
            <w:pPr>
              <w:spacing w:after="0"/>
              <w:rPr>
                <w:sz w:val="17"/>
                <w:szCs w:val="17"/>
                <w:color w:val="auto"/>
              </w:rPr>
            </w:pPr>
          </w:p>
        </w:tc>
        <w:tc>
          <w:tcPr>
            <w:tcW w:w="1120" w:type="dxa"/>
            <w:vAlign w:val="bottom"/>
            <w:tcBorders>
              <w:top w:val="single" w:sz="8" w:color="auto"/>
              <w:bottom w:val="single" w:sz="8" w:color="auto"/>
            </w:tcBorders>
            <w:shd w:val="clear" w:color="auto" w:fill="CFF0FC"/>
          </w:tcPr>
          <w:p>
            <w:pPr>
              <w:jc w:val="right"/>
              <w:ind w:right="970"/>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6"/>
                <w:szCs w:val="16"/>
                <w:color w:val="auto"/>
              </w:rPr>
              <w:t>58</w:t>
            </w:r>
          </w:p>
        </w:tc>
        <w:tc>
          <w:tcPr>
            <w:tcW w:w="260" w:type="dxa"/>
            <w:vAlign w:val="bottom"/>
            <w:tcBorders>
              <w:top w:val="single" w:sz="8" w:color="CFF0FC"/>
              <w:bottom w:val="single" w:sz="8" w:color="CFF0FC"/>
            </w:tcBorders>
            <w:shd w:val="clear" w:color="auto" w:fill="CFF0FC"/>
          </w:tcPr>
          <w:p>
            <w:pPr>
              <w:spacing w:after="0"/>
              <w:rPr>
                <w:sz w:val="17"/>
                <w:szCs w:val="17"/>
                <w:color w:val="auto"/>
              </w:rPr>
            </w:pPr>
          </w:p>
        </w:tc>
        <w:tc>
          <w:tcPr>
            <w:tcW w:w="880" w:type="dxa"/>
            <w:vAlign w:val="bottom"/>
            <w:tcBorders>
              <w:top w:val="single" w:sz="8" w:color="auto"/>
              <w:bottom w:val="single" w:sz="8" w:color="auto"/>
            </w:tcBorders>
            <w:shd w:val="clear" w:color="auto" w:fill="CFF0FC"/>
          </w:tcPr>
          <w:p>
            <w:pPr>
              <w:jc w:val="right"/>
              <w:ind w:right="728"/>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bottom w:val="single" w:sz="8" w:color="auto"/>
            </w:tcBorders>
            <w:shd w:val="clear" w:color="auto" w:fill="CFF0FC"/>
          </w:tcPr>
          <w:p>
            <w:pPr>
              <w:spacing w:after="0"/>
              <w:rPr>
                <w:sz w:val="17"/>
                <w:szCs w:val="17"/>
                <w:color w:val="auto"/>
              </w:rPr>
            </w:pPr>
          </w:p>
        </w:tc>
        <w:tc>
          <w:tcPr>
            <w:tcW w:w="3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60" w:type="dxa"/>
            <w:vAlign w:val="bottom"/>
            <w:tcBorders>
              <w:top w:val="single" w:sz="8" w:color="CFF0FC"/>
              <w:bottom w:val="single" w:sz="8" w:color="CFF0FC"/>
            </w:tcBorders>
            <w:shd w:val="clear" w:color="auto" w:fill="CFF0FC"/>
          </w:tcPr>
          <w:p>
            <w:pPr>
              <w:spacing w:after="0"/>
              <w:rPr>
                <w:sz w:val="17"/>
                <w:szCs w:val="17"/>
                <w:color w:val="auto"/>
              </w:rPr>
            </w:pPr>
          </w:p>
        </w:tc>
        <w:tc>
          <w:tcPr>
            <w:tcW w:w="360" w:type="dxa"/>
            <w:vAlign w:val="bottom"/>
            <w:tcBorders>
              <w:top w:val="single" w:sz="8" w:color="CFF0FC"/>
              <w:bottom w:val="single" w:sz="8" w:color="CFF0FC"/>
            </w:tcBorders>
            <w:shd w:val="clear" w:color="auto" w:fill="CFF0FC"/>
          </w:tcPr>
          <w:p>
            <w:pPr>
              <w:spacing w:after="0"/>
              <w:rPr>
                <w:sz w:val="17"/>
                <w:szCs w:val="17"/>
                <w:color w:val="auto"/>
              </w:rPr>
            </w:pPr>
          </w:p>
        </w:tc>
        <w:tc>
          <w:tcPr>
            <w:tcW w:w="300" w:type="dxa"/>
            <w:vAlign w:val="bottom"/>
            <w:tcBorders>
              <w:top w:val="single" w:sz="8" w:color="auto"/>
              <w:bottom w:val="single" w:sz="8" w:color="auto"/>
            </w:tcBorders>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6"/>
                <w:szCs w:val="16"/>
                <w:color w:val="auto"/>
              </w:rPr>
              <w:t>(13)</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46</w:t>
            </w: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7"/>
        </w:trPr>
        <w:tc>
          <w:tcPr>
            <w:tcW w:w="7580" w:type="dxa"/>
            <w:vAlign w:val="bottom"/>
            <w:gridSpan w:val="8"/>
          </w:tcPr>
          <w:p>
            <w:pPr>
              <w:spacing w:after="0"/>
              <w:rPr>
                <w:sz w:val="20"/>
                <w:szCs w:val="20"/>
                <w:color w:val="auto"/>
              </w:rPr>
            </w:pPr>
            <w:r>
              <w:rPr>
                <w:rFonts w:ascii="Arial" w:cs="Arial" w:eastAsia="Arial" w:hAnsi="Arial"/>
                <w:sz w:val="16"/>
                <w:szCs w:val="16"/>
                <w:color w:val="auto"/>
                <w:w w:val="92"/>
              </w:rPr>
              <w:t>The following pension benefit payments, which reflect expected future service, are expected to be paid (in millions):</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23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gridSpan w:val="2"/>
          </w:tcPr>
          <w:p>
            <w:pPr>
              <w:ind w:left="40"/>
              <w:spacing w:after="0"/>
              <w:rPr>
                <w:sz w:val="20"/>
                <w:szCs w:val="20"/>
                <w:color w:val="auto"/>
              </w:rPr>
            </w:pPr>
            <w:r>
              <w:rPr>
                <w:rFonts w:ascii="Arial" w:cs="Arial" w:eastAsia="Arial" w:hAnsi="Arial"/>
                <w:sz w:val="13"/>
                <w:szCs w:val="13"/>
                <w:b w:val="1"/>
                <w:bCs w:val="1"/>
                <w:color w:val="auto"/>
              </w:rPr>
              <w:t>U.S.</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Arial" w:cs="Arial" w:eastAsia="Arial" w:hAnsi="Arial"/>
                <w:sz w:val="13"/>
                <w:szCs w:val="13"/>
                <w:b w:val="1"/>
                <w:bCs w:val="1"/>
                <w:color w:val="auto"/>
              </w:rPr>
              <w:t>Non-U.S.</w:t>
            </w: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300" w:type="dxa"/>
            <w:vAlign w:val="bottom"/>
          </w:tcPr>
          <w:p>
            <w:pPr>
              <w:spacing w:after="0"/>
              <w:rPr>
                <w:sz w:val="17"/>
                <w:szCs w:val="17"/>
                <w:color w:val="auto"/>
              </w:rPr>
            </w:pPr>
          </w:p>
        </w:tc>
        <w:tc>
          <w:tcPr>
            <w:tcW w:w="2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2018</w:t>
            </w:r>
          </w:p>
        </w:tc>
        <w:tc>
          <w:tcPr>
            <w:tcW w:w="112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jc w:val="right"/>
              <w:ind w:right="8"/>
              <w:spacing w:after="0"/>
              <w:rPr>
                <w:sz w:val="20"/>
                <w:szCs w:val="20"/>
                <w:color w:val="auto"/>
              </w:rPr>
            </w:pPr>
            <w:r>
              <w:rPr>
                <w:rFonts w:ascii="Arial" w:cs="Arial" w:eastAsia="Arial" w:hAnsi="Arial"/>
                <w:sz w:val="16"/>
                <w:szCs w:val="16"/>
                <w:color w:val="auto"/>
              </w:rPr>
              <w:t>335</w:t>
            </w:r>
          </w:p>
        </w:tc>
        <w:tc>
          <w:tcPr>
            <w:tcW w:w="14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jc w:val="right"/>
              <w:ind w:right="124"/>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auto"/>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50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6"/>
                <w:szCs w:val="16"/>
                <w:color w:val="auto"/>
              </w:rPr>
              <w:t>50</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300" w:type="dxa"/>
            <w:vAlign w:val="bottom"/>
          </w:tcPr>
          <w:p>
            <w:pPr>
              <w:spacing w:after="0"/>
              <w:rPr>
                <w:sz w:val="17"/>
                <w:szCs w:val="17"/>
                <w:color w:val="auto"/>
              </w:rPr>
            </w:pPr>
          </w:p>
        </w:tc>
        <w:tc>
          <w:tcPr>
            <w:tcW w:w="2640" w:type="dxa"/>
            <w:vAlign w:val="bottom"/>
          </w:tcPr>
          <w:p>
            <w:pPr>
              <w:spacing w:after="0"/>
              <w:rPr>
                <w:sz w:val="20"/>
                <w:szCs w:val="20"/>
                <w:color w:val="auto"/>
              </w:rPr>
            </w:pPr>
            <w:r>
              <w:rPr>
                <w:rFonts w:ascii="Arial" w:cs="Arial" w:eastAsia="Arial" w:hAnsi="Arial"/>
                <w:sz w:val="16"/>
                <w:szCs w:val="16"/>
                <w:color w:val="auto"/>
              </w:rPr>
              <w:t>2019</w:t>
            </w: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8"/>
              <w:spacing w:after="0"/>
              <w:rPr>
                <w:sz w:val="20"/>
                <w:szCs w:val="20"/>
                <w:color w:val="auto"/>
              </w:rPr>
            </w:pPr>
            <w:r>
              <w:rPr>
                <w:rFonts w:ascii="Arial" w:cs="Arial" w:eastAsia="Arial" w:hAnsi="Arial"/>
                <w:sz w:val="16"/>
                <w:szCs w:val="16"/>
                <w:color w:val="auto"/>
              </w:rPr>
              <w:t>321</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jc w:val="right"/>
              <w:ind w:right="5"/>
              <w:spacing w:after="0"/>
              <w:rPr>
                <w:sz w:val="20"/>
                <w:szCs w:val="20"/>
                <w:color w:val="auto"/>
              </w:rPr>
            </w:pPr>
            <w:r>
              <w:rPr>
                <w:rFonts w:ascii="Arial" w:cs="Arial" w:eastAsia="Arial" w:hAnsi="Arial"/>
                <w:sz w:val="16"/>
                <w:szCs w:val="16"/>
                <w:color w:val="auto"/>
              </w:rPr>
              <w:t>50</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300" w:type="dxa"/>
            <w:vAlign w:val="bottom"/>
          </w:tcPr>
          <w:p>
            <w:pPr>
              <w:spacing w:after="0"/>
              <w:rPr>
                <w:sz w:val="17"/>
                <w:szCs w:val="17"/>
                <w:color w:val="auto"/>
              </w:rPr>
            </w:pPr>
          </w:p>
        </w:tc>
        <w:tc>
          <w:tcPr>
            <w:tcW w:w="2640" w:type="dxa"/>
            <w:vAlign w:val="bottom"/>
            <w:shd w:val="clear" w:color="auto" w:fill="CFF0FC"/>
          </w:tcPr>
          <w:p>
            <w:pPr>
              <w:spacing w:after="0"/>
              <w:rPr>
                <w:sz w:val="20"/>
                <w:szCs w:val="20"/>
                <w:color w:val="auto"/>
              </w:rPr>
            </w:pPr>
            <w:r>
              <w:rPr>
                <w:rFonts w:ascii="Arial" w:cs="Arial" w:eastAsia="Arial" w:hAnsi="Arial"/>
                <w:sz w:val="16"/>
                <w:szCs w:val="16"/>
                <w:color w:val="auto"/>
              </w:rPr>
              <w:t>2020</w:t>
            </w:r>
          </w:p>
        </w:tc>
        <w:tc>
          <w:tcPr>
            <w:tcW w:w="1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8"/>
              <w:spacing w:after="0"/>
              <w:rPr>
                <w:sz w:val="20"/>
                <w:szCs w:val="20"/>
                <w:color w:val="auto"/>
              </w:rPr>
            </w:pPr>
            <w:r>
              <w:rPr>
                <w:rFonts w:ascii="Arial" w:cs="Arial" w:eastAsia="Arial" w:hAnsi="Arial"/>
                <w:sz w:val="16"/>
                <w:szCs w:val="16"/>
                <w:color w:val="auto"/>
              </w:rPr>
              <w:t>311</w:t>
            </w:r>
          </w:p>
        </w:tc>
        <w:tc>
          <w:tcPr>
            <w:tcW w:w="1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500" w:type="dxa"/>
            <w:vAlign w:val="bottom"/>
            <w:shd w:val="clear" w:color="auto" w:fill="CFF0FC"/>
          </w:tcPr>
          <w:p>
            <w:pPr>
              <w:jc w:val="right"/>
              <w:ind w:right="5"/>
              <w:spacing w:after="0"/>
              <w:rPr>
                <w:sz w:val="20"/>
                <w:szCs w:val="20"/>
                <w:color w:val="auto"/>
              </w:rPr>
            </w:pPr>
            <w:r>
              <w:rPr>
                <w:rFonts w:ascii="Arial" w:cs="Arial" w:eastAsia="Arial" w:hAnsi="Arial"/>
                <w:sz w:val="16"/>
                <w:szCs w:val="16"/>
                <w:color w:val="auto"/>
              </w:rPr>
              <w:t>50</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300" w:type="dxa"/>
            <w:vAlign w:val="bottom"/>
          </w:tcPr>
          <w:p>
            <w:pPr>
              <w:spacing w:after="0"/>
              <w:rPr>
                <w:sz w:val="17"/>
                <w:szCs w:val="17"/>
                <w:color w:val="auto"/>
              </w:rPr>
            </w:pPr>
          </w:p>
        </w:tc>
        <w:tc>
          <w:tcPr>
            <w:tcW w:w="2640" w:type="dxa"/>
            <w:vAlign w:val="bottom"/>
          </w:tcPr>
          <w:p>
            <w:pPr>
              <w:spacing w:after="0"/>
              <w:rPr>
                <w:sz w:val="20"/>
                <w:szCs w:val="20"/>
                <w:color w:val="auto"/>
              </w:rPr>
            </w:pPr>
            <w:r>
              <w:rPr>
                <w:rFonts w:ascii="Arial" w:cs="Arial" w:eastAsia="Arial" w:hAnsi="Arial"/>
                <w:sz w:val="16"/>
                <w:szCs w:val="16"/>
                <w:color w:val="auto"/>
              </w:rPr>
              <w:t>2021</w:t>
            </w: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8"/>
              <w:spacing w:after="0"/>
              <w:rPr>
                <w:sz w:val="20"/>
                <w:szCs w:val="20"/>
                <w:color w:val="auto"/>
              </w:rPr>
            </w:pPr>
            <w:r>
              <w:rPr>
                <w:rFonts w:ascii="Arial" w:cs="Arial" w:eastAsia="Arial" w:hAnsi="Arial"/>
                <w:sz w:val="16"/>
                <w:szCs w:val="16"/>
                <w:color w:val="auto"/>
              </w:rPr>
              <w:t>299</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jc w:val="right"/>
              <w:ind w:right="5"/>
              <w:spacing w:after="0"/>
              <w:rPr>
                <w:sz w:val="20"/>
                <w:szCs w:val="20"/>
                <w:color w:val="auto"/>
              </w:rPr>
            </w:pPr>
            <w:r>
              <w:rPr>
                <w:rFonts w:ascii="Arial" w:cs="Arial" w:eastAsia="Arial" w:hAnsi="Arial"/>
                <w:sz w:val="16"/>
                <w:szCs w:val="16"/>
                <w:color w:val="auto"/>
              </w:rPr>
              <w:t>49</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300" w:type="dxa"/>
            <w:vAlign w:val="bottom"/>
          </w:tcPr>
          <w:p>
            <w:pPr>
              <w:spacing w:after="0"/>
              <w:rPr>
                <w:sz w:val="17"/>
                <w:szCs w:val="17"/>
                <w:color w:val="auto"/>
              </w:rPr>
            </w:pPr>
          </w:p>
        </w:tc>
        <w:tc>
          <w:tcPr>
            <w:tcW w:w="2640" w:type="dxa"/>
            <w:vAlign w:val="bottom"/>
            <w:shd w:val="clear" w:color="auto" w:fill="CFF0FC"/>
          </w:tcPr>
          <w:p>
            <w:pPr>
              <w:spacing w:after="0"/>
              <w:rPr>
                <w:sz w:val="20"/>
                <w:szCs w:val="20"/>
                <w:color w:val="auto"/>
              </w:rPr>
            </w:pPr>
            <w:r>
              <w:rPr>
                <w:rFonts w:ascii="Arial" w:cs="Arial" w:eastAsia="Arial" w:hAnsi="Arial"/>
                <w:sz w:val="16"/>
                <w:szCs w:val="16"/>
                <w:color w:val="auto"/>
              </w:rPr>
              <w:t>2022</w:t>
            </w:r>
          </w:p>
        </w:tc>
        <w:tc>
          <w:tcPr>
            <w:tcW w:w="1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8"/>
              <w:spacing w:after="0"/>
              <w:rPr>
                <w:sz w:val="20"/>
                <w:szCs w:val="20"/>
                <w:color w:val="auto"/>
              </w:rPr>
            </w:pPr>
            <w:r>
              <w:rPr>
                <w:rFonts w:ascii="Arial" w:cs="Arial" w:eastAsia="Arial" w:hAnsi="Arial"/>
                <w:sz w:val="16"/>
                <w:szCs w:val="16"/>
                <w:color w:val="auto"/>
              </w:rPr>
              <w:t>289</w:t>
            </w:r>
          </w:p>
        </w:tc>
        <w:tc>
          <w:tcPr>
            <w:tcW w:w="1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500" w:type="dxa"/>
            <w:vAlign w:val="bottom"/>
            <w:shd w:val="clear" w:color="auto" w:fill="CFF0FC"/>
          </w:tcPr>
          <w:p>
            <w:pPr>
              <w:jc w:val="right"/>
              <w:ind w:right="5"/>
              <w:spacing w:after="0"/>
              <w:rPr>
                <w:sz w:val="20"/>
                <w:szCs w:val="20"/>
                <w:color w:val="auto"/>
              </w:rPr>
            </w:pPr>
            <w:r>
              <w:rPr>
                <w:rFonts w:ascii="Arial" w:cs="Arial" w:eastAsia="Arial" w:hAnsi="Arial"/>
                <w:sz w:val="16"/>
                <w:szCs w:val="16"/>
                <w:color w:val="auto"/>
              </w:rPr>
              <w:t>49</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300" w:type="dxa"/>
            <w:vAlign w:val="bottom"/>
          </w:tcPr>
          <w:p>
            <w:pPr>
              <w:spacing w:after="0"/>
              <w:rPr>
                <w:sz w:val="17"/>
                <w:szCs w:val="17"/>
                <w:color w:val="auto"/>
              </w:rPr>
            </w:pPr>
          </w:p>
        </w:tc>
        <w:tc>
          <w:tcPr>
            <w:tcW w:w="2640" w:type="dxa"/>
            <w:vAlign w:val="bottom"/>
          </w:tcPr>
          <w:p>
            <w:pPr>
              <w:spacing w:after="0"/>
              <w:rPr>
                <w:sz w:val="20"/>
                <w:szCs w:val="20"/>
                <w:color w:val="auto"/>
              </w:rPr>
            </w:pPr>
            <w:r>
              <w:rPr>
                <w:rFonts w:ascii="Arial" w:cs="Arial" w:eastAsia="Arial" w:hAnsi="Arial"/>
                <w:sz w:val="16"/>
                <w:szCs w:val="16"/>
                <w:color w:val="auto"/>
              </w:rPr>
              <w:t>2023 - 2027</w:t>
            </w: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8"/>
              <w:spacing w:after="0"/>
              <w:rPr>
                <w:sz w:val="20"/>
                <w:szCs w:val="20"/>
                <w:color w:val="auto"/>
              </w:rPr>
            </w:pPr>
            <w:r>
              <w:rPr>
                <w:rFonts w:ascii="Arial" w:cs="Arial" w:eastAsia="Arial" w:hAnsi="Arial"/>
                <w:sz w:val="16"/>
                <w:szCs w:val="16"/>
                <w:color w:val="auto"/>
              </w:rPr>
              <w:t>1,290</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jc w:val="right"/>
              <w:ind w:right="5"/>
              <w:spacing w:after="0"/>
              <w:rPr>
                <w:sz w:val="20"/>
                <w:szCs w:val="20"/>
                <w:color w:val="auto"/>
              </w:rPr>
            </w:pPr>
            <w:r>
              <w:rPr>
                <w:rFonts w:ascii="Arial" w:cs="Arial" w:eastAsia="Arial" w:hAnsi="Arial"/>
                <w:sz w:val="16"/>
                <w:szCs w:val="16"/>
                <w:color w:val="auto"/>
              </w:rPr>
              <w:t>228</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18: OTHER POSTRETIREMENT BENEFITS</w:t>
      </w:r>
    </w:p>
    <w:p>
      <w:pPr>
        <w:spacing w:after="0" w:line="110" w:lineRule="exact"/>
        <w:rPr>
          <w:sz w:val="20"/>
          <w:szCs w:val="20"/>
          <w:color w:val="auto"/>
        </w:rPr>
      </w:pPr>
    </w:p>
    <w:p>
      <w:pPr>
        <w:ind w:right="220"/>
        <w:spacing w:after="0" w:line="261" w:lineRule="auto"/>
        <w:rPr>
          <w:sz w:val="20"/>
          <w:szCs w:val="20"/>
          <w:color w:val="auto"/>
        </w:rPr>
      </w:pPr>
      <w:r>
        <w:rPr>
          <w:rFonts w:ascii="Arial" w:cs="Arial" w:eastAsia="Arial" w:hAnsi="Arial"/>
          <w:sz w:val="16"/>
          <w:szCs w:val="16"/>
          <w:color w:val="auto"/>
        </w:rPr>
        <w:t>Kodak provides continued access to medical and dental benefits through lifetime COBRA coverage for certain eligible U.S. retirees and long-term disability recipients who elected such coverage, along with their spouses, dependents and survivors. In Canada, Kodak provides medical, dental, life insurance, and survivor income benefits to eligible retirees. In the U.K., Kodak provides medical benefits to eligible retirees. The other postretirement benefit plans in the U.S., Canada, and the U.K. are closed to new participants. Information on the U.S., Canada and U.K. other postretirement plans is presented below.</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auto"/>
        </w:rPr>
        <w:t>The measurement date used to determine the net benefit obligation for Kodak's other postretirement benefit plans is December 31.</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Changes in Kodak’s benefit obligation and funded status were as follows (in millions):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120" w:type="dxa"/>
            <w:vAlign w:val="bottom"/>
            <w:gridSpan w:val="4"/>
          </w:tcPr>
          <w:p>
            <w:pPr>
              <w:jc w:val="right"/>
              <w:ind w:right="107"/>
              <w:spacing w:after="0"/>
              <w:rPr>
                <w:sz w:val="20"/>
                <w:szCs w:val="20"/>
                <w:color w:val="auto"/>
              </w:rPr>
            </w:pPr>
            <w:r>
              <w:rPr>
                <w:rFonts w:ascii="Arial" w:cs="Arial" w:eastAsia="Arial" w:hAnsi="Arial"/>
                <w:sz w:val="13"/>
                <w:szCs w:val="13"/>
                <w:b w:val="1"/>
                <w:bCs w:val="1"/>
                <w:color w:val="auto"/>
              </w:rPr>
              <w:t>Year Ended December 31,</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72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2860" w:type="dxa"/>
            <w:vAlign w:val="bottom"/>
            <w:gridSpan w:val="2"/>
          </w:tcPr>
          <w:p>
            <w:pPr>
              <w:jc w:val="right"/>
              <w:ind w:right="28"/>
              <w:spacing w:after="0"/>
              <w:rPr>
                <w:sz w:val="20"/>
                <w:szCs w:val="20"/>
                <w:color w:val="auto"/>
              </w:rPr>
            </w:pPr>
            <w:r>
              <w:rPr>
                <w:rFonts w:ascii="Arial" w:cs="Arial" w:eastAsia="Arial" w:hAnsi="Arial"/>
                <w:sz w:val="13"/>
                <w:szCs w:val="13"/>
                <w:b w:val="1"/>
                <w:bCs w:val="1"/>
                <w:color w:val="auto"/>
              </w:rPr>
              <w:t>2017</w:t>
            </w: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jc w:val="right"/>
              <w:ind w:right="27"/>
              <w:spacing w:after="0"/>
              <w:rPr>
                <w:sz w:val="20"/>
                <w:szCs w:val="20"/>
                <w:color w:val="auto"/>
              </w:rPr>
            </w:pPr>
            <w:r>
              <w:rPr>
                <w:rFonts w:ascii="Arial" w:cs="Arial" w:eastAsia="Arial" w:hAnsi="Arial"/>
                <w:sz w:val="13"/>
                <w:szCs w:val="13"/>
                <w:b w:val="1"/>
                <w:bCs w:val="1"/>
                <w:color w:val="auto"/>
              </w:rPr>
              <w:t>2016</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1720" w:type="dxa"/>
            <w:vAlign w:val="bottom"/>
          </w:tcPr>
          <w:p>
            <w:pPr>
              <w:spacing w:after="0"/>
              <w:rPr>
                <w:sz w:val="17"/>
                <w:szCs w:val="17"/>
                <w:color w:val="auto"/>
              </w:rPr>
            </w:pPr>
          </w:p>
        </w:tc>
        <w:tc>
          <w:tcPr>
            <w:tcW w:w="3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Net benefit obligation at beginning of period</w:t>
            </w:r>
          </w:p>
        </w:tc>
        <w:tc>
          <w:tcPr>
            <w:tcW w:w="2060" w:type="dxa"/>
            <w:vAlign w:val="bottom"/>
            <w:tcBorders>
              <w:top w:val="single" w:sz="8" w:color="CFF0FC"/>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jc w:val="right"/>
              <w:ind w:right="648"/>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74</w:t>
            </w:r>
          </w:p>
        </w:tc>
        <w:tc>
          <w:tcPr>
            <w:tcW w:w="180" w:type="dxa"/>
            <w:vAlign w:val="bottom"/>
            <w:tcBorders>
              <w:top w:val="single" w:sz="8" w:color="CFF0FC"/>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jc w:val="right"/>
              <w:ind w:right="647"/>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78</w:t>
            </w:r>
          </w:p>
        </w:tc>
        <w:tc>
          <w:tcPr>
            <w:tcW w:w="80" w:type="dxa"/>
            <w:vAlign w:val="bottom"/>
            <w:tcBorders>
              <w:top w:val="single" w:sz="8" w:color="CFF0FC"/>
            </w:tcBorders>
            <w:shd w:val="clear" w:color="auto" w:fill="CFF0FC"/>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720" w:type="dxa"/>
            <w:vAlign w:val="bottom"/>
          </w:tcPr>
          <w:p>
            <w:pPr>
              <w:spacing w:after="0"/>
              <w:rPr>
                <w:sz w:val="17"/>
                <w:szCs w:val="17"/>
                <w:color w:val="auto"/>
              </w:rPr>
            </w:pPr>
          </w:p>
        </w:tc>
        <w:tc>
          <w:tcPr>
            <w:tcW w:w="3400" w:type="dxa"/>
            <w:vAlign w:val="bottom"/>
          </w:tcPr>
          <w:p>
            <w:pPr>
              <w:spacing w:after="0"/>
              <w:rPr>
                <w:sz w:val="20"/>
                <w:szCs w:val="20"/>
                <w:color w:val="auto"/>
              </w:rPr>
            </w:pPr>
            <w:r>
              <w:rPr>
                <w:rFonts w:ascii="Arial" w:cs="Arial" w:eastAsia="Arial" w:hAnsi="Arial"/>
                <w:sz w:val="16"/>
                <w:szCs w:val="16"/>
                <w:color w:val="auto"/>
              </w:rPr>
              <w:t>Interest cost</w:t>
            </w:r>
          </w:p>
        </w:tc>
        <w:tc>
          <w:tcPr>
            <w:tcW w:w="20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2</w:t>
            </w: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720" w:type="dxa"/>
            <w:vAlign w:val="bottom"/>
          </w:tcPr>
          <w:p>
            <w:pPr>
              <w:spacing w:after="0"/>
              <w:rPr>
                <w:sz w:val="17"/>
                <w:szCs w:val="17"/>
                <w:color w:val="auto"/>
              </w:rPr>
            </w:pPr>
          </w:p>
        </w:tc>
        <w:tc>
          <w:tcPr>
            <w:tcW w:w="3400" w:type="dxa"/>
            <w:vAlign w:val="bottom"/>
            <w:shd w:val="clear" w:color="auto" w:fill="CFF0FC"/>
          </w:tcPr>
          <w:p>
            <w:pPr>
              <w:spacing w:after="0"/>
              <w:rPr>
                <w:sz w:val="20"/>
                <w:szCs w:val="20"/>
                <w:color w:val="auto"/>
              </w:rPr>
            </w:pPr>
            <w:r>
              <w:rPr>
                <w:rFonts w:ascii="Arial" w:cs="Arial" w:eastAsia="Arial" w:hAnsi="Arial"/>
                <w:sz w:val="16"/>
                <w:szCs w:val="16"/>
                <w:color w:val="auto"/>
              </w:rPr>
              <w:t>Plan participants’ contributions</w:t>
            </w:r>
          </w:p>
        </w:tc>
        <w:tc>
          <w:tcPr>
            <w:tcW w:w="20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18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80" w:type="dxa"/>
            <w:vAlign w:val="bottom"/>
            <w:shd w:val="clear" w:color="auto" w:fill="CFF0FC"/>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720" w:type="dxa"/>
            <w:vAlign w:val="bottom"/>
          </w:tcPr>
          <w:p>
            <w:pPr>
              <w:spacing w:after="0"/>
              <w:rPr>
                <w:sz w:val="17"/>
                <w:szCs w:val="17"/>
                <w:color w:val="auto"/>
              </w:rPr>
            </w:pPr>
          </w:p>
        </w:tc>
        <w:tc>
          <w:tcPr>
            <w:tcW w:w="3400" w:type="dxa"/>
            <w:vAlign w:val="bottom"/>
          </w:tcPr>
          <w:p>
            <w:pPr>
              <w:spacing w:after="0"/>
              <w:rPr>
                <w:sz w:val="20"/>
                <w:szCs w:val="20"/>
                <w:color w:val="auto"/>
              </w:rPr>
            </w:pPr>
            <w:r>
              <w:rPr>
                <w:rFonts w:ascii="Arial" w:cs="Arial" w:eastAsia="Arial" w:hAnsi="Arial"/>
                <w:sz w:val="16"/>
                <w:szCs w:val="16"/>
                <w:color w:val="auto"/>
              </w:rPr>
              <w:t>Actuarial loss</w:t>
            </w:r>
          </w:p>
        </w:tc>
        <w:tc>
          <w:tcPr>
            <w:tcW w:w="20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1</w:t>
            </w: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720" w:type="dxa"/>
            <w:vAlign w:val="bottom"/>
          </w:tcPr>
          <w:p>
            <w:pPr>
              <w:spacing w:after="0"/>
              <w:rPr>
                <w:sz w:val="17"/>
                <w:szCs w:val="17"/>
                <w:color w:val="auto"/>
              </w:rPr>
            </w:pPr>
          </w:p>
        </w:tc>
        <w:tc>
          <w:tcPr>
            <w:tcW w:w="3400" w:type="dxa"/>
            <w:vAlign w:val="bottom"/>
            <w:shd w:val="clear" w:color="auto" w:fill="CFF0FC"/>
          </w:tcPr>
          <w:p>
            <w:pPr>
              <w:spacing w:after="0"/>
              <w:rPr>
                <w:sz w:val="20"/>
                <w:szCs w:val="20"/>
                <w:color w:val="auto"/>
              </w:rPr>
            </w:pPr>
            <w:r>
              <w:rPr>
                <w:rFonts w:ascii="Arial" w:cs="Arial" w:eastAsia="Arial" w:hAnsi="Arial"/>
                <w:sz w:val="16"/>
                <w:szCs w:val="16"/>
                <w:color w:val="auto"/>
              </w:rPr>
              <w:t>Benefit payments</w:t>
            </w:r>
          </w:p>
        </w:tc>
        <w:tc>
          <w:tcPr>
            <w:tcW w:w="20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5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(8)</w:t>
            </w:r>
          </w:p>
        </w:tc>
        <w:tc>
          <w:tcPr>
            <w:tcW w:w="800" w:type="dxa"/>
            <w:vAlign w:val="bottom"/>
            <w:shd w:val="clear" w:color="auto" w:fill="CFF0FC"/>
          </w:tcPr>
          <w:p>
            <w:pPr>
              <w:spacing w:after="0"/>
              <w:rPr>
                <w:sz w:val="17"/>
                <w:szCs w:val="17"/>
                <w:color w:val="auto"/>
              </w:rPr>
            </w:pPr>
          </w:p>
        </w:tc>
        <w:tc>
          <w:tcPr>
            <w:tcW w:w="4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(10)</w:t>
            </w: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720" w:type="dxa"/>
            <w:vAlign w:val="bottom"/>
          </w:tcPr>
          <w:p>
            <w:pPr>
              <w:spacing w:after="0"/>
              <w:rPr>
                <w:sz w:val="17"/>
                <w:szCs w:val="17"/>
                <w:color w:val="auto"/>
              </w:rPr>
            </w:pPr>
          </w:p>
        </w:tc>
        <w:tc>
          <w:tcPr>
            <w:tcW w:w="3400" w:type="dxa"/>
            <w:vAlign w:val="bottom"/>
          </w:tcPr>
          <w:p>
            <w:pPr>
              <w:spacing w:after="0"/>
              <w:rPr>
                <w:sz w:val="20"/>
                <w:szCs w:val="20"/>
                <w:color w:val="auto"/>
              </w:rPr>
            </w:pPr>
            <w:r>
              <w:rPr>
                <w:rFonts w:ascii="Arial" w:cs="Arial" w:eastAsia="Arial" w:hAnsi="Arial"/>
                <w:sz w:val="16"/>
                <w:szCs w:val="16"/>
                <w:color w:val="auto"/>
              </w:rPr>
              <w:t>Currency adjustments</w:t>
            </w:r>
          </w:p>
        </w:tc>
        <w:tc>
          <w:tcPr>
            <w:tcW w:w="20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2</w:t>
            </w: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6"/>
                <w:szCs w:val="16"/>
                <w:color w:val="auto"/>
              </w:rPr>
              <w:t>(2)</w:t>
            </w: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720" w:type="dxa"/>
            <w:vAlign w:val="bottom"/>
          </w:tcPr>
          <w:p>
            <w:pPr>
              <w:spacing w:after="0"/>
              <w:rPr>
                <w:sz w:val="17"/>
                <w:szCs w:val="17"/>
                <w:color w:val="auto"/>
              </w:rPr>
            </w:pPr>
          </w:p>
        </w:tc>
        <w:tc>
          <w:tcPr>
            <w:tcW w:w="34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Net benefit obligation at end of period</w:t>
            </w:r>
          </w:p>
        </w:tc>
        <w:tc>
          <w:tcPr>
            <w:tcW w:w="2060" w:type="dxa"/>
            <w:vAlign w:val="bottom"/>
            <w:tcBorders>
              <w:top w:val="single" w:sz="8" w:color="CFF0FC"/>
              <w:bottom w:val="single" w:sz="8" w:color="CFF0FC"/>
            </w:tcBorders>
            <w:shd w:val="clear" w:color="auto" w:fill="CFF0FC"/>
          </w:tcPr>
          <w:p>
            <w:pPr>
              <w:spacing w:after="0"/>
              <w:rPr>
                <w:sz w:val="17"/>
                <w:szCs w:val="17"/>
                <w:color w:val="auto"/>
              </w:rPr>
            </w:pPr>
          </w:p>
        </w:tc>
        <w:tc>
          <w:tcPr>
            <w:tcW w:w="800" w:type="dxa"/>
            <w:vAlign w:val="bottom"/>
            <w:tcBorders>
              <w:top w:val="single" w:sz="8" w:color="auto"/>
              <w:bottom w:val="single" w:sz="8" w:color="auto"/>
            </w:tcBorders>
            <w:shd w:val="clear" w:color="auto" w:fill="CFF0FC"/>
          </w:tcPr>
          <w:p>
            <w:pPr>
              <w:jc w:val="right"/>
              <w:ind w:right="648"/>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74</w:t>
            </w:r>
          </w:p>
        </w:tc>
        <w:tc>
          <w:tcPr>
            <w:tcW w:w="180" w:type="dxa"/>
            <w:vAlign w:val="bottom"/>
            <w:tcBorders>
              <w:top w:val="single" w:sz="8" w:color="CFF0FC"/>
              <w:bottom w:val="single" w:sz="8" w:color="CFF0FC"/>
            </w:tcBorders>
            <w:shd w:val="clear" w:color="auto" w:fill="CFF0FC"/>
          </w:tcPr>
          <w:p>
            <w:pPr>
              <w:spacing w:after="0"/>
              <w:rPr>
                <w:sz w:val="17"/>
                <w:szCs w:val="17"/>
                <w:color w:val="auto"/>
              </w:rPr>
            </w:pPr>
          </w:p>
        </w:tc>
        <w:tc>
          <w:tcPr>
            <w:tcW w:w="800" w:type="dxa"/>
            <w:vAlign w:val="bottom"/>
            <w:tcBorders>
              <w:top w:val="single" w:sz="8" w:color="auto"/>
              <w:bottom w:val="single" w:sz="8" w:color="auto"/>
            </w:tcBorders>
            <w:shd w:val="clear" w:color="auto" w:fill="CFF0FC"/>
          </w:tcPr>
          <w:p>
            <w:pPr>
              <w:jc w:val="right"/>
              <w:ind w:right="647"/>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74</w:t>
            </w: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720" w:type="dxa"/>
            <w:vAlign w:val="bottom"/>
            <w:vMerge w:val="restart"/>
          </w:tcPr>
          <w:p>
            <w:pPr>
              <w:spacing w:after="0"/>
              <w:rPr>
                <w:sz w:val="15"/>
                <w:szCs w:val="15"/>
                <w:color w:val="auto"/>
              </w:rPr>
            </w:pPr>
          </w:p>
        </w:tc>
        <w:tc>
          <w:tcPr>
            <w:tcW w:w="340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1720" w:type="dxa"/>
            <w:vAlign w:val="bottom"/>
            <w:vMerge w:val="continue"/>
          </w:tcPr>
          <w:p>
            <w:pPr>
              <w:spacing w:after="0"/>
              <w:rPr>
                <w:sz w:val="17"/>
                <w:szCs w:val="17"/>
                <w:color w:val="auto"/>
              </w:rPr>
            </w:pPr>
          </w:p>
        </w:tc>
        <w:tc>
          <w:tcPr>
            <w:tcW w:w="3400" w:type="dxa"/>
            <w:vAlign w:val="bottom"/>
            <w:shd w:val="clear" w:color="auto" w:fill="CFF0FC"/>
          </w:tcPr>
          <w:p>
            <w:pPr>
              <w:spacing w:after="0"/>
              <w:rPr>
                <w:sz w:val="20"/>
                <w:szCs w:val="20"/>
                <w:color w:val="auto"/>
              </w:rPr>
            </w:pPr>
            <w:r>
              <w:rPr>
                <w:rFonts w:ascii="Arial" w:cs="Arial" w:eastAsia="Arial" w:hAnsi="Arial"/>
                <w:sz w:val="16"/>
                <w:szCs w:val="16"/>
                <w:color w:val="auto"/>
              </w:rPr>
              <w:t>Underfunded status at end of period</w:t>
            </w:r>
          </w:p>
        </w:tc>
        <w:tc>
          <w:tcPr>
            <w:tcW w:w="2860" w:type="dxa"/>
            <w:vAlign w:val="bottom"/>
            <w:gridSpan w:val="2"/>
            <w:shd w:val="clear" w:color="auto" w:fill="CFF0FC"/>
          </w:tcPr>
          <w:p>
            <w:pPr>
              <w:jc w:val="right"/>
              <w:ind w:right="648"/>
              <w:spacing w:after="0"/>
              <w:rPr>
                <w:sz w:val="20"/>
                <w:szCs w:val="20"/>
                <w:color w:val="auto"/>
              </w:rPr>
            </w:pPr>
            <w:r>
              <w:rPr>
                <w:rFonts w:ascii="Arial" w:cs="Arial" w:eastAsia="Arial" w:hAnsi="Arial"/>
                <w:sz w:val="16"/>
                <w:szCs w:val="16"/>
                <w:color w:val="auto"/>
              </w:rPr>
              <w:t>$</w:t>
            </w:r>
          </w:p>
        </w:tc>
        <w:tc>
          <w:tcPr>
            <w:tcW w:w="5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(74)</w:t>
            </w:r>
          </w:p>
        </w:tc>
        <w:tc>
          <w:tcPr>
            <w:tcW w:w="800" w:type="dxa"/>
            <w:vAlign w:val="bottom"/>
            <w:shd w:val="clear" w:color="auto" w:fill="CFF0FC"/>
          </w:tcPr>
          <w:p>
            <w:pPr>
              <w:jc w:val="right"/>
              <w:ind w:right="647"/>
              <w:spacing w:after="0"/>
              <w:rPr>
                <w:sz w:val="20"/>
                <w:szCs w:val="20"/>
                <w:color w:val="auto"/>
              </w:rPr>
            </w:pPr>
            <w:r>
              <w:rPr>
                <w:rFonts w:ascii="Arial" w:cs="Arial" w:eastAsia="Arial" w:hAnsi="Arial"/>
                <w:sz w:val="15"/>
                <w:szCs w:val="15"/>
                <w:color w:val="auto"/>
                <w:w w:val="71"/>
              </w:rPr>
              <w:t>$</w:t>
            </w:r>
          </w:p>
        </w:tc>
        <w:tc>
          <w:tcPr>
            <w:tcW w:w="4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(74)</w:t>
            </w: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400" w:type="dxa"/>
            <w:vAlign w:val="bottom"/>
            <w:tcBorders>
              <w:top w:val="single" w:sz="8" w:color="CFF0FC"/>
            </w:tcBorders>
          </w:tcPr>
          <w:p>
            <w:pPr>
              <w:spacing w:after="0" w:line="20" w:lineRule="exact"/>
              <w:rPr>
                <w:sz w:val="1"/>
                <w:szCs w:val="1"/>
                <w:color w:val="auto"/>
              </w:rPr>
            </w:pPr>
          </w:p>
        </w:tc>
        <w:tc>
          <w:tcPr>
            <w:tcW w:w="2060" w:type="dxa"/>
            <w:vAlign w:val="bottom"/>
            <w:tcBorders>
              <w:top w:val="single" w:sz="8" w:color="CFF0FC"/>
              <w:bottom w:val="single" w:sz="8" w:color="CFF0FC"/>
            </w:tcBorders>
            <w:vMerge w:val="restart"/>
          </w:tcPr>
          <w:p>
            <w:pPr>
              <w:jc w:val="right"/>
              <w:ind w:right="1305"/>
              <w:spacing w:after="0"/>
              <w:rPr>
                <w:sz w:val="20"/>
                <w:szCs w:val="20"/>
                <w:color w:val="auto"/>
              </w:rPr>
            </w:pPr>
            <w:r>
              <w:rPr>
                <w:rFonts w:ascii="Arial" w:cs="Arial" w:eastAsia="Arial" w:hAnsi="Arial"/>
                <w:sz w:val="16"/>
                <w:szCs w:val="16"/>
                <w:color w:val="auto"/>
              </w:rPr>
              <w:t>90</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0"/>
        </w:trPr>
        <w:tc>
          <w:tcPr>
            <w:tcW w:w="17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206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1720" w:type="dxa"/>
            <w:vAlign w:val="bottom"/>
            <w:tcBorders>
              <w:bottom w:val="single" w:sz="8" w:color="9A9A9A"/>
            </w:tcBorders>
          </w:tcPr>
          <w:p>
            <w:pPr>
              <w:spacing w:after="0"/>
              <w:rPr>
                <w:sz w:val="8"/>
                <w:szCs w:val="8"/>
                <w:color w:val="auto"/>
              </w:rPr>
            </w:pPr>
          </w:p>
        </w:tc>
        <w:tc>
          <w:tcPr>
            <w:tcW w:w="3400" w:type="dxa"/>
            <w:vAlign w:val="bottom"/>
            <w:tcBorders>
              <w:bottom w:val="single" w:sz="8" w:color="9A9A9A"/>
            </w:tcBorders>
          </w:tcPr>
          <w:p>
            <w:pPr>
              <w:spacing w:after="0"/>
              <w:rPr>
                <w:sz w:val="8"/>
                <w:szCs w:val="8"/>
                <w:color w:val="auto"/>
              </w:rPr>
            </w:pPr>
          </w:p>
        </w:tc>
        <w:tc>
          <w:tcPr>
            <w:tcW w:w="206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7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7253605</wp:posOffset>
            </wp:positionH>
            <wp:positionV relativeFrom="paragraph">
              <wp:posOffset>-27305</wp:posOffset>
            </wp:positionV>
            <wp:extent cx="33020" cy="406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-27305</wp:posOffset>
            </wp:positionV>
            <wp:extent cx="33020" cy="406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460"/>
          </w:cols>
          <w:pgMar w:left="240" w:top="224" w:right="199" w:bottom="1440" w:gutter="0" w:footer="0" w:header="0"/>
        </w:sectPr>
      </w:pPr>
    </w:p>
    <w:bookmarkStart w:id="90" w:name="page91"/>
    <w:bookmarkEnd w:id="90"/>
    <w:p>
      <w:pPr>
        <w:spacing w:after="0"/>
        <w:rPr>
          <w:sz w:val="20"/>
          <w:szCs w:val="20"/>
          <w:color w:val="auto"/>
        </w:rPr>
      </w:pPr>
      <w:r>
        <w:rPr>
          <w:rFonts w:ascii="Arial" w:cs="Arial" w:eastAsia="Arial" w:hAnsi="Arial"/>
          <w:sz w:val="16"/>
          <w:szCs w:val="16"/>
          <w:color w:val="auto"/>
        </w:rPr>
        <w:t>Amounts recognized in the Consolidated Statement of Financial Position consist of (in millions):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gridSpan w:val="9"/>
          </w:tcPr>
          <w:p>
            <w:pPr>
              <w:jc w:val="center"/>
              <w:ind w:right="120"/>
              <w:spacing w:after="0"/>
              <w:rPr>
                <w:sz w:val="20"/>
                <w:szCs w:val="20"/>
                <w:color w:val="auto"/>
              </w:rPr>
            </w:pPr>
            <w:r>
              <w:rPr>
                <w:rFonts w:ascii="Arial" w:cs="Arial" w:eastAsia="Arial" w:hAnsi="Arial"/>
                <w:sz w:val="13"/>
                <w:szCs w:val="13"/>
                <w:b w:val="1"/>
                <w:bCs w:val="1"/>
                <w:color w:val="auto"/>
                <w:w w:val="87"/>
              </w:rPr>
              <w:t>As of December 31,</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70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56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gridSpan w:val="3"/>
          </w:tcPr>
          <w:p>
            <w:pPr>
              <w:jc w:val="right"/>
              <w:ind w:right="372"/>
              <w:spacing w:after="0"/>
              <w:rPr>
                <w:sz w:val="20"/>
                <w:szCs w:val="20"/>
                <w:color w:val="auto"/>
              </w:rPr>
            </w:pPr>
            <w:r>
              <w:rPr>
                <w:rFonts w:ascii="Arial" w:cs="Arial" w:eastAsia="Arial" w:hAnsi="Arial"/>
                <w:sz w:val="13"/>
                <w:szCs w:val="13"/>
                <w:b w:val="1"/>
                <w:bCs w:val="1"/>
                <w:color w:val="auto"/>
                <w:w w:val="82"/>
              </w:rPr>
              <w:t>2017</w:t>
            </w:r>
          </w:p>
        </w:tc>
        <w:tc>
          <w:tcPr>
            <w:tcW w:w="20" w:type="dxa"/>
            <w:vAlign w:val="bottom"/>
            <w:tcBorders>
              <w:bottom w:val="single" w:sz="8" w:color="CFF0FC"/>
            </w:tcBorders>
          </w:tcPr>
          <w:p>
            <w:pPr>
              <w:spacing w:after="0"/>
              <w:rPr>
                <w:sz w:val="13"/>
                <w:szCs w:val="13"/>
                <w:color w:val="auto"/>
              </w:rPr>
            </w:pPr>
          </w:p>
        </w:tc>
        <w:tc>
          <w:tcPr>
            <w:tcW w:w="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40" w:type="dxa"/>
            <w:vAlign w:val="bottom"/>
            <w:tcBorders>
              <w:bottom w:val="single" w:sz="8" w:color="CFF0FC"/>
            </w:tcBorders>
          </w:tcPr>
          <w:p>
            <w:pPr>
              <w:spacing w:after="0"/>
              <w:rPr>
                <w:sz w:val="13"/>
                <w:szCs w:val="13"/>
                <w:color w:val="auto"/>
              </w:rPr>
            </w:pPr>
          </w:p>
        </w:tc>
        <w:tc>
          <w:tcPr>
            <w:tcW w:w="720" w:type="dxa"/>
            <w:vAlign w:val="bottom"/>
            <w:tcBorders>
              <w:bottom w:val="single" w:sz="8" w:color="auto"/>
            </w:tcBorders>
            <w:gridSpan w:val="5"/>
          </w:tcPr>
          <w:p>
            <w:pPr>
              <w:jc w:val="right"/>
              <w:spacing w:after="0"/>
              <w:rPr>
                <w:sz w:val="20"/>
                <w:szCs w:val="20"/>
                <w:color w:val="auto"/>
              </w:rPr>
            </w:pPr>
            <w:r>
              <w:rPr>
                <w:rFonts w:ascii="Arial" w:cs="Arial" w:eastAsia="Arial" w:hAnsi="Arial"/>
                <w:sz w:val="13"/>
                <w:szCs w:val="13"/>
                <w:b w:val="1"/>
                <w:bCs w:val="1"/>
                <w:color w:val="auto"/>
              </w:rPr>
              <w:t>2016</w:t>
            </w:r>
          </w:p>
        </w:tc>
        <w:tc>
          <w:tcPr>
            <w:tcW w:w="3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1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6"/>
                <w:szCs w:val="16"/>
                <w:color w:val="auto"/>
              </w:rPr>
              <w:t>Other current liabilities</w:t>
            </w:r>
          </w:p>
        </w:tc>
        <w:tc>
          <w:tcPr>
            <w:tcW w:w="1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760" w:type="dxa"/>
            <w:vAlign w:val="bottom"/>
            <w:gridSpan w:val="5"/>
            <w:shd w:val="clear" w:color="auto" w:fill="CFF0FC"/>
          </w:tcPr>
          <w:p>
            <w:pPr>
              <w:jc w:val="right"/>
              <w:ind w:right="20"/>
              <w:spacing w:after="0"/>
              <w:rPr>
                <w:sz w:val="20"/>
                <w:szCs w:val="20"/>
                <w:color w:val="auto"/>
              </w:rPr>
            </w:pPr>
            <w:r>
              <w:rPr>
                <w:rFonts w:ascii="Arial" w:cs="Arial" w:eastAsia="Arial" w:hAnsi="Arial"/>
                <w:sz w:val="16"/>
                <w:szCs w:val="16"/>
                <w:color w:val="auto"/>
              </w:rPr>
              <w:t>(5)</w:t>
            </w: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00" w:type="dxa"/>
            <w:vAlign w:val="bottom"/>
            <w:gridSpan w:val="3"/>
            <w:shd w:val="clear" w:color="auto" w:fill="CFF0FC"/>
          </w:tcPr>
          <w:p>
            <w:pPr>
              <w:jc w:val="right"/>
              <w:ind w:right="40"/>
              <w:spacing w:after="0"/>
              <w:rPr>
                <w:sz w:val="20"/>
                <w:szCs w:val="20"/>
                <w:color w:val="auto"/>
              </w:rPr>
            </w:pPr>
            <w:r>
              <w:rPr>
                <w:rFonts w:ascii="Arial" w:cs="Arial" w:eastAsia="Arial" w:hAnsi="Arial"/>
                <w:sz w:val="16"/>
                <w:szCs w:val="16"/>
                <w:color w:val="auto"/>
              </w:rPr>
              <w:t>(5)</w:t>
            </w: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700" w:type="dxa"/>
            <w:vAlign w:val="bottom"/>
          </w:tcPr>
          <w:p>
            <w:pPr>
              <w:spacing w:after="0"/>
              <w:rPr>
                <w:sz w:val="20"/>
                <w:szCs w:val="20"/>
                <w:color w:val="auto"/>
              </w:rPr>
            </w:pPr>
            <w:r>
              <w:rPr>
                <w:rFonts w:ascii="Arial" w:cs="Arial" w:eastAsia="Arial" w:hAnsi="Arial"/>
                <w:sz w:val="16"/>
                <w:szCs w:val="16"/>
                <w:color w:val="auto"/>
              </w:rPr>
              <w:t>Pension and other postretirement liabilities</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gridSpan w:val="5"/>
          </w:tcPr>
          <w:p>
            <w:pPr>
              <w:jc w:val="right"/>
              <w:ind w:right="20"/>
              <w:spacing w:after="0"/>
              <w:rPr>
                <w:sz w:val="20"/>
                <w:szCs w:val="20"/>
                <w:color w:val="auto"/>
              </w:rPr>
            </w:pPr>
            <w:r>
              <w:rPr>
                <w:rFonts w:ascii="Arial" w:cs="Arial" w:eastAsia="Arial" w:hAnsi="Arial"/>
                <w:sz w:val="16"/>
                <w:szCs w:val="16"/>
                <w:color w:val="auto"/>
              </w:rPr>
              <w:t>(69)</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gridSpan w:val="3"/>
          </w:tcPr>
          <w:p>
            <w:pPr>
              <w:jc w:val="right"/>
              <w:ind w:right="40"/>
              <w:spacing w:after="0"/>
              <w:rPr>
                <w:sz w:val="20"/>
                <w:szCs w:val="20"/>
                <w:color w:val="auto"/>
              </w:rPr>
            </w:pPr>
            <w:r>
              <w:rPr>
                <w:rFonts w:ascii="Arial" w:cs="Arial" w:eastAsia="Arial" w:hAnsi="Arial"/>
                <w:sz w:val="16"/>
                <w:szCs w:val="16"/>
                <w:color w:val="auto"/>
              </w:rPr>
              <w:t>(69)</w:t>
            </w: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70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560" w:type="dxa"/>
            <w:vAlign w:val="bottom"/>
            <w:tcBorders>
              <w:top w:val="single" w:sz="8" w:color="CFF0FC"/>
              <w:bottom w:val="single" w:sz="8" w:color="CFF0FC"/>
            </w:tcBorders>
            <w:shd w:val="clear" w:color="auto" w:fill="CFF0FC"/>
          </w:tcPr>
          <w:p>
            <w:pPr>
              <w:spacing w:after="0"/>
              <w:rPr>
                <w:sz w:val="17"/>
                <w:szCs w:val="17"/>
                <w:color w:val="auto"/>
              </w:rPr>
            </w:pP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c>
          <w:tcPr>
            <w:tcW w:w="4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Arial" w:cs="Arial" w:eastAsia="Arial" w:hAnsi="Arial"/>
                <w:sz w:val="16"/>
                <w:szCs w:val="16"/>
                <w:color w:val="auto"/>
              </w:rPr>
              <w:t>(74)</w:t>
            </w:r>
          </w:p>
        </w:tc>
        <w:tc>
          <w:tcPr>
            <w:tcW w:w="20" w:type="dxa"/>
            <w:vAlign w:val="bottom"/>
            <w:tcBorders>
              <w:top w:val="single" w:sz="8" w:color="CFF0FC"/>
              <w:bottom w:val="single" w:sz="8" w:color="CFF0FC"/>
            </w:tcBorders>
            <w:shd w:val="clear" w:color="auto" w:fill="CFF0FC"/>
          </w:tcPr>
          <w:p>
            <w:pPr>
              <w:spacing w:after="0"/>
              <w:rPr>
                <w:sz w:val="17"/>
                <w:szCs w:val="17"/>
                <w:color w:val="auto"/>
              </w:rPr>
            </w:pPr>
          </w:p>
        </w:tc>
        <w:tc>
          <w:tcPr>
            <w:tcW w:w="40" w:type="dxa"/>
            <w:vAlign w:val="bottom"/>
            <w:tcBorders>
              <w:top w:val="single" w:sz="8" w:color="CFF0FC"/>
              <w:bottom w:val="single" w:sz="8" w:color="CFF0FC"/>
            </w:tcBorders>
            <w:shd w:val="clear" w:color="auto" w:fill="CFF0FC"/>
          </w:tcPr>
          <w:p>
            <w:pPr>
              <w:spacing w:after="0"/>
              <w:rPr>
                <w:sz w:val="17"/>
                <w:szCs w:val="17"/>
                <w:color w:val="auto"/>
              </w:rPr>
            </w:pP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c>
          <w:tcPr>
            <w:tcW w:w="40" w:type="dxa"/>
            <w:vAlign w:val="bottom"/>
            <w:tcBorders>
              <w:top w:val="single" w:sz="8" w:color="CFF0FC"/>
              <w:bottom w:val="single" w:sz="8" w:color="CFF0FC"/>
            </w:tcBorders>
            <w:shd w:val="clear" w:color="auto" w:fill="CFF0FC"/>
          </w:tcPr>
          <w:p>
            <w:pPr>
              <w:spacing w:after="0"/>
              <w:rPr>
                <w:sz w:val="17"/>
                <w:szCs w:val="17"/>
                <w:color w:val="auto"/>
              </w:rPr>
            </w:pPr>
          </w:p>
        </w:tc>
        <w:tc>
          <w:tcPr>
            <w:tcW w:w="3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auto"/>
              <w:bottom w:val="single" w:sz="8" w:color="auto"/>
            </w:tcBorders>
            <w:shd w:val="clear" w:color="auto" w:fill="CFF0FC"/>
          </w:tcPr>
          <w:p>
            <w:pPr>
              <w:spacing w:after="0"/>
              <w:rPr>
                <w:sz w:val="17"/>
                <w:szCs w:val="17"/>
                <w:color w:val="auto"/>
              </w:rPr>
            </w:pPr>
          </w:p>
        </w:tc>
        <w:tc>
          <w:tcPr>
            <w:tcW w:w="180" w:type="dxa"/>
            <w:vAlign w:val="bottom"/>
            <w:tcBorders>
              <w:top w:val="single" w:sz="8" w:color="auto"/>
              <w:bottom w:val="single" w:sz="8" w:color="auto"/>
            </w:tcBorders>
            <w:shd w:val="clear" w:color="auto" w:fill="CFF0FC"/>
          </w:tcPr>
          <w:p>
            <w:pPr>
              <w:spacing w:after="0"/>
              <w:rPr>
                <w:sz w:val="17"/>
                <w:szCs w:val="17"/>
                <w:color w:val="auto"/>
              </w:rPr>
            </w:pPr>
          </w:p>
        </w:tc>
        <w:tc>
          <w:tcPr>
            <w:tcW w:w="40" w:type="dxa"/>
            <w:vAlign w:val="bottom"/>
            <w:tcBorders>
              <w:top w:val="single" w:sz="8" w:color="auto"/>
              <w:bottom w:val="single" w:sz="8" w:color="auto"/>
            </w:tcBorders>
            <w:shd w:val="clear" w:color="auto" w:fill="CFF0FC"/>
          </w:tcPr>
          <w:p>
            <w:pPr>
              <w:spacing w:after="0"/>
              <w:rPr>
                <w:sz w:val="17"/>
                <w:szCs w:val="17"/>
                <w:color w:val="auto"/>
              </w:rPr>
            </w:pPr>
          </w:p>
        </w:tc>
        <w:tc>
          <w:tcPr>
            <w:tcW w:w="100" w:type="dxa"/>
            <w:vAlign w:val="bottom"/>
            <w:tcBorders>
              <w:top w:val="single" w:sz="8" w:color="auto"/>
              <w:bottom w:val="single" w:sz="8" w:color="auto"/>
            </w:tcBorders>
            <w:shd w:val="clear" w:color="auto" w:fill="CFF0FC"/>
          </w:tcPr>
          <w:p>
            <w:pPr>
              <w:spacing w:after="0"/>
              <w:rPr>
                <w:sz w:val="17"/>
                <w:szCs w:val="17"/>
                <w:color w:val="auto"/>
              </w:rPr>
            </w:pPr>
          </w:p>
        </w:tc>
        <w:tc>
          <w:tcPr>
            <w:tcW w:w="4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6"/>
                <w:szCs w:val="16"/>
                <w:color w:val="auto"/>
              </w:rPr>
              <w:t>(74)</w:t>
            </w: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20" w:type="dxa"/>
            <w:vAlign w:val="bottom"/>
            <w:gridSpan w:val="3"/>
            <w:vMerge w:val="restart"/>
          </w:tcPr>
          <w:p>
            <w:pPr>
              <w:spacing w:after="0"/>
              <w:rPr>
                <w:sz w:val="20"/>
                <w:szCs w:val="20"/>
                <w:color w:val="auto"/>
              </w:rPr>
            </w:pPr>
            <w:r>
              <w:rPr>
                <w:rFonts w:ascii="Arial" w:cs="Arial" w:eastAsia="Arial" w:hAnsi="Arial"/>
                <w:sz w:val="16"/>
                <w:szCs w:val="16"/>
                <w:color w:val="auto"/>
              </w:rPr>
              <w:t>Amounts recognized in Accumulated other comprehensive loss consist of (in millions):</w:t>
            </w: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7"/>
        </w:trPr>
        <w:tc>
          <w:tcPr>
            <w:tcW w:w="6420" w:type="dxa"/>
            <w:vAlign w:val="bottom"/>
            <w:gridSpan w:val="3"/>
            <w:vMerge w:val="continue"/>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1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gridSpan w:val="9"/>
          </w:tcPr>
          <w:p>
            <w:pPr>
              <w:jc w:val="center"/>
              <w:ind w:right="120"/>
              <w:spacing w:after="0"/>
              <w:rPr>
                <w:sz w:val="20"/>
                <w:szCs w:val="20"/>
                <w:color w:val="auto"/>
              </w:rPr>
            </w:pPr>
            <w:r>
              <w:rPr>
                <w:rFonts w:ascii="Arial" w:cs="Arial" w:eastAsia="Arial" w:hAnsi="Arial"/>
                <w:sz w:val="13"/>
                <w:szCs w:val="13"/>
                <w:b w:val="1"/>
                <w:bCs w:val="1"/>
                <w:color w:val="auto"/>
                <w:w w:val="87"/>
              </w:rPr>
              <w:t>As of December 31,</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1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70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56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gridSpan w:val="3"/>
          </w:tcPr>
          <w:p>
            <w:pPr>
              <w:jc w:val="right"/>
              <w:ind w:right="372"/>
              <w:spacing w:after="0"/>
              <w:rPr>
                <w:sz w:val="20"/>
                <w:szCs w:val="20"/>
                <w:color w:val="auto"/>
              </w:rPr>
            </w:pPr>
            <w:r>
              <w:rPr>
                <w:rFonts w:ascii="Arial" w:cs="Arial" w:eastAsia="Arial" w:hAnsi="Arial"/>
                <w:sz w:val="13"/>
                <w:szCs w:val="13"/>
                <w:b w:val="1"/>
                <w:bCs w:val="1"/>
                <w:color w:val="auto"/>
                <w:w w:val="82"/>
              </w:rPr>
              <w:t>2017</w:t>
            </w: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40" w:type="dxa"/>
            <w:vAlign w:val="bottom"/>
            <w:tcBorders>
              <w:bottom w:val="single" w:sz="8" w:color="CFF0FC"/>
            </w:tcBorders>
          </w:tcPr>
          <w:p>
            <w:pPr>
              <w:spacing w:after="0"/>
              <w:rPr>
                <w:sz w:val="13"/>
                <w:szCs w:val="13"/>
                <w:color w:val="auto"/>
              </w:rPr>
            </w:pPr>
          </w:p>
        </w:tc>
        <w:tc>
          <w:tcPr>
            <w:tcW w:w="720" w:type="dxa"/>
            <w:vAlign w:val="bottom"/>
            <w:tcBorders>
              <w:bottom w:val="single" w:sz="8" w:color="auto"/>
            </w:tcBorders>
            <w:gridSpan w:val="5"/>
          </w:tcPr>
          <w:p>
            <w:pPr>
              <w:jc w:val="right"/>
              <w:spacing w:after="0"/>
              <w:rPr>
                <w:sz w:val="20"/>
                <w:szCs w:val="20"/>
                <w:color w:val="auto"/>
              </w:rPr>
            </w:pPr>
            <w:r>
              <w:rPr>
                <w:rFonts w:ascii="Arial" w:cs="Arial" w:eastAsia="Arial" w:hAnsi="Arial"/>
                <w:sz w:val="13"/>
                <w:szCs w:val="13"/>
                <w:b w:val="1"/>
                <w:bCs w:val="1"/>
                <w:color w:val="auto"/>
              </w:rPr>
              <w:t>2016</w:t>
            </w:r>
          </w:p>
        </w:tc>
        <w:tc>
          <w:tcPr>
            <w:tcW w:w="3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1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6"/>
                <w:szCs w:val="16"/>
                <w:color w:val="auto"/>
              </w:rPr>
              <w:t>Net actuarial gain</w:t>
            </w:r>
          </w:p>
        </w:tc>
        <w:tc>
          <w:tcPr>
            <w:tcW w:w="1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760" w:type="dxa"/>
            <w:vAlign w:val="bottom"/>
            <w:gridSpan w:val="5"/>
            <w:shd w:val="clear" w:color="auto" w:fill="CFF0FC"/>
          </w:tcPr>
          <w:p>
            <w:pPr>
              <w:jc w:val="right"/>
              <w:ind w:right="20"/>
              <w:spacing w:after="0"/>
              <w:rPr>
                <w:sz w:val="20"/>
                <w:szCs w:val="20"/>
                <w:color w:val="auto"/>
              </w:rPr>
            </w:pPr>
            <w:r>
              <w:rPr>
                <w:rFonts w:ascii="Arial" w:cs="Arial" w:eastAsia="Arial" w:hAnsi="Arial"/>
                <w:sz w:val="16"/>
                <w:szCs w:val="16"/>
                <w:color w:val="auto"/>
              </w:rPr>
              <w:t>(2)</w:t>
            </w: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00" w:type="dxa"/>
            <w:vAlign w:val="bottom"/>
            <w:gridSpan w:val="3"/>
            <w:shd w:val="clear" w:color="auto" w:fill="CFF0FC"/>
          </w:tcPr>
          <w:p>
            <w:pPr>
              <w:jc w:val="right"/>
              <w:ind w:right="40"/>
              <w:spacing w:after="0"/>
              <w:rPr>
                <w:sz w:val="20"/>
                <w:szCs w:val="20"/>
                <w:color w:val="auto"/>
              </w:rPr>
            </w:pPr>
            <w:r>
              <w:rPr>
                <w:rFonts w:ascii="Arial" w:cs="Arial" w:eastAsia="Arial" w:hAnsi="Arial"/>
                <w:sz w:val="16"/>
                <w:szCs w:val="16"/>
                <w:color w:val="auto"/>
              </w:rPr>
              <w:t>(5)</w:t>
            </w: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1"/>
        </w:trPr>
        <w:tc>
          <w:tcPr>
            <w:tcW w:w="7100" w:type="dxa"/>
            <w:vAlign w:val="bottom"/>
            <w:gridSpan w:val="5"/>
          </w:tcPr>
          <w:p>
            <w:pPr>
              <w:spacing w:after="0"/>
              <w:rPr>
                <w:sz w:val="20"/>
                <w:szCs w:val="20"/>
                <w:color w:val="auto"/>
              </w:rPr>
            </w:pPr>
            <w:r>
              <w:rPr>
                <w:rFonts w:ascii="Arial" w:cs="Arial" w:eastAsia="Arial" w:hAnsi="Arial"/>
                <w:sz w:val="16"/>
                <w:szCs w:val="16"/>
                <w:color w:val="auto"/>
                <w:w w:val="96"/>
              </w:rPr>
              <w:t>Changes in benefit obligations recognized in Other comprehensive loss (income) consist of (in millions):</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1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0" w:type="dxa"/>
            <w:vAlign w:val="bottom"/>
            <w:gridSpan w:val="12"/>
          </w:tcPr>
          <w:p>
            <w:pPr>
              <w:jc w:val="center"/>
              <w:spacing w:after="0"/>
              <w:rPr>
                <w:sz w:val="20"/>
                <w:szCs w:val="20"/>
                <w:color w:val="auto"/>
              </w:rPr>
            </w:pPr>
            <w:r>
              <w:rPr>
                <w:rFonts w:ascii="Arial" w:cs="Arial" w:eastAsia="Arial" w:hAnsi="Arial"/>
                <w:sz w:val="13"/>
                <w:szCs w:val="13"/>
                <w:b w:val="1"/>
                <w:bCs w:val="1"/>
                <w:color w:val="auto"/>
                <w:w w:val="90"/>
              </w:rPr>
              <w:t>Year Ended December 31,</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1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70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56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gridSpan w:val="3"/>
          </w:tcPr>
          <w:p>
            <w:pPr>
              <w:jc w:val="right"/>
              <w:ind w:right="372"/>
              <w:spacing w:after="0"/>
              <w:rPr>
                <w:sz w:val="20"/>
                <w:szCs w:val="20"/>
                <w:color w:val="auto"/>
              </w:rPr>
            </w:pPr>
            <w:r>
              <w:rPr>
                <w:rFonts w:ascii="Arial" w:cs="Arial" w:eastAsia="Arial" w:hAnsi="Arial"/>
                <w:sz w:val="13"/>
                <w:szCs w:val="13"/>
                <w:b w:val="1"/>
                <w:bCs w:val="1"/>
                <w:color w:val="auto"/>
                <w:w w:val="82"/>
              </w:rPr>
              <w:t>2017</w:t>
            </w:r>
          </w:p>
        </w:tc>
        <w:tc>
          <w:tcPr>
            <w:tcW w:w="20" w:type="dxa"/>
            <w:vAlign w:val="bottom"/>
            <w:tcBorders>
              <w:bottom w:val="single" w:sz="8" w:color="CFF0FC"/>
            </w:tcBorders>
          </w:tcPr>
          <w:p>
            <w:pPr>
              <w:spacing w:after="0"/>
              <w:rPr>
                <w:sz w:val="13"/>
                <w:szCs w:val="13"/>
                <w:color w:val="auto"/>
              </w:rPr>
            </w:pPr>
          </w:p>
        </w:tc>
        <w:tc>
          <w:tcPr>
            <w:tcW w:w="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40" w:type="dxa"/>
            <w:vAlign w:val="bottom"/>
            <w:tcBorders>
              <w:bottom w:val="single" w:sz="8" w:color="CFF0FC"/>
            </w:tcBorders>
          </w:tcPr>
          <w:p>
            <w:pPr>
              <w:spacing w:after="0"/>
              <w:rPr>
                <w:sz w:val="13"/>
                <w:szCs w:val="13"/>
                <w:color w:val="auto"/>
              </w:rPr>
            </w:pPr>
          </w:p>
        </w:tc>
        <w:tc>
          <w:tcPr>
            <w:tcW w:w="720" w:type="dxa"/>
            <w:vAlign w:val="bottom"/>
            <w:tcBorders>
              <w:bottom w:val="single" w:sz="8" w:color="auto"/>
            </w:tcBorders>
            <w:gridSpan w:val="5"/>
          </w:tcPr>
          <w:p>
            <w:pPr>
              <w:jc w:val="right"/>
              <w:spacing w:after="0"/>
              <w:rPr>
                <w:sz w:val="20"/>
                <w:szCs w:val="20"/>
                <w:color w:val="auto"/>
              </w:rPr>
            </w:pPr>
            <w:r>
              <w:rPr>
                <w:rFonts w:ascii="Arial" w:cs="Arial" w:eastAsia="Arial" w:hAnsi="Arial"/>
                <w:sz w:val="13"/>
                <w:szCs w:val="13"/>
                <w:b w:val="1"/>
                <w:bCs w:val="1"/>
                <w:color w:val="auto"/>
              </w:rPr>
              <w:t>2016</w:t>
            </w:r>
          </w:p>
        </w:tc>
        <w:tc>
          <w:tcPr>
            <w:tcW w:w="3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1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6"/>
                <w:szCs w:val="16"/>
                <w:color w:val="auto"/>
              </w:rPr>
              <w:t>Newly established loss</w:t>
            </w:r>
          </w:p>
        </w:tc>
        <w:tc>
          <w:tcPr>
            <w:tcW w:w="1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70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w:t>
            </w:r>
          </w:p>
        </w:tc>
        <w:tc>
          <w:tcPr>
            <w:tcW w:w="80" w:type="dxa"/>
            <w:vAlign w:val="bottom"/>
            <w:shd w:val="clear" w:color="auto" w:fill="CFF0FC"/>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700" w:type="dxa"/>
            <w:vAlign w:val="bottom"/>
          </w:tcPr>
          <w:p>
            <w:pPr>
              <w:spacing w:after="0"/>
              <w:rPr>
                <w:sz w:val="20"/>
                <w:szCs w:val="20"/>
                <w:color w:val="auto"/>
              </w:rPr>
            </w:pPr>
            <w:r>
              <w:rPr>
                <w:rFonts w:ascii="Arial" w:cs="Arial" w:eastAsia="Arial" w:hAnsi="Arial"/>
                <w:sz w:val="16"/>
                <w:szCs w:val="16"/>
                <w:color w:val="auto"/>
              </w:rPr>
              <w:t>Amortization of:</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700" w:type="dxa"/>
            <w:vAlign w:val="bottom"/>
            <w:shd w:val="clear" w:color="auto" w:fill="CFF0FC"/>
          </w:tcPr>
          <w:p>
            <w:pPr>
              <w:ind w:left="80"/>
              <w:spacing w:after="0"/>
              <w:rPr>
                <w:sz w:val="20"/>
                <w:szCs w:val="20"/>
                <w:color w:val="auto"/>
              </w:rPr>
            </w:pPr>
            <w:r>
              <w:rPr>
                <w:rFonts w:ascii="Arial" w:cs="Arial" w:eastAsia="Arial" w:hAnsi="Arial"/>
                <w:sz w:val="16"/>
                <w:szCs w:val="16"/>
                <w:color w:val="auto"/>
              </w:rPr>
              <w:t>Net actuarial gain</w:t>
            </w:r>
          </w:p>
        </w:tc>
        <w:tc>
          <w:tcPr>
            <w:tcW w:w="1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4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40" w:type="dxa"/>
            <w:vAlign w:val="bottom"/>
            <w:tcBorders>
              <w:bottom w:val="single" w:sz="8" w:color="auto"/>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4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w:t>
            </w:r>
          </w:p>
        </w:tc>
        <w:tc>
          <w:tcPr>
            <w:tcW w:w="80" w:type="dxa"/>
            <w:vAlign w:val="bottom"/>
            <w:shd w:val="clear" w:color="auto" w:fill="CFF0FC"/>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140" w:type="dxa"/>
            <w:vAlign w:val="bottom"/>
          </w:tcPr>
          <w:p>
            <w:pPr>
              <w:spacing w:after="0"/>
              <w:rPr>
                <w:sz w:val="17"/>
                <w:szCs w:val="17"/>
                <w:color w:val="auto"/>
              </w:rPr>
            </w:pPr>
          </w:p>
        </w:tc>
        <w:tc>
          <w:tcPr>
            <w:tcW w:w="5280" w:type="dxa"/>
            <w:vAlign w:val="bottom"/>
            <w:gridSpan w:val="2"/>
          </w:tcPr>
          <w:p>
            <w:pPr>
              <w:ind w:left="580"/>
              <w:spacing w:after="0"/>
              <w:rPr>
                <w:sz w:val="20"/>
                <w:szCs w:val="20"/>
                <w:color w:val="auto"/>
              </w:rPr>
            </w:pPr>
            <w:r>
              <w:rPr>
                <w:rFonts w:ascii="Arial" w:cs="Arial" w:eastAsia="Arial" w:hAnsi="Arial"/>
                <w:sz w:val="16"/>
                <w:szCs w:val="16"/>
                <w:color w:val="auto"/>
              </w:rPr>
              <w:t>Total loss recognized in Other comprehensive (loss) income</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3</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20" w:type="dxa"/>
            <w:vAlign w:val="bottom"/>
            <w:gridSpan w:val="3"/>
            <w:vMerge w:val="restart"/>
          </w:tcPr>
          <w:p>
            <w:pPr>
              <w:spacing w:after="0"/>
              <w:rPr>
                <w:sz w:val="20"/>
                <w:szCs w:val="20"/>
                <w:color w:val="auto"/>
              </w:rPr>
            </w:pPr>
            <w:r>
              <w:rPr>
                <w:rFonts w:ascii="Arial" w:cs="Arial" w:eastAsia="Arial" w:hAnsi="Arial"/>
                <w:sz w:val="16"/>
                <w:szCs w:val="16"/>
                <w:color w:val="auto"/>
              </w:rPr>
              <w:t>Other postretirement benefit cost included:</w:t>
            </w: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7"/>
        </w:trPr>
        <w:tc>
          <w:tcPr>
            <w:tcW w:w="6420" w:type="dxa"/>
            <w:vAlign w:val="bottom"/>
            <w:gridSpan w:val="3"/>
            <w:vMerge w:val="continue"/>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1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00" w:type="dxa"/>
            <w:vAlign w:val="bottom"/>
            <w:gridSpan w:val="11"/>
          </w:tcPr>
          <w:p>
            <w:pPr>
              <w:jc w:val="center"/>
              <w:spacing w:after="0"/>
              <w:rPr>
                <w:sz w:val="20"/>
                <w:szCs w:val="20"/>
                <w:color w:val="auto"/>
              </w:rPr>
            </w:pPr>
            <w:r>
              <w:rPr>
                <w:rFonts w:ascii="Arial" w:cs="Arial" w:eastAsia="Arial" w:hAnsi="Arial"/>
                <w:sz w:val="13"/>
                <w:szCs w:val="13"/>
                <w:b w:val="1"/>
                <w:bCs w:val="1"/>
                <w:color w:val="auto"/>
                <w:w w:val="88"/>
              </w:rPr>
              <w:t>Year Ended December 31,</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1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700" w:type="dxa"/>
            <w:vAlign w:val="bottom"/>
          </w:tcPr>
          <w:p>
            <w:pPr>
              <w:spacing w:after="0"/>
              <w:rPr>
                <w:sz w:val="13"/>
                <w:szCs w:val="13"/>
                <w:color w:val="auto"/>
              </w:rPr>
            </w:pPr>
          </w:p>
        </w:tc>
        <w:tc>
          <w:tcPr>
            <w:tcW w:w="1200" w:type="dxa"/>
            <w:vAlign w:val="bottom"/>
            <w:gridSpan w:val="4"/>
          </w:tcPr>
          <w:p>
            <w:pPr>
              <w:jc w:val="right"/>
              <w:ind w:right="343"/>
              <w:spacing w:after="0"/>
              <w:rPr>
                <w:sz w:val="20"/>
                <w:szCs w:val="20"/>
                <w:color w:val="auto"/>
              </w:rPr>
            </w:pPr>
            <w:r>
              <w:rPr>
                <w:rFonts w:ascii="Arial" w:cs="Arial" w:eastAsia="Arial" w:hAnsi="Arial"/>
                <w:sz w:val="13"/>
                <w:szCs w:val="13"/>
                <w:b w:val="1"/>
                <w:bCs w:val="1"/>
                <w:color w:val="auto"/>
              </w:rPr>
              <w:t>2017</w:t>
            </w:r>
          </w:p>
        </w:tc>
        <w:tc>
          <w:tcPr>
            <w:tcW w:w="880" w:type="dxa"/>
            <w:vAlign w:val="bottom"/>
            <w:gridSpan w:val="7"/>
          </w:tcPr>
          <w:p>
            <w:pPr>
              <w:jc w:val="right"/>
              <w:spacing w:after="0"/>
              <w:rPr>
                <w:sz w:val="20"/>
                <w:szCs w:val="20"/>
                <w:color w:val="auto"/>
              </w:rPr>
            </w:pPr>
            <w:r>
              <w:rPr>
                <w:rFonts w:ascii="Arial" w:cs="Arial" w:eastAsia="Arial" w:hAnsi="Arial"/>
                <w:sz w:val="13"/>
                <w:szCs w:val="13"/>
                <w:b w:val="1"/>
                <w:bCs w:val="1"/>
                <w:color w:val="auto"/>
              </w:rPr>
              <w:t>2016</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4"/>
          </w:tcPr>
          <w:p>
            <w:pPr>
              <w:jc w:val="right"/>
              <w:ind w:right="259"/>
              <w:spacing w:after="0"/>
              <w:rPr>
                <w:sz w:val="20"/>
                <w:szCs w:val="20"/>
                <w:color w:val="auto"/>
              </w:rPr>
            </w:pPr>
            <w:r>
              <w:rPr>
                <w:rFonts w:ascii="Arial" w:cs="Arial" w:eastAsia="Arial" w:hAnsi="Arial"/>
                <w:sz w:val="13"/>
                <w:szCs w:val="13"/>
                <w:b w:val="1"/>
                <w:bCs w:val="1"/>
                <w:color w:val="auto"/>
              </w:rPr>
              <w:t>2015</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1140" w:type="dxa"/>
            <w:vAlign w:val="bottom"/>
          </w:tcPr>
          <w:p>
            <w:pPr>
              <w:spacing w:after="0"/>
              <w:rPr>
                <w:sz w:val="17"/>
                <w:szCs w:val="17"/>
                <w:color w:val="auto"/>
              </w:rPr>
            </w:pPr>
          </w:p>
        </w:tc>
        <w:tc>
          <w:tcPr>
            <w:tcW w:w="52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Components of net postretirement benefit cost:</w:t>
            </w:r>
          </w:p>
        </w:tc>
        <w:tc>
          <w:tcPr>
            <w:tcW w:w="120" w:type="dxa"/>
            <w:vAlign w:val="bottom"/>
            <w:tcBorders>
              <w:top w:val="single" w:sz="8" w:color="CFF0FC"/>
            </w:tcBorders>
            <w:shd w:val="clear" w:color="auto" w:fill="CFF0FC"/>
          </w:tcPr>
          <w:p>
            <w:pPr>
              <w:spacing w:after="0"/>
              <w:rPr>
                <w:sz w:val="17"/>
                <w:szCs w:val="17"/>
                <w:color w:val="auto"/>
              </w:rPr>
            </w:pPr>
          </w:p>
        </w:tc>
        <w:tc>
          <w:tcPr>
            <w:tcW w:w="56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44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500" w:type="dxa"/>
            <w:vAlign w:val="bottom"/>
            <w:tcBorders>
              <w:top w:val="single" w:sz="8" w:color="auto"/>
            </w:tcBorders>
            <w:shd w:val="clear" w:color="auto" w:fill="CFF0FC"/>
          </w:tcPr>
          <w:p>
            <w:pPr>
              <w:spacing w:after="0"/>
              <w:rPr>
                <w:sz w:val="17"/>
                <w:szCs w:val="17"/>
                <w:color w:val="auto"/>
              </w:rPr>
            </w:pPr>
          </w:p>
        </w:tc>
        <w:tc>
          <w:tcPr>
            <w:tcW w:w="20" w:type="dxa"/>
            <w:vAlign w:val="bottom"/>
            <w:tcBorders>
              <w:top w:val="single" w:sz="8" w:color="auto"/>
            </w:tcBorders>
            <w:shd w:val="clear" w:color="auto" w:fill="CFF0FC"/>
          </w:tcPr>
          <w:p>
            <w:pPr>
              <w:spacing w:after="0"/>
              <w:rPr>
                <w:sz w:val="17"/>
                <w:szCs w:val="17"/>
                <w:color w:val="auto"/>
              </w:rPr>
            </w:pPr>
          </w:p>
        </w:tc>
        <w:tc>
          <w:tcPr>
            <w:tcW w:w="4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40" w:type="dxa"/>
            <w:vAlign w:val="bottom"/>
            <w:tcBorders>
              <w:top w:val="single" w:sz="8" w:color="auto"/>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40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40" w:type="dxa"/>
            <w:vAlign w:val="bottom"/>
          </w:tcPr>
          <w:p>
            <w:pPr>
              <w:spacing w:after="0"/>
              <w:rPr>
                <w:sz w:val="17"/>
                <w:szCs w:val="17"/>
                <w:color w:val="auto"/>
              </w:rPr>
            </w:pPr>
          </w:p>
        </w:tc>
        <w:tc>
          <w:tcPr>
            <w:tcW w:w="5280" w:type="dxa"/>
            <w:vAlign w:val="bottom"/>
            <w:gridSpan w:val="2"/>
          </w:tcPr>
          <w:p>
            <w:pPr>
              <w:spacing w:after="0"/>
              <w:rPr>
                <w:sz w:val="20"/>
                <w:szCs w:val="20"/>
                <w:color w:val="auto"/>
              </w:rPr>
            </w:pPr>
            <w:r>
              <w:rPr>
                <w:rFonts w:ascii="Arial" w:cs="Arial" w:eastAsia="Arial" w:hAnsi="Arial"/>
                <w:sz w:val="16"/>
                <w:szCs w:val="16"/>
                <w:color w:val="auto"/>
              </w:rPr>
              <w:t>Service cost</w:t>
            </w:r>
          </w:p>
        </w:tc>
        <w:tc>
          <w:tcPr>
            <w:tcW w:w="680" w:type="dxa"/>
            <w:vAlign w:val="bottom"/>
            <w:gridSpan w:val="2"/>
          </w:tcPr>
          <w:p>
            <w:pPr>
              <w:jc w:val="right"/>
              <w:ind w:right="404"/>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gridSpan w:val="3"/>
          </w:tcPr>
          <w:p>
            <w:pPr>
              <w:jc w:val="right"/>
              <w:ind w:right="352"/>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gridSpan w:val="4"/>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1140" w:type="dxa"/>
            <w:vAlign w:val="bottom"/>
          </w:tcPr>
          <w:p>
            <w:pPr>
              <w:spacing w:after="0"/>
              <w:rPr>
                <w:sz w:val="17"/>
                <w:szCs w:val="17"/>
                <w:color w:val="auto"/>
              </w:rPr>
            </w:pPr>
          </w:p>
        </w:tc>
        <w:tc>
          <w:tcPr>
            <w:tcW w:w="52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Interest cost</w:t>
            </w:r>
          </w:p>
        </w:tc>
        <w:tc>
          <w:tcPr>
            <w:tcW w:w="1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5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1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80" w:type="dxa"/>
            <w:vAlign w:val="bottom"/>
            <w:gridSpan w:val="5"/>
            <w:shd w:val="clear" w:color="auto" w:fill="CFF0FC"/>
          </w:tcPr>
          <w:p>
            <w:pPr>
              <w:jc w:val="right"/>
              <w:ind w:right="20"/>
              <w:spacing w:after="0"/>
              <w:rPr>
                <w:sz w:val="20"/>
                <w:szCs w:val="20"/>
                <w:color w:val="auto"/>
              </w:rPr>
            </w:pPr>
            <w:r>
              <w:rPr>
                <w:rFonts w:ascii="Arial" w:cs="Arial" w:eastAsia="Arial" w:hAnsi="Arial"/>
                <w:sz w:val="16"/>
                <w:szCs w:val="16"/>
                <w:color w:val="auto"/>
              </w:rPr>
              <w:t>3</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40" w:type="dxa"/>
            <w:vAlign w:val="bottom"/>
          </w:tcPr>
          <w:p>
            <w:pPr>
              <w:spacing w:after="0"/>
              <w:rPr>
                <w:sz w:val="17"/>
                <w:szCs w:val="17"/>
                <w:color w:val="auto"/>
              </w:rPr>
            </w:pPr>
          </w:p>
        </w:tc>
        <w:tc>
          <w:tcPr>
            <w:tcW w:w="5280" w:type="dxa"/>
            <w:vAlign w:val="bottom"/>
            <w:gridSpan w:val="2"/>
          </w:tcPr>
          <w:p>
            <w:pPr>
              <w:spacing w:after="0"/>
              <w:rPr>
                <w:sz w:val="20"/>
                <w:szCs w:val="20"/>
                <w:color w:val="auto"/>
              </w:rPr>
            </w:pPr>
            <w:r>
              <w:rPr>
                <w:rFonts w:ascii="Arial" w:cs="Arial" w:eastAsia="Arial" w:hAnsi="Arial"/>
                <w:sz w:val="16"/>
                <w:szCs w:val="16"/>
                <w:color w:val="auto"/>
              </w:rPr>
              <w:t>Amortization of:</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40" w:type="dxa"/>
            <w:vAlign w:val="bottom"/>
          </w:tcPr>
          <w:p>
            <w:pPr>
              <w:spacing w:after="0"/>
              <w:rPr>
                <w:sz w:val="17"/>
                <w:szCs w:val="17"/>
                <w:color w:val="auto"/>
              </w:rPr>
            </w:pPr>
          </w:p>
        </w:tc>
        <w:tc>
          <w:tcPr>
            <w:tcW w:w="5280" w:type="dxa"/>
            <w:vAlign w:val="bottom"/>
            <w:gridSpan w:val="2"/>
            <w:shd w:val="clear" w:color="auto" w:fill="CFF0FC"/>
          </w:tcPr>
          <w:p>
            <w:pPr>
              <w:ind w:left="220"/>
              <w:spacing w:after="0"/>
              <w:rPr>
                <w:sz w:val="20"/>
                <w:szCs w:val="20"/>
                <w:color w:val="auto"/>
              </w:rPr>
            </w:pPr>
            <w:r>
              <w:rPr>
                <w:rFonts w:ascii="Arial" w:cs="Arial" w:eastAsia="Arial" w:hAnsi="Arial"/>
                <w:sz w:val="16"/>
                <w:szCs w:val="16"/>
                <w:color w:val="auto"/>
              </w:rPr>
              <w:t>Actuarial gain</w:t>
            </w:r>
          </w:p>
        </w:tc>
        <w:tc>
          <w:tcPr>
            <w:tcW w:w="1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64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8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580" w:type="dxa"/>
            <w:vAlign w:val="bottom"/>
            <w:gridSpan w:val="3"/>
            <w:shd w:val="clear" w:color="auto" w:fill="CFF0FC"/>
          </w:tcPr>
          <w:p>
            <w:pPr>
              <w:jc w:val="right"/>
              <w:ind w:right="120"/>
              <w:spacing w:after="0"/>
              <w:rPr>
                <w:sz w:val="20"/>
                <w:szCs w:val="20"/>
                <w:color w:val="auto"/>
              </w:rPr>
            </w:pPr>
            <w:r>
              <w:rPr>
                <w:rFonts w:ascii="Arial" w:cs="Arial" w:eastAsia="Arial" w:hAnsi="Arial"/>
                <w:sz w:val="16"/>
                <w:szCs w:val="16"/>
                <w:color w:val="auto"/>
              </w:rPr>
              <w:t>(2)</w:t>
            </w: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60" w:type="dxa"/>
            <w:vAlign w:val="bottom"/>
            <w:gridSpan w:val="3"/>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5"/>
        </w:trPr>
        <w:tc>
          <w:tcPr>
            <w:tcW w:w="1140" w:type="dxa"/>
            <w:vAlign w:val="bottom"/>
          </w:tcPr>
          <w:p>
            <w:pPr>
              <w:spacing w:after="0"/>
              <w:rPr>
                <w:sz w:val="16"/>
                <w:szCs w:val="16"/>
                <w:color w:val="auto"/>
              </w:rPr>
            </w:pPr>
          </w:p>
        </w:tc>
        <w:tc>
          <w:tcPr>
            <w:tcW w:w="52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Other postretirement benefit cost from continuing</w:t>
            </w:r>
          </w:p>
        </w:tc>
        <w:tc>
          <w:tcPr>
            <w:tcW w:w="120" w:type="dxa"/>
            <w:vAlign w:val="bottom"/>
            <w:tcBorders>
              <w:top w:val="single" w:sz="8" w:color="CFF0FC"/>
            </w:tcBorders>
            <w:shd w:val="clear" w:color="auto" w:fill="CFF0FC"/>
          </w:tcPr>
          <w:p>
            <w:pPr>
              <w:spacing w:after="0"/>
              <w:rPr>
                <w:sz w:val="16"/>
                <w:szCs w:val="16"/>
                <w:color w:val="auto"/>
              </w:rPr>
            </w:pPr>
          </w:p>
        </w:tc>
        <w:tc>
          <w:tcPr>
            <w:tcW w:w="560" w:type="dxa"/>
            <w:vAlign w:val="bottom"/>
            <w:tcBorders>
              <w:top w:val="single" w:sz="8" w:color="auto"/>
            </w:tcBorders>
            <w:shd w:val="clear" w:color="auto" w:fill="CFF0FC"/>
          </w:tcPr>
          <w:p>
            <w:pPr>
              <w:spacing w:after="0"/>
              <w:rPr>
                <w:sz w:val="16"/>
                <w:szCs w:val="16"/>
                <w:color w:val="auto"/>
              </w:rPr>
            </w:pPr>
          </w:p>
        </w:tc>
        <w:tc>
          <w:tcPr>
            <w:tcW w:w="80" w:type="dxa"/>
            <w:vAlign w:val="bottom"/>
            <w:tcBorders>
              <w:top w:val="single" w:sz="8" w:color="auto"/>
            </w:tcBorders>
            <w:shd w:val="clear" w:color="auto" w:fill="CFF0FC"/>
          </w:tcPr>
          <w:p>
            <w:pPr>
              <w:spacing w:after="0"/>
              <w:rPr>
                <w:sz w:val="16"/>
                <w:szCs w:val="16"/>
                <w:color w:val="auto"/>
              </w:rPr>
            </w:pPr>
          </w:p>
        </w:tc>
        <w:tc>
          <w:tcPr>
            <w:tcW w:w="44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500" w:type="dxa"/>
            <w:vAlign w:val="bottom"/>
            <w:tcBorders>
              <w:top w:val="single" w:sz="8" w:color="auto"/>
            </w:tcBorders>
            <w:shd w:val="clear" w:color="auto" w:fill="CFF0FC"/>
          </w:tcPr>
          <w:p>
            <w:pPr>
              <w:spacing w:after="0"/>
              <w:rPr>
                <w:sz w:val="16"/>
                <w:szCs w:val="16"/>
                <w:color w:val="auto"/>
              </w:rPr>
            </w:pPr>
          </w:p>
        </w:tc>
        <w:tc>
          <w:tcPr>
            <w:tcW w:w="20" w:type="dxa"/>
            <w:vAlign w:val="bottom"/>
            <w:tcBorders>
              <w:top w:val="single" w:sz="8" w:color="auto"/>
            </w:tcBorders>
            <w:shd w:val="clear" w:color="auto" w:fill="CFF0FC"/>
          </w:tcPr>
          <w:p>
            <w:pPr>
              <w:spacing w:after="0"/>
              <w:rPr>
                <w:sz w:val="16"/>
                <w:szCs w:val="16"/>
                <w:color w:val="auto"/>
              </w:rPr>
            </w:pPr>
          </w:p>
        </w:tc>
        <w:tc>
          <w:tcPr>
            <w:tcW w:w="40" w:type="dxa"/>
            <w:vAlign w:val="bottom"/>
            <w:tcBorders>
              <w:top w:val="single" w:sz="8" w:color="auto"/>
            </w:tcBorders>
            <w:shd w:val="clear" w:color="auto" w:fill="CFF0FC"/>
          </w:tcPr>
          <w:p>
            <w:pPr>
              <w:spacing w:after="0"/>
              <w:rPr>
                <w:sz w:val="16"/>
                <w:szCs w:val="16"/>
                <w:color w:val="auto"/>
              </w:rPr>
            </w:pPr>
          </w:p>
        </w:tc>
        <w:tc>
          <w:tcPr>
            <w:tcW w:w="80" w:type="dxa"/>
            <w:vAlign w:val="bottom"/>
            <w:tcBorders>
              <w:top w:val="single" w:sz="8" w:color="auto"/>
            </w:tcBorders>
            <w:shd w:val="clear" w:color="auto" w:fill="CFF0FC"/>
          </w:tcPr>
          <w:p>
            <w:pPr>
              <w:spacing w:after="0"/>
              <w:rPr>
                <w:sz w:val="16"/>
                <w:szCs w:val="16"/>
                <w:color w:val="auto"/>
              </w:rPr>
            </w:pPr>
          </w:p>
        </w:tc>
        <w:tc>
          <w:tcPr>
            <w:tcW w:w="40" w:type="dxa"/>
            <w:vAlign w:val="bottom"/>
            <w:tcBorders>
              <w:top w:val="single" w:sz="8" w:color="auto"/>
            </w:tcBorders>
            <w:shd w:val="clear" w:color="auto" w:fill="CFF0FC"/>
          </w:tcPr>
          <w:p>
            <w:pPr>
              <w:spacing w:after="0"/>
              <w:rPr>
                <w:sz w:val="16"/>
                <w:szCs w:val="16"/>
                <w:color w:val="auto"/>
              </w:rPr>
            </w:pPr>
          </w:p>
        </w:tc>
        <w:tc>
          <w:tcPr>
            <w:tcW w:w="30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180" w:type="dxa"/>
            <w:vAlign w:val="bottom"/>
            <w:tcBorders>
              <w:top w:val="single" w:sz="8" w:color="CFF0FC"/>
            </w:tcBorders>
            <w:shd w:val="clear" w:color="auto" w:fill="CFF0FC"/>
          </w:tcPr>
          <w:p>
            <w:pPr>
              <w:spacing w:after="0"/>
              <w:rPr>
                <w:sz w:val="16"/>
                <w:szCs w:val="16"/>
                <w:color w:val="auto"/>
              </w:rPr>
            </w:pPr>
          </w:p>
        </w:tc>
        <w:tc>
          <w:tcPr>
            <w:tcW w:w="4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340" w:type="dxa"/>
            <w:vAlign w:val="bottom"/>
            <w:tcBorders>
              <w:top w:val="single" w:sz="8" w:color="auto"/>
            </w:tcBorders>
            <w:shd w:val="clear" w:color="auto" w:fill="CFF0FC"/>
          </w:tcPr>
          <w:p>
            <w:pPr>
              <w:spacing w:after="0"/>
              <w:rPr>
                <w:sz w:val="16"/>
                <w:szCs w:val="16"/>
                <w:color w:val="auto"/>
              </w:rPr>
            </w:pPr>
          </w:p>
        </w:tc>
        <w:tc>
          <w:tcPr>
            <w:tcW w:w="80" w:type="dxa"/>
            <w:vAlign w:val="bottom"/>
            <w:tcBorders>
              <w:top w:val="single" w:sz="8" w:color="auto"/>
            </w:tcBorders>
            <w:shd w:val="clear" w:color="auto" w:fill="CFF0FC"/>
          </w:tcPr>
          <w:p>
            <w:pPr>
              <w:spacing w:after="0"/>
              <w:rPr>
                <w:sz w:val="16"/>
                <w:szCs w:val="16"/>
                <w:color w:val="auto"/>
              </w:rPr>
            </w:pPr>
          </w:p>
        </w:tc>
        <w:tc>
          <w:tcPr>
            <w:tcW w:w="80" w:type="dxa"/>
            <w:vAlign w:val="bottom"/>
            <w:tcBorders>
              <w:top w:val="single" w:sz="8" w:color="auto"/>
            </w:tcBorders>
            <w:shd w:val="clear" w:color="auto" w:fill="CFF0FC"/>
          </w:tcPr>
          <w:p>
            <w:pPr>
              <w:spacing w:after="0"/>
              <w:rPr>
                <w:sz w:val="16"/>
                <w:szCs w:val="16"/>
                <w:color w:val="auto"/>
              </w:rPr>
            </w:pPr>
          </w:p>
        </w:tc>
        <w:tc>
          <w:tcPr>
            <w:tcW w:w="400" w:type="dxa"/>
            <w:vAlign w:val="bottom"/>
            <w:tcBorders>
              <w:top w:val="single" w:sz="8" w:color="auto"/>
            </w:tcBorders>
            <w:shd w:val="clear" w:color="auto" w:fill="CFF0FC"/>
          </w:tcPr>
          <w:p>
            <w:pPr>
              <w:spacing w:after="0"/>
              <w:rPr>
                <w:sz w:val="16"/>
                <w:szCs w:val="16"/>
                <w:color w:val="auto"/>
              </w:rPr>
            </w:pPr>
          </w:p>
        </w:tc>
        <w:tc>
          <w:tcPr>
            <w:tcW w:w="80" w:type="dxa"/>
            <w:vAlign w:val="bottom"/>
            <w:tcBorders>
              <w:top w:val="single" w:sz="8" w:color="auto"/>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140" w:type="dxa"/>
            <w:vAlign w:val="bottom"/>
          </w:tcPr>
          <w:p>
            <w:pPr>
              <w:spacing w:after="0"/>
              <w:rPr>
                <w:sz w:val="17"/>
                <w:szCs w:val="17"/>
                <w:color w:val="auto"/>
              </w:rPr>
            </w:pPr>
          </w:p>
        </w:tc>
        <w:tc>
          <w:tcPr>
            <w:tcW w:w="5280" w:type="dxa"/>
            <w:vAlign w:val="bottom"/>
            <w:tcBorders>
              <w:bottom w:val="single" w:sz="8" w:color="CFF0FC"/>
            </w:tcBorders>
            <w:gridSpan w:val="2"/>
            <w:shd w:val="clear" w:color="auto" w:fill="CFF0FC"/>
          </w:tcPr>
          <w:p>
            <w:pPr>
              <w:ind w:left="120"/>
              <w:spacing w:after="0"/>
              <w:rPr>
                <w:sz w:val="20"/>
                <w:szCs w:val="20"/>
                <w:color w:val="auto"/>
              </w:rPr>
            </w:pPr>
            <w:r>
              <w:rPr>
                <w:rFonts w:ascii="Arial" w:cs="Arial" w:eastAsia="Arial" w:hAnsi="Arial"/>
                <w:sz w:val="16"/>
                <w:szCs w:val="16"/>
                <w:color w:val="auto"/>
              </w:rPr>
              <w:t>operations</w:t>
            </w:r>
          </w:p>
        </w:tc>
        <w:tc>
          <w:tcPr>
            <w:tcW w:w="120" w:type="dxa"/>
            <w:vAlign w:val="bottom"/>
            <w:tcBorders>
              <w:bottom w:val="single" w:sz="8" w:color="CFF0FC"/>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jc w:val="right"/>
              <w:ind w:right="404"/>
              <w:spacing w:after="0"/>
              <w:rPr>
                <w:sz w:val="20"/>
                <w:szCs w:val="20"/>
                <w:color w:val="auto"/>
              </w:rPr>
            </w:pPr>
            <w:r>
              <w:rPr>
                <w:rFonts w:ascii="Arial" w:cs="Arial" w:eastAsia="Arial" w:hAnsi="Arial"/>
                <w:sz w:val="15"/>
                <w:szCs w:val="15"/>
                <w:color w:val="auto"/>
                <w:w w:val="71"/>
              </w:rPr>
              <w:t>$</w:t>
            </w:r>
          </w:p>
        </w:tc>
        <w:tc>
          <w:tcPr>
            <w:tcW w:w="80" w:type="dxa"/>
            <w:vAlign w:val="bottom"/>
            <w:tcBorders>
              <w:bottom w:val="single" w:sz="8" w:color="auto"/>
            </w:tcBorders>
            <w:shd w:val="clear" w:color="auto" w:fill="CFF0FC"/>
          </w:tcPr>
          <w:p>
            <w:pPr>
              <w:spacing w:after="0"/>
              <w:rPr>
                <w:sz w:val="17"/>
                <w:szCs w:val="17"/>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FF0FC"/>
            </w:tcBorders>
            <w:gridSpan w:val="2"/>
            <w:shd w:val="clear" w:color="auto" w:fill="CFF0FC"/>
          </w:tcPr>
          <w:p>
            <w:pPr>
              <w:spacing w:after="0"/>
              <w:rPr>
                <w:sz w:val="17"/>
                <w:szCs w:val="17"/>
                <w:color w:val="auto"/>
              </w:rPr>
            </w:pPr>
          </w:p>
        </w:tc>
        <w:tc>
          <w:tcPr>
            <w:tcW w:w="500" w:type="dxa"/>
            <w:vAlign w:val="bottom"/>
            <w:tcBorders>
              <w:bottom w:val="single" w:sz="8" w:color="auto"/>
            </w:tcBorders>
            <w:shd w:val="clear" w:color="auto" w:fill="CFF0FC"/>
          </w:tcPr>
          <w:p>
            <w:pPr>
              <w:jc w:val="right"/>
              <w:ind w:right="352"/>
              <w:spacing w:after="0"/>
              <w:rPr>
                <w:sz w:val="20"/>
                <w:szCs w:val="20"/>
                <w:color w:val="auto"/>
              </w:rPr>
            </w:pPr>
            <w:r>
              <w:rPr>
                <w:rFonts w:ascii="Arial" w:cs="Arial" w:eastAsia="Arial" w:hAnsi="Arial"/>
                <w:sz w:val="15"/>
                <w:szCs w:val="15"/>
                <w:color w:val="auto"/>
                <w:w w:val="71"/>
              </w:rPr>
              <w:t>$</w:t>
            </w:r>
          </w:p>
        </w:tc>
        <w:tc>
          <w:tcPr>
            <w:tcW w:w="20" w:type="dxa"/>
            <w:vAlign w:val="bottom"/>
            <w:tcBorders>
              <w:bottom w:val="single" w:sz="8" w:color="auto"/>
            </w:tcBorders>
            <w:shd w:val="clear" w:color="auto" w:fill="CFF0FC"/>
          </w:tcPr>
          <w:p>
            <w:pPr>
              <w:spacing w:after="0"/>
              <w:rPr>
                <w:sz w:val="17"/>
                <w:szCs w:val="17"/>
                <w:color w:val="auto"/>
              </w:rPr>
            </w:pPr>
          </w:p>
        </w:tc>
        <w:tc>
          <w:tcPr>
            <w:tcW w:w="40" w:type="dxa"/>
            <w:vAlign w:val="bottom"/>
            <w:tcBorders>
              <w:bottom w:val="single" w:sz="8" w:color="auto"/>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40" w:type="dxa"/>
            <w:vAlign w:val="bottom"/>
            <w:tcBorders>
              <w:bottom w:val="single" w:sz="8" w:color="auto"/>
            </w:tcBorders>
            <w:shd w:val="clear" w:color="auto" w:fill="CFF0FC"/>
          </w:tcPr>
          <w:p>
            <w:pPr>
              <w:spacing w:after="0"/>
              <w:rPr>
                <w:sz w:val="17"/>
                <w:szCs w:val="17"/>
                <w:color w:val="auto"/>
              </w:rPr>
            </w:pPr>
          </w:p>
        </w:tc>
        <w:tc>
          <w:tcPr>
            <w:tcW w:w="4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gridSpan w:val="2"/>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gridSpan w:val="5"/>
            <w:shd w:val="clear" w:color="auto" w:fill="CFF0FC"/>
          </w:tcPr>
          <w:p>
            <w:pPr>
              <w:jc w:val="right"/>
              <w:ind w:right="20"/>
              <w:spacing w:after="0"/>
              <w:rPr>
                <w:sz w:val="20"/>
                <w:szCs w:val="20"/>
                <w:color w:val="auto"/>
              </w:rPr>
            </w:pPr>
            <w:r>
              <w:rPr>
                <w:rFonts w:ascii="Arial" w:cs="Arial" w:eastAsia="Arial" w:hAnsi="Arial"/>
                <w:sz w:val="16"/>
                <w:szCs w:val="16"/>
                <w:color w:val="auto"/>
              </w:rPr>
              <w:t>3</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20" w:type="dxa"/>
            <w:vAlign w:val="bottom"/>
            <w:gridSpan w:val="3"/>
            <w:vMerge w:val="restart"/>
          </w:tcPr>
          <w:p>
            <w:pPr>
              <w:spacing w:after="0"/>
              <w:rPr>
                <w:sz w:val="20"/>
                <w:szCs w:val="20"/>
                <w:color w:val="auto"/>
              </w:rPr>
            </w:pPr>
            <w:r>
              <w:rPr>
                <w:rFonts w:ascii="Arial" w:cs="Arial" w:eastAsia="Arial" w:hAnsi="Arial"/>
                <w:sz w:val="16"/>
                <w:szCs w:val="16"/>
                <w:color w:val="auto"/>
                <w:w w:val="92"/>
              </w:rPr>
              <w:t>The weighted-average assumptions used to determine the net benefit obligations were as follows:</w:t>
            </w: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7"/>
        </w:trPr>
        <w:tc>
          <w:tcPr>
            <w:tcW w:w="6420" w:type="dxa"/>
            <w:vAlign w:val="bottom"/>
            <w:gridSpan w:val="3"/>
            <w:vMerge w:val="continue"/>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1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40" w:type="dxa"/>
            <w:vAlign w:val="bottom"/>
            <w:gridSpan w:val="12"/>
          </w:tcPr>
          <w:p>
            <w:pPr>
              <w:ind w:left="420"/>
              <w:spacing w:after="0"/>
              <w:rPr>
                <w:sz w:val="20"/>
                <w:szCs w:val="20"/>
                <w:color w:val="auto"/>
              </w:rPr>
            </w:pPr>
            <w:r>
              <w:rPr>
                <w:rFonts w:ascii="Arial" w:cs="Arial" w:eastAsia="Arial" w:hAnsi="Arial"/>
                <w:sz w:val="13"/>
                <w:szCs w:val="13"/>
                <w:b w:val="1"/>
                <w:bCs w:val="1"/>
                <w:color w:val="auto"/>
                <w:w w:val="93"/>
              </w:rPr>
              <w:t>Year Ended December 31,</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1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70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560" w:type="dxa"/>
            <w:vAlign w:val="bottom"/>
            <w:tcBorders>
              <w:bottom w:val="single" w:sz="8" w:color="CFF0FC"/>
            </w:tcBorders>
          </w:tcPr>
          <w:p>
            <w:pPr>
              <w:spacing w:after="0"/>
              <w:rPr>
                <w:sz w:val="13"/>
                <w:szCs w:val="13"/>
                <w:color w:val="auto"/>
              </w:rPr>
            </w:pPr>
          </w:p>
        </w:tc>
        <w:tc>
          <w:tcPr>
            <w:tcW w:w="72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2017</w:t>
            </w:r>
          </w:p>
        </w:tc>
        <w:tc>
          <w:tcPr>
            <w:tcW w:w="5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gridSpan w:val="5"/>
          </w:tcPr>
          <w:p>
            <w:pPr>
              <w:jc w:val="right"/>
              <w:ind w:right="4"/>
              <w:spacing w:after="0"/>
              <w:rPr>
                <w:sz w:val="20"/>
                <w:szCs w:val="20"/>
                <w:color w:val="auto"/>
              </w:rPr>
            </w:pPr>
            <w:r>
              <w:rPr>
                <w:rFonts w:ascii="Arial" w:cs="Arial" w:eastAsia="Arial" w:hAnsi="Arial"/>
                <w:sz w:val="13"/>
                <w:szCs w:val="13"/>
                <w:b w:val="1"/>
                <w:bCs w:val="1"/>
                <w:color w:val="auto"/>
              </w:rPr>
              <w:t>2016</w:t>
            </w:r>
          </w:p>
        </w:tc>
        <w:tc>
          <w:tcPr>
            <w:tcW w:w="340" w:type="dxa"/>
            <w:vAlign w:val="bottom"/>
            <w:tcBorders>
              <w:bottom w:val="single" w:sz="8" w:color="auto"/>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1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6"/>
                <w:szCs w:val="16"/>
                <w:color w:val="auto"/>
              </w:rPr>
              <w:t>Discount rate</w:t>
            </w:r>
          </w:p>
        </w:tc>
        <w:tc>
          <w:tcPr>
            <w:tcW w:w="1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720" w:type="dxa"/>
            <w:vAlign w:val="bottom"/>
            <w:gridSpan w:val="4"/>
            <w:shd w:val="clear" w:color="auto" w:fill="CFF0FC"/>
          </w:tcPr>
          <w:p>
            <w:pPr>
              <w:jc w:val="right"/>
              <w:ind w:right="20"/>
              <w:spacing w:after="0"/>
              <w:rPr>
                <w:sz w:val="20"/>
                <w:szCs w:val="20"/>
                <w:color w:val="auto"/>
              </w:rPr>
            </w:pPr>
            <w:r>
              <w:rPr>
                <w:rFonts w:ascii="Arial" w:cs="Arial" w:eastAsia="Arial" w:hAnsi="Arial"/>
                <w:sz w:val="16"/>
                <w:szCs w:val="16"/>
                <w:color w:val="auto"/>
              </w:rPr>
              <w:t>3.20%</w:t>
            </w:r>
          </w:p>
        </w:tc>
        <w:tc>
          <w:tcPr>
            <w:tcW w:w="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0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3.44%</w:t>
            </w: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700" w:type="dxa"/>
            <w:vAlign w:val="bottom"/>
          </w:tcPr>
          <w:p>
            <w:pPr>
              <w:spacing w:after="0"/>
              <w:rPr>
                <w:sz w:val="20"/>
                <w:szCs w:val="20"/>
                <w:color w:val="auto"/>
              </w:rPr>
            </w:pPr>
            <w:r>
              <w:rPr>
                <w:rFonts w:ascii="Arial" w:cs="Arial" w:eastAsia="Arial" w:hAnsi="Arial"/>
                <w:sz w:val="16"/>
                <w:szCs w:val="16"/>
                <w:color w:val="auto"/>
              </w:rPr>
              <w:t>Salary increase rate</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gridSpan w:val="4"/>
          </w:tcPr>
          <w:p>
            <w:pPr>
              <w:jc w:val="right"/>
              <w:ind w:right="20"/>
              <w:spacing w:after="0"/>
              <w:rPr>
                <w:sz w:val="20"/>
                <w:szCs w:val="20"/>
                <w:color w:val="auto"/>
              </w:rPr>
            </w:pPr>
            <w:r>
              <w:rPr>
                <w:rFonts w:ascii="Arial" w:cs="Arial" w:eastAsia="Arial" w:hAnsi="Arial"/>
                <w:sz w:val="16"/>
                <w:szCs w:val="16"/>
                <w:color w:val="auto"/>
              </w:rPr>
              <w:t>2.35%</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gridSpan w:val="3"/>
          </w:tcPr>
          <w:p>
            <w:pPr>
              <w:jc w:val="right"/>
              <w:ind w:right="20"/>
              <w:spacing w:after="0"/>
              <w:rPr>
                <w:sz w:val="20"/>
                <w:szCs w:val="20"/>
                <w:color w:val="auto"/>
              </w:rPr>
            </w:pPr>
            <w:r>
              <w:rPr>
                <w:rFonts w:ascii="Arial" w:cs="Arial" w:eastAsia="Arial" w:hAnsi="Arial"/>
                <w:sz w:val="16"/>
                <w:szCs w:val="16"/>
                <w:color w:val="auto"/>
              </w:rPr>
              <w:t>2.35%</w:t>
            </w: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1"/>
        </w:trPr>
        <w:tc>
          <w:tcPr>
            <w:tcW w:w="7100" w:type="dxa"/>
            <w:vAlign w:val="bottom"/>
            <w:gridSpan w:val="5"/>
          </w:tcPr>
          <w:p>
            <w:pPr>
              <w:spacing w:after="0"/>
              <w:rPr>
                <w:sz w:val="20"/>
                <w:szCs w:val="20"/>
                <w:color w:val="auto"/>
              </w:rPr>
            </w:pPr>
            <w:r>
              <w:rPr>
                <w:rFonts w:ascii="Arial" w:cs="Arial" w:eastAsia="Arial" w:hAnsi="Arial"/>
                <w:sz w:val="16"/>
                <w:szCs w:val="16"/>
                <w:color w:val="auto"/>
                <w:w w:val="94"/>
              </w:rPr>
              <w:t>The weighted-average assumptions used to determine the net postretirement benefit cost were as follows:</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1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40" w:type="dxa"/>
            <w:vAlign w:val="bottom"/>
            <w:gridSpan w:val="12"/>
          </w:tcPr>
          <w:p>
            <w:pPr>
              <w:jc w:val="center"/>
              <w:ind w:left="143"/>
              <w:spacing w:after="0"/>
              <w:rPr>
                <w:sz w:val="20"/>
                <w:szCs w:val="20"/>
                <w:color w:val="auto"/>
              </w:rPr>
            </w:pPr>
            <w:r>
              <w:rPr>
                <w:rFonts w:ascii="Arial" w:cs="Arial" w:eastAsia="Arial" w:hAnsi="Arial"/>
                <w:sz w:val="13"/>
                <w:szCs w:val="13"/>
                <w:b w:val="1"/>
                <w:bCs w:val="1"/>
                <w:color w:val="auto"/>
                <w:w w:val="90"/>
              </w:rPr>
              <w:t>Year Ended December 31,</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1140" w:type="dxa"/>
            <w:vAlign w:val="bottom"/>
          </w:tcPr>
          <w:p>
            <w:pPr>
              <w:spacing w:after="0"/>
              <w:rPr>
                <w:sz w:val="13"/>
                <w:szCs w:val="13"/>
                <w:color w:val="auto"/>
              </w:rPr>
            </w:pPr>
          </w:p>
        </w:tc>
        <w:tc>
          <w:tcPr>
            <w:tcW w:w="5280" w:type="dxa"/>
            <w:vAlign w:val="bottom"/>
            <w:gridSpan w:val="2"/>
            <w:vMerge w:val="restart"/>
          </w:tcPr>
          <w:p>
            <w:pPr>
              <w:spacing w:after="0"/>
              <w:rPr>
                <w:sz w:val="20"/>
                <w:szCs w:val="20"/>
                <w:color w:val="auto"/>
              </w:rPr>
            </w:pPr>
            <w:r>
              <w:rPr>
                <w:rFonts w:ascii="Arial" w:cs="Arial" w:eastAsia="Arial" w:hAnsi="Arial"/>
                <w:sz w:val="16"/>
                <w:szCs w:val="16"/>
                <w:color w:val="auto"/>
              </w:rPr>
              <w:t>Effective rate for interest cost</w:t>
            </w: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2017</w:t>
            </w:r>
          </w:p>
        </w:tc>
        <w:tc>
          <w:tcPr>
            <w:tcW w:w="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3"/>
                <w:szCs w:val="13"/>
                <w:b w:val="1"/>
                <w:bCs w:val="1"/>
                <w:color w:val="auto"/>
              </w:rPr>
              <w:t>2016</w:t>
            </w:r>
          </w:p>
        </w:tc>
        <w:tc>
          <w:tcPr>
            <w:tcW w:w="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4"/>
          </w:tcPr>
          <w:p>
            <w:pPr>
              <w:jc w:val="right"/>
              <w:ind w:right="319"/>
              <w:spacing w:after="0"/>
              <w:rPr>
                <w:sz w:val="20"/>
                <w:szCs w:val="20"/>
                <w:color w:val="auto"/>
              </w:rPr>
            </w:pPr>
            <w:r>
              <w:rPr>
                <w:rFonts w:ascii="Arial" w:cs="Arial" w:eastAsia="Arial" w:hAnsi="Arial"/>
                <w:sz w:val="13"/>
                <w:szCs w:val="13"/>
                <w:b w:val="1"/>
                <w:bCs w:val="1"/>
                <w:color w:val="auto"/>
              </w:rPr>
              <w:t>2015</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1140" w:type="dxa"/>
            <w:vAlign w:val="bottom"/>
          </w:tcPr>
          <w:p>
            <w:pPr>
              <w:spacing w:after="0"/>
              <w:rPr>
                <w:sz w:val="17"/>
                <w:szCs w:val="17"/>
                <w:color w:val="auto"/>
              </w:rPr>
            </w:pPr>
          </w:p>
        </w:tc>
        <w:tc>
          <w:tcPr>
            <w:tcW w:w="52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20" w:type="dxa"/>
            <w:vAlign w:val="bottom"/>
            <w:gridSpan w:val="2"/>
          </w:tcPr>
          <w:p>
            <w:pPr>
              <w:ind w:left="80"/>
              <w:spacing w:after="0"/>
              <w:rPr>
                <w:sz w:val="20"/>
                <w:szCs w:val="20"/>
                <w:color w:val="auto"/>
              </w:rPr>
            </w:pPr>
            <w:r>
              <w:rPr>
                <w:rFonts w:ascii="Arial" w:cs="Arial" w:eastAsia="Arial" w:hAnsi="Arial"/>
                <w:sz w:val="16"/>
                <w:szCs w:val="16"/>
                <w:color w:val="auto"/>
                <w:w w:val="92"/>
              </w:rPr>
              <w:t>2.87%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gridSpan w:val="3"/>
          </w:tcPr>
          <w:p>
            <w:pPr>
              <w:spacing w:after="0"/>
              <w:rPr>
                <w:sz w:val="20"/>
                <w:szCs w:val="20"/>
                <w:color w:val="auto"/>
              </w:rPr>
            </w:pPr>
            <w:r>
              <w:rPr>
                <w:rFonts w:ascii="Arial" w:cs="Arial" w:eastAsia="Arial" w:hAnsi="Arial"/>
                <w:sz w:val="16"/>
                <w:szCs w:val="16"/>
                <w:color w:val="auto"/>
              </w:rPr>
              <w:t>2.85%</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6"/>
          </w:tcPr>
          <w:p>
            <w:pPr>
              <w:jc w:val="right"/>
              <w:ind w:right="20"/>
              <w:spacing w:after="0"/>
              <w:rPr>
                <w:sz w:val="20"/>
                <w:szCs w:val="20"/>
                <w:color w:val="auto"/>
              </w:rPr>
            </w:pPr>
            <w:r>
              <w:rPr>
                <w:rFonts w:ascii="Arial" w:cs="Arial" w:eastAsia="Arial" w:hAnsi="Arial"/>
                <w:sz w:val="16"/>
                <w:szCs w:val="16"/>
                <w:color w:val="auto"/>
              </w:rPr>
              <w:t>3.49%</w:t>
            </w:r>
          </w:p>
        </w:tc>
        <w:tc>
          <w:tcPr>
            <w:tcW w:w="0" w:type="dxa"/>
            <w:vAlign w:val="bottom"/>
          </w:tcPr>
          <w:p>
            <w:pPr>
              <w:spacing w:after="0"/>
              <w:rPr>
                <w:sz w:val="1"/>
                <w:szCs w:val="1"/>
                <w:color w:val="auto"/>
              </w:rPr>
            </w:pPr>
          </w:p>
        </w:tc>
      </w:tr>
      <w:tr>
        <w:trPr>
          <w:trHeight w:val="205"/>
        </w:trPr>
        <w:tc>
          <w:tcPr>
            <w:tcW w:w="1140" w:type="dxa"/>
            <w:vAlign w:val="bottom"/>
          </w:tcPr>
          <w:p>
            <w:pPr>
              <w:spacing w:after="0"/>
              <w:rPr>
                <w:sz w:val="17"/>
                <w:szCs w:val="17"/>
                <w:color w:val="auto"/>
              </w:rPr>
            </w:pPr>
          </w:p>
        </w:tc>
        <w:tc>
          <w:tcPr>
            <w:tcW w:w="52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Salary increase rate</w:t>
            </w:r>
          </w:p>
        </w:tc>
        <w:tc>
          <w:tcPr>
            <w:tcW w:w="1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520" w:type="dxa"/>
            <w:vAlign w:val="bottom"/>
            <w:gridSpan w:val="2"/>
            <w:shd w:val="clear" w:color="auto" w:fill="CFF0FC"/>
          </w:tcPr>
          <w:p>
            <w:pPr>
              <w:ind w:left="80"/>
              <w:spacing w:after="0"/>
              <w:rPr>
                <w:sz w:val="20"/>
                <w:szCs w:val="20"/>
                <w:color w:val="auto"/>
              </w:rPr>
            </w:pPr>
            <w:r>
              <w:rPr>
                <w:rFonts w:ascii="Arial" w:cs="Arial" w:eastAsia="Arial" w:hAnsi="Arial"/>
                <w:sz w:val="16"/>
                <w:szCs w:val="16"/>
                <w:color w:val="auto"/>
                <w:w w:val="92"/>
              </w:rPr>
              <w:t>2.35%</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58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1.80%</w:t>
            </w: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60" w:type="dxa"/>
            <w:vAlign w:val="bottom"/>
            <w:gridSpan w:val="6"/>
            <w:shd w:val="clear" w:color="auto" w:fill="CFF0FC"/>
          </w:tcPr>
          <w:p>
            <w:pPr>
              <w:jc w:val="right"/>
              <w:ind w:right="20"/>
              <w:spacing w:after="0"/>
              <w:rPr>
                <w:sz w:val="20"/>
                <w:szCs w:val="20"/>
                <w:color w:val="auto"/>
              </w:rPr>
            </w:pPr>
            <w:r>
              <w:rPr>
                <w:rFonts w:ascii="Arial" w:cs="Arial" w:eastAsia="Arial" w:hAnsi="Arial"/>
                <w:sz w:val="16"/>
                <w:szCs w:val="16"/>
                <w:color w:val="auto"/>
              </w:rPr>
              <w:t>2.60%</w:t>
            </w:r>
          </w:p>
        </w:tc>
        <w:tc>
          <w:tcPr>
            <w:tcW w:w="0" w:type="dxa"/>
            <w:vAlign w:val="bottom"/>
          </w:tcPr>
          <w:p>
            <w:pPr>
              <w:spacing w:after="0"/>
              <w:rPr>
                <w:sz w:val="1"/>
                <w:szCs w:val="1"/>
                <w:color w:val="auto"/>
              </w:rPr>
            </w:pPr>
          </w:p>
        </w:tc>
      </w:tr>
    </w:tbl>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The weighted-average assumed healthcare cost trend rates used to compute the other postretirement amounts were as follows: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1720" w:type="dxa"/>
            <w:vAlign w:val="bottom"/>
          </w:tcPr>
          <w:p>
            <w:pPr>
              <w:spacing w:after="0"/>
              <w:rPr>
                <w:sz w:val="13"/>
                <w:szCs w:val="13"/>
                <w:color w:val="auto"/>
              </w:rPr>
            </w:pPr>
          </w:p>
        </w:tc>
        <w:tc>
          <w:tcPr>
            <w:tcW w:w="5380" w:type="dxa"/>
            <w:vAlign w:val="bottom"/>
            <w:tcBorders>
              <w:bottom w:val="single" w:sz="8" w:color="CFF0FC"/>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2017</w:t>
            </w:r>
          </w:p>
        </w:tc>
        <w:tc>
          <w:tcPr>
            <w:tcW w:w="52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1100" w:type="dxa"/>
            <w:vAlign w:val="bottom"/>
            <w:tcBorders>
              <w:bottom w:val="single" w:sz="8" w:color="auto"/>
            </w:tcBorders>
          </w:tcPr>
          <w:p>
            <w:pPr>
              <w:jc w:val="right"/>
              <w:ind w:right="343"/>
              <w:spacing w:after="0"/>
              <w:rPr>
                <w:sz w:val="20"/>
                <w:szCs w:val="20"/>
                <w:color w:val="auto"/>
              </w:rPr>
            </w:pPr>
            <w:r>
              <w:rPr>
                <w:rFonts w:ascii="Arial" w:cs="Arial" w:eastAsia="Arial" w:hAnsi="Arial"/>
                <w:sz w:val="13"/>
                <w:szCs w:val="13"/>
                <w:b w:val="1"/>
                <w:bCs w:val="1"/>
                <w:color w:val="auto"/>
              </w:rPr>
              <w:t>2016</w:t>
            </w:r>
          </w:p>
        </w:tc>
        <w:tc>
          <w:tcPr>
            <w:tcW w:w="160" w:type="dxa"/>
            <w:vAlign w:val="bottom"/>
            <w:tcBorders>
              <w:bottom w:val="single" w:sz="8" w:color="CFF0FC"/>
            </w:tcBorders>
          </w:tcPr>
          <w:p>
            <w:pPr>
              <w:spacing w:after="0"/>
              <w:rPr>
                <w:sz w:val="13"/>
                <w:szCs w:val="13"/>
                <w:color w:val="auto"/>
              </w:rPr>
            </w:pPr>
          </w:p>
        </w:tc>
        <w:tc>
          <w:tcPr>
            <w:tcW w:w="1740" w:type="dxa"/>
            <w:vAlign w:val="bottom"/>
          </w:tcPr>
          <w:p>
            <w:pPr>
              <w:spacing w:after="0"/>
              <w:rPr>
                <w:sz w:val="13"/>
                <w:szCs w:val="13"/>
                <w:color w:val="auto"/>
              </w:rPr>
            </w:pPr>
          </w:p>
        </w:tc>
      </w:tr>
      <w:tr>
        <w:trPr>
          <w:trHeight w:val="198"/>
        </w:trPr>
        <w:tc>
          <w:tcPr>
            <w:tcW w:w="1720" w:type="dxa"/>
            <w:vAlign w:val="bottom"/>
          </w:tcPr>
          <w:p>
            <w:pPr>
              <w:spacing w:after="0"/>
              <w:rPr>
                <w:sz w:val="17"/>
                <w:szCs w:val="17"/>
                <w:color w:val="auto"/>
              </w:rPr>
            </w:pPr>
          </w:p>
        </w:tc>
        <w:tc>
          <w:tcPr>
            <w:tcW w:w="5380" w:type="dxa"/>
            <w:vAlign w:val="bottom"/>
            <w:shd w:val="clear" w:color="auto" w:fill="CFF0FC"/>
          </w:tcPr>
          <w:p>
            <w:pPr>
              <w:spacing w:after="0"/>
              <w:rPr>
                <w:sz w:val="20"/>
                <w:szCs w:val="20"/>
                <w:color w:val="auto"/>
              </w:rPr>
            </w:pPr>
            <w:r>
              <w:rPr>
                <w:rFonts w:ascii="Arial" w:cs="Arial" w:eastAsia="Arial" w:hAnsi="Arial"/>
                <w:sz w:val="16"/>
                <w:szCs w:val="16"/>
                <w:color w:val="auto"/>
              </w:rPr>
              <w:t>Healthcare cost trend</w:t>
            </w:r>
          </w:p>
        </w:tc>
        <w:tc>
          <w:tcPr>
            <w:tcW w:w="72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5.40%</w:t>
            </w:r>
          </w:p>
        </w:tc>
        <w:tc>
          <w:tcPr>
            <w:tcW w:w="12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5.68%</w:t>
            </w:r>
          </w:p>
        </w:tc>
        <w:tc>
          <w:tcPr>
            <w:tcW w:w="1740" w:type="dxa"/>
            <w:vAlign w:val="bottom"/>
          </w:tcPr>
          <w:p>
            <w:pPr>
              <w:spacing w:after="0"/>
              <w:rPr>
                <w:sz w:val="17"/>
                <w:szCs w:val="17"/>
                <w:color w:val="auto"/>
              </w:rPr>
            </w:pPr>
          </w:p>
        </w:tc>
      </w:tr>
      <w:tr>
        <w:trPr>
          <w:trHeight w:val="193"/>
        </w:trPr>
        <w:tc>
          <w:tcPr>
            <w:tcW w:w="1720" w:type="dxa"/>
            <w:vAlign w:val="bottom"/>
          </w:tcPr>
          <w:p>
            <w:pPr>
              <w:spacing w:after="0"/>
              <w:rPr>
                <w:sz w:val="16"/>
                <w:szCs w:val="16"/>
                <w:color w:val="auto"/>
              </w:rPr>
            </w:pPr>
          </w:p>
        </w:tc>
        <w:tc>
          <w:tcPr>
            <w:tcW w:w="6100" w:type="dxa"/>
            <w:vAlign w:val="bottom"/>
            <w:gridSpan w:val="2"/>
          </w:tcPr>
          <w:p>
            <w:pPr>
              <w:spacing w:after="0"/>
              <w:rPr>
                <w:sz w:val="20"/>
                <w:szCs w:val="20"/>
                <w:color w:val="auto"/>
              </w:rPr>
            </w:pPr>
            <w:r>
              <w:rPr>
                <w:rFonts w:ascii="Arial" w:cs="Arial" w:eastAsia="Arial" w:hAnsi="Arial"/>
                <w:sz w:val="16"/>
                <w:szCs w:val="16"/>
                <w:color w:val="auto"/>
              </w:rPr>
              <w:t>Rate to which the cost trend rate is assumed to decline</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206"/>
        </w:trPr>
        <w:tc>
          <w:tcPr>
            <w:tcW w:w="1720" w:type="dxa"/>
            <w:vAlign w:val="bottom"/>
          </w:tcPr>
          <w:p>
            <w:pPr>
              <w:spacing w:after="0"/>
              <w:rPr>
                <w:sz w:val="17"/>
                <w:szCs w:val="17"/>
                <w:color w:val="auto"/>
              </w:rPr>
            </w:pPr>
          </w:p>
        </w:tc>
        <w:tc>
          <w:tcPr>
            <w:tcW w:w="6100" w:type="dxa"/>
            <w:vAlign w:val="bottom"/>
            <w:gridSpan w:val="2"/>
          </w:tcPr>
          <w:p>
            <w:pPr>
              <w:ind w:left="120"/>
              <w:spacing w:after="0"/>
              <w:rPr>
                <w:sz w:val="20"/>
                <w:szCs w:val="20"/>
                <w:color w:val="auto"/>
              </w:rPr>
            </w:pPr>
            <w:r>
              <w:rPr>
                <w:rFonts w:ascii="Arial" w:cs="Arial" w:eastAsia="Arial" w:hAnsi="Arial"/>
                <w:sz w:val="16"/>
                <w:szCs w:val="16"/>
                <w:color w:val="auto"/>
              </w:rPr>
              <w:t>(the ultimate trend rate)</w:t>
            </w:r>
          </w:p>
        </w:tc>
        <w:tc>
          <w:tcPr>
            <w:tcW w:w="520" w:type="dxa"/>
            <w:vAlign w:val="bottom"/>
          </w:tcPr>
          <w:p>
            <w:pPr>
              <w:jc w:val="right"/>
              <w:spacing w:after="0"/>
              <w:rPr>
                <w:sz w:val="20"/>
                <w:szCs w:val="20"/>
                <w:color w:val="auto"/>
              </w:rPr>
            </w:pPr>
            <w:r>
              <w:rPr>
                <w:rFonts w:ascii="Arial" w:cs="Arial" w:eastAsia="Arial" w:hAnsi="Arial"/>
                <w:sz w:val="16"/>
                <w:szCs w:val="16"/>
                <w:color w:val="auto"/>
              </w:rPr>
              <w:t>4.38%</w:t>
            </w:r>
          </w:p>
        </w:tc>
        <w:tc>
          <w:tcPr>
            <w:tcW w:w="120" w:type="dxa"/>
            <w:vAlign w:val="bottom"/>
          </w:tcPr>
          <w:p>
            <w:pPr>
              <w:spacing w:after="0"/>
              <w:rPr>
                <w:sz w:val="17"/>
                <w:szCs w:val="17"/>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6"/>
                <w:szCs w:val="16"/>
                <w:color w:val="auto"/>
              </w:rPr>
              <w:t>4.38%</w:t>
            </w:r>
          </w:p>
        </w:tc>
        <w:tc>
          <w:tcPr>
            <w:tcW w:w="1740" w:type="dxa"/>
            <w:vAlign w:val="bottom"/>
          </w:tcPr>
          <w:p>
            <w:pPr>
              <w:spacing w:after="0"/>
              <w:rPr>
                <w:sz w:val="17"/>
                <w:szCs w:val="17"/>
                <w:color w:val="auto"/>
              </w:rPr>
            </w:pPr>
          </w:p>
        </w:tc>
      </w:tr>
      <w:tr>
        <w:trPr>
          <w:trHeight w:val="206"/>
        </w:trPr>
        <w:tc>
          <w:tcPr>
            <w:tcW w:w="1720" w:type="dxa"/>
            <w:vAlign w:val="bottom"/>
          </w:tcPr>
          <w:p>
            <w:pPr>
              <w:spacing w:after="0"/>
              <w:rPr>
                <w:sz w:val="17"/>
                <w:szCs w:val="17"/>
                <w:color w:val="auto"/>
              </w:rPr>
            </w:pPr>
          </w:p>
        </w:tc>
        <w:tc>
          <w:tcPr>
            <w:tcW w:w="61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Year that the rate reaches the ultimate trend rate</w:t>
            </w:r>
          </w:p>
        </w:tc>
        <w:tc>
          <w:tcPr>
            <w:tcW w:w="52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w w:val="95"/>
              </w:rPr>
              <w:t>2022</w:t>
            </w:r>
          </w:p>
        </w:tc>
        <w:tc>
          <w:tcPr>
            <w:tcW w:w="12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2022</w:t>
            </w:r>
          </w:p>
        </w:tc>
        <w:tc>
          <w:tcPr>
            <w:tcW w:w="160" w:type="dxa"/>
            <w:vAlign w:val="bottom"/>
            <w:shd w:val="clear" w:color="auto" w:fill="CFF0FC"/>
          </w:tcPr>
          <w:p>
            <w:pPr>
              <w:spacing w:after="0"/>
              <w:rPr>
                <w:sz w:val="17"/>
                <w:szCs w:val="17"/>
                <w:color w:val="auto"/>
              </w:rPr>
            </w:pPr>
          </w:p>
        </w:tc>
        <w:tc>
          <w:tcPr>
            <w:tcW w:w="1740" w:type="dxa"/>
            <w:vAlign w:val="bottom"/>
          </w:tcPr>
          <w:p>
            <w:pPr>
              <w:spacing w:after="0"/>
              <w:rPr>
                <w:sz w:val="17"/>
                <w:szCs w:val="17"/>
                <w:color w:val="auto"/>
              </w:rPr>
            </w:pPr>
          </w:p>
        </w:tc>
      </w:tr>
      <w:tr>
        <w:trPr>
          <w:trHeight w:val="604"/>
        </w:trPr>
        <w:tc>
          <w:tcPr>
            <w:tcW w:w="7100" w:type="dxa"/>
            <w:vAlign w:val="bottom"/>
            <w:gridSpan w:val="2"/>
          </w:tcPr>
          <w:p>
            <w:pPr>
              <w:jc w:val="right"/>
              <w:ind w:right="1219"/>
              <w:spacing w:after="0"/>
              <w:rPr>
                <w:sz w:val="20"/>
                <w:szCs w:val="20"/>
                <w:color w:val="auto"/>
              </w:rPr>
            </w:pPr>
            <w:r>
              <w:rPr>
                <w:rFonts w:ascii="Arial" w:cs="Arial" w:eastAsia="Arial" w:hAnsi="Arial"/>
                <w:sz w:val="16"/>
                <w:szCs w:val="16"/>
                <w:color w:val="auto"/>
              </w:rPr>
              <w:t>91</w:t>
            </w: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01"/>
        </w:trPr>
        <w:tc>
          <w:tcPr>
            <w:tcW w:w="1720" w:type="dxa"/>
            <w:vAlign w:val="bottom"/>
            <w:tcBorders>
              <w:bottom w:val="single" w:sz="8" w:color="9A9A9A"/>
            </w:tcBorders>
          </w:tcPr>
          <w:p>
            <w:pPr>
              <w:spacing w:after="0"/>
              <w:rPr>
                <w:sz w:val="8"/>
                <w:szCs w:val="8"/>
                <w:color w:val="auto"/>
              </w:rPr>
            </w:pPr>
          </w:p>
        </w:tc>
        <w:tc>
          <w:tcPr>
            <w:tcW w:w="538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7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7253605</wp:posOffset>
            </wp:positionH>
            <wp:positionV relativeFrom="paragraph">
              <wp:posOffset>-27305</wp:posOffset>
            </wp:positionV>
            <wp:extent cx="33020" cy="406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-27305</wp:posOffset>
            </wp:positionV>
            <wp:extent cx="33020" cy="406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460"/>
          </w:cols>
          <w:pgMar w:left="240" w:top="127" w:right="199" w:bottom="1440" w:gutter="0" w:footer="0" w:header="0"/>
        </w:sectPr>
      </w:pPr>
    </w:p>
    <w:bookmarkStart w:id="91" w:name="page92"/>
    <w:bookmarkEnd w:id="91"/>
    <w:p>
      <w:pPr>
        <w:ind w:right="180"/>
        <w:spacing w:after="0" w:line="280" w:lineRule="auto"/>
        <w:rPr>
          <w:sz w:val="20"/>
          <w:szCs w:val="20"/>
          <w:color w:val="auto"/>
        </w:rPr>
      </w:pPr>
      <w:r>
        <w:rPr>
          <w:rFonts w:ascii="Arial" w:cs="Arial" w:eastAsia="Arial" w:hAnsi="Arial"/>
          <w:sz w:val="16"/>
          <w:szCs w:val="16"/>
          <w:color w:val="auto"/>
        </w:rPr>
        <w:t>Assumed healthcare cost trend rates effect the amounts reported for the healthcare plans. A one-percentage point change in assumed healthcare cost trend rates would have the following effects: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1720" w:type="dxa"/>
            <w:vAlign w:val="bottom"/>
          </w:tcPr>
          <w:p>
            <w:pPr>
              <w:spacing w:after="0"/>
              <w:rPr>
                <w:sz w:val="13"/>
                <w:szCs w:val="13"/>
                <w:color w:val="auto"/>
              </w:rPr>
            </w:pPr>
          </w:p>
        </w:tc>
        <w:tc>
          <w:tcPr>
            <w:tcW w:w="580" w:type="dxa"/>
            <w:vAlign w:val="bottom"/>
            <w:tcBorders>
              <w:bottom w:val="single" w:sz="8" w:color="CFF0FC"/>
            </w:tcBorders>
          </w:tcPr>
          <w:p>
            <w:pPr>
              <w:spacing w:after="0"/>
              <w:rPr>
                <w:sz w:val="13"/>
                <w:szCs w:val="13"/>
                <w:color w:val="auto"/>
              </w:rPr>
            </w:pPr>
          </w:p>
        </w:tc>
        <w:tc>
          <w:tcPr>
            <w:tcW w:w="4880" w:type="dxa"/>
            <w:vAlign w:val="bottom"/>
            <w:tcBorders>
              <w:bottom w:val="single" w:sz="8" w:color="CFF0FC"/>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 increase</w:t>
            </w:r>
          </w:p>
        </w:tc>
        <w:tc>
          <w:tcPr>
            <w:tcW w:w="26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2"/>
          </w:tcPr>
          <w:p>
            <w:pPr>
              <w:jc w:val="right"/>
              <w:ind w:right="239"/>
              <w:spacing w:after="0"/>
              <w:rPr>
                <w:sz w:val="20"/>
                <w:szCs w:val="20"/>
                <w:color w:val="auto"/>
              </w:rPr>
            </w:pPr>
            <w:r>
              <w:rPr>
                <w:rFonts w:ascii="Arial" w:cs="Arial" w:eastAsia="Arial" w:hAnsi="Arial"/>
                <w:sz w:val="13"/>
                <w:szCs w:val="13"/>
                <w:b w:val="1"/>
                <w:bCs w:val="1"/>
                <w:color w:val="auto"/>
                <w:w w:val="91"/>
              </w:rPr>
              <w:t>1% decrease</w:t>
            </w:r>
          </w:p>
        </w:tc>
        <w:tc>
          <w:tcPr>
            <w:tcW w:w="0" w:type="dxa"/>
            <w:vAlign w:val="bottom"/>
          </w:tcPr>
          <w:p>
            <w:pPr>
              <w:spacing w:after="0"/>
              <w:rPr>
                <w:sz w:val="1"/>
                <w:szCs w:val="1"/>
                <w:color w:val="auto"/>
              </w:rPr>
            </w:pPr>
          </w:p>
        </w:tc>
      </w:tr>
      <w:tr>
        <w:trPr>
          <w:trHeight w:val="198"/>
        </w:trPr>
        <w:tc>
          <w:tcPr>
            <w:tcW w:w="1720" w:type="dxa"/>
            <w:vAlign w:val="bottom"/>
          </w:tcPr>
          <w:p>
            <w:pPr>
              <w:spacing w:after="0"/>
              <w:rPr>
                <w:sz w:val="17"/>
                <w:szCs w:val="17"/>
                <w:color w:val="auto"/>
              </w:rPr>
            </w:pPr>
          </w:p>
        </w:tc>
        <w:tc>
          <w:tcPr>
            <w:tcW w:w="54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Effect on total service and interest cost</w:t>
            </w:r>
          </w:p>
        </w:tc>
        <w:tc>
          <w:tcPr>
            <w:tcW w:w="940" w:type="dxa"/>
            <w:vAlign w:val="bottom"/>
            <w:shd w:val="clear" w:color="auto" w:fill="CFF0FC"/>
          </w:tcPr>
          <w:p>
            <w:pPr>
              <w:jc w:val="right"/>
              <w:ind w:right="790"/>
              <w:spacing w:after="0"/>
              <w:rPr>
                <w:sz w:val="20"/>
                <w:szCs w:val="20"/>
                <w:color w:val="auto"/>
              </w:rPr>
            </w:pPr>
            <w:r>
              <w:rPr>
                <w:rFonts w:ascii="Arial" w:cs="Arial" w:eastAsia="Arial" w:hAnsi="Arial"/>
                <w:sz w:val="15"/>
                <w:szCs w:val="15"/>
                <w:color w:val="auto"/>
                <w:w w:val="71"/>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9"/>
              </w:rPr>
              <w:t>—</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FF0FC"/>
          </w:tcPr>
          <w:p>
            <w:pPr>
              <w:spacing w:after="0"/>
              <w:rPr>
                <w:sz w:val="17"/>
                <w:szCs w:val="17"/>
                <w:color w:val="auto"/>
              </w:rPr>
            </w:pPr>
          </w:p>
        </w:tc>
        <w:tc>
          <w:tcPr>
            <w:tcW w:w="5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1720" w:type="dxa"/>
            <w:vAlign w:val="bottom"/>
          </w:tcPr>
          <w:p>
            <w:pPr>
              <w:spacing w:after="0"/>
              <w:rPr>
                <w:sz w:val="17"/>
                <w:szCs w:val="17"/>
                <w:color w:val="auto"/>
              </w:rPr>
            </w:pPr>
          </w:p>
        </w:tc>
        <w:tc>
          <w:tcPr>
            <w:tcW w:w="5460" w:type="dxa"/>
            <w:vAlign w:val="bottom"/>
            <w:gridSpan w:val="2"/>
          </w:tcPr>
          <w:p>
            <w:pPr>
              <w:spacing w:after="0"/>
              <w:rPr>
                <w:sz w:val="20"/>
                <w:szCs w:val="20"/>
                <w:color w:val="auto"/>
              </w:rPr>
            </w:pPr>
            <w:r>
              <w:rPr>
                <w:rFonts w:ascii="Arial" w:cs="Arial" w:eastAsia="Arial" w:hAnsi="Arial"/>
                <w:sz w:val="16"/>
                <w:szCs w:val="16"/>
                <w:color w:val="auto"/>
              </w:rPr>
              <w:t>Effect on postretirement benefit obligation</w:t>
            </w:r>
          </w:p>
        </w:tc>
        <w:tc>
          <w:tcPr>
            <w:tcW w:w="94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507"/>
        </w:trPr>
        <w:tc>
          <w:tcPr>
            <w:tcW w:w="8120" w:type="dxa"/>
            <w:vAlign w:val="bottom"/>
            <w:gridSpan w:val="4"/>
          </w:tcPr>
          <w:p>
            <w:pPr>
              <w:jc w:val="right"/>
              <w:ind w:right="330"/>
              <w:spacing w:after="0"/>
              <w:rPr>
                <w:sz w:val="20"/>
                <w:szCs w:val="20"/>
                <w:color w:val="auto"/>
              </w:rPr>
            </w:pPr>
            <w:r>
              <w:rPr>
                <w:rFonts w:ascii="Arial" w:cs="Arial" w:eastAsia="Arial" w:hAnsi="Arial"/>
                <w:sz w:val="16"/>
                <w:szCs w:val="16"/>
                <w:color w:val="auto"/>
                <w:w w:val="92"/>
              </w:rPr>
              <w:t>The following other postretirement benefits, which reflect expected future service, are expected to be paid (in millions):</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300" w:type="dxa"/>
            <w:vAlign w:val="bottom"/>
            <w:gridSpan w:val="2"/>
            <w:vMerge w:val="restart"/>
          </w:tcPr>
          <w:p>
            <w:pPr>
              <w:spacing w:after="0"/>
              <w:rPr>
                <w:sz w:val="18"/>
                <w:szCs w:val="18"/>
                <w:color w:val="auto"/>
              </w:rPr>
            </w:pPr>
          </w:p>
        </w:tc>
        <w:tc>
          <w:tcPr>
            <w:tcW w:w="48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gridSpan w:val="3"/>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300" w:type="dxa"/>
            <w:vAlign w:val="bottom"/>
            <w:gridSpan w:val="2"/>
            <w:vMerge w:val="continue"/>
          </w:tcPr>
          <w:p>
            <w:pPr>
              <w:spacing w:after="0"/>
              <w:rPr>
                <w:sz w:val="17"/>
                <w:szCs w:val="17"/>
                <w:color w:val="auto"/>
              </w:rPr>
            </w:pPr>
          </w:p>
        </w:tc>
        <w:tc>
          <w:tcPr>
            <w:tcW w:w="4880" w:type="dxa"/>
            <w:vAlign w:val="bottom"/>
            <w:shd w:val="clear" w:color="auto" w:fill="CFF0FC"/>
          </w:tcPr>
          <w:p>
            <w:pPr>
              <w:spacing w:after="0"/>
              <w:rPr>
                <w:sz w:val="20"/>
                <w:szCs w:val="20"/>
                <w:color w:val="auto"/>
              </w:rPr>
            </w:pPr>
            <w:r>
              <w:rPr>
                <w:rFonts w:ascii="Arial" w:cs="Arial" w:eastAsia="Arial" w:hAnsi="Arial"/>
                <w:sz w:val="16"/>
                <w:szCs w:val="16"/>
                <w:color w:val="auto"/>
              </w:rPr>
              <w:t>2018</w:t>
            </w:r>
          </w:p>
        </w:tc>
        <w:tc>
          <w:tcPr>
            <w:tcW w:w="940" w:type="dxa"/>
            <w:vAlign w:val="bottom"/>
            <w:shd w:val="clear" w:color="auto" w:fill="CFF0FC"/>
          </w:tcPr>
          <w:p>
            <w:pPr>
              <w:spacing w:after="0"/>
              <w:rPr>
                <w:sz w:val="17"/>
                <w:szCs w:val="17"/>
                <w:color w:val="auto"/>
              </w:rPr>
            </w:pPr>
          </w:p>
        </w:tc>
        <w:tc>
          <w:tcPr>
            <w:tcW w:w="54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80" w:type="dxa"/>
            <w:vAlign w:val="bottom"/>
            <w:shd w:val="clear" w:color="auto" w:fill="CFF0FC"/>
          </w:tcPr>
          <w:p>
            <w:pPr>
              <w:jc w:val="right"/>
              <w:ind w:right="1"/>
              <w:spacing w:after="0"/>
              <w:rPr>
                <w:sz w:val="20"/>
                <w:szCs w:val="20"/>
                <w:color w:val="auto"/>
              </w:rPr>
            </w:pPr>
            <w:r>
              <w:rPr>
                <w:rFonts w:ascii="Arial" w:cs="Arial" w:eastAsia="Arial" w:hAnsi="Arial"/>
                <w:sz w:val="16"/>
                <w:szCs w:val="16"/>
                <w:color w:val="auto"/>
              </w:rPr>
              <w:t>5</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300" w:type="dxa"/>
            <w:vAlign w:val="bottom"/>
            <w:gridSpan w:val="2"/>
          </w:tcPr>
          <w:p>
            <w:pPr>
              <w:spacing w:after="0"/>
              <w:rPr>
                <w:sz w:val="17"/>
                <w:szCs w:val="17"/>
                <w:color w:val="auto"/>
              </w:rPr>
            </w:pPr>
          </w:p>
        </w:tc>
        <w:tc>
          <w:tcPr>
            <w:tcW w:w="4880" w:type="dxa"/>
            <w:vAlign w:val="bottom"/>
          </w:tcPr>
          <w:p>
            <w:pPr>
              <w:spacing w:after="0"/>
              <w:rPr>
                <w:sz w:val="20"/>
                <w:szCs w:val="20"/>
                <w:color w:val="auto"/>
              </w:rPr>
            </w:pPr>
            <w:r>
              <w:rPr>
                <w:rFonts w:ascii="Arial" w:cs="Arial" w:eastAsia="Arial" w:hAnsi="Arial"/>
                <w:sz w:val="16"/>
                <w:szCs w:val="16"/>
                <w:color w:val="auto"/>
              </w:rPr>
              <w:t>2019</w:t>
            </w: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jc w:val="right"/>
              <w:ind w:right="1"/>
              <w:spacing w:after="0"/>
              <w:rPr>
                <w:sz w:val="20"/>
                <w:szCs w:val="20"/>
                <w:color w:val="auto"/>
              </w:rPr>
            </w:pPr>
            <w:r>
              <w:rPr>
                <w:rFonts w:ascii="Arial" w:cs="Arial" w:eastAsia="Arial" w:hAnsi="Arial"/>
                <w:sz w:val="16"/>
                <w:szCs w:val="16"/>
                <w:color w:val="auto"/>
              </w:rPr>
              <w:t>5</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300" w:type="dxa"/>
            <w:vAlign w:val="bottom"/>
            <w:gridSpan w:val="2"/>
          </w:tcPr>
          <w:p>
            <w:pPr>
              <w:spacing w:after="0"/>
              <w:rPr>
                <w:sz w:val="17"/>
                <w:szCs w:val="17"/>
                <w:color w:val="auto"/>
              </w:rPr>
            </w:pPr>
          </w:p>
        </w:tc>
        <w:tc>
          <w:tcPr>
            <w:tcW w:w="4880" w:type="dxa"/>
            <w:vAlign w:val="bottom"/>
            <w:shd w:val="clear" w:color="auto" w:fill="CFF0FC"/>
          </w:tcPr>
          <w:p>
            <w:pPr>
              <w:spacing w:after="0"/>
              <w:rPr>
                <w:sz w:val="20"/>
                <w:szCs w:val="20"/>
                <w:color w:val="auto"/>
              </w:rPr>
            </w:pPr>
            <w:r>
              <w:rPr>
                <w:rFonts w:ascii="Arial" w:cs="Arial" w:eastAsia="Arial" w:hAnsi="Arial"/>
                <w:sz w:val="16"/>
                <w:szCs w:val="16"/>
                <w:color w:val="auto"/>
              </w:rPr>
              <w:t>2020</w:t>
            </w:r>
          </w:p>
        </w:tc>
        <w:tc>
          <w:tcPr>
            <w:tcW w:w="9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480" w:type="dxa"/>
            <w:vAlign w:val="bottom"/>
            <w:shd w:val="clear" w:color="auto" w:fill="CFF0FC"/>
          </w:tcPr>
          <w:p>
            <w:pPr>
              <w:jc w:val="right"/>
              <w:ind w:right="1"/>
              <w:spacing w:after="0"/>
              <w:rPr>
                <w:sz w:val="20"/>
                <w:szCs w:val="20"/>
                <w:color w:val="auto"/>
              </w:rPr>
            </w:pPr>
            <w:r>
              <w:rPr>
                <w:rFonts w:ascii="Arial" w:cs="Arial" w:eastAsia="Arial" w:hAnsi="Arial"/>
                <w:sz w:val="16"/>
                <w:szCs w:val="16"/>
                <w:color w:val="auto"/>
              </w:rPr>
              <w:t>4</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300" w:type="dxa"/>
            <w:vAlign w:val="bottom"/>
            <w:gridSpan w:val="2"/>
          </w:tcPr>
          <w:p>
            <w:pPr>
              <w:spacing w:after="0"/>
              <w:rPr>
                <w:sz w:val="17"/>
                <w:szCs w:val="17"/>
                <w:color w:val="auto"/>
              </w:rPr>
            </w:pPr>
          </w:p>
        </w:tc>
        <w:tc>
          <w:tcPr>
            <w:tcW w:w="4880" w:type="dxa"/>
            <w:vAlign w:val="bottom"/>
          </w:tcPr>
          <w:p>
            <w:pPr>
              <w:spacing w:after="0"/>
              <w:rPr>
                <w:sz w:val="20"/>
                <w:szCs w:val="20"/>
                <w:color w:val="auto"/>
              </w:rPr>
            </w:pPr>
            <w:r>
              <w:rPr>
                <w:rFonts w:ascii="Arial" w:cs="Arial" w:eastAsia="Arial" w:hAnsi="Arial"/>
                <w:sz w:val="16"/>
                <w:szCs w:val="16"/>
                <w:color w:val="auto"/>
              </w:rPr>
              <w:t>2021</w:t>
            </w: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jc w:val="right"/>
              <w:ind w:right="1"/>
              <w:spacing w:after="0"/>
              <w:rPr>
                <w:sz w:val="20"/>
                <w:szCs w:val="20"/>
                <w:color w:val="auto"/>
              </w:rPr>
            </w:pPr>
            <w:r>
              <w:rPr>
                <w:rFonts w:ascii="Arial" w:cs="Arial" w:eastAsia="Arial" w:hAnsi="Arial"/>
                <w:sz w:val="16"/>
                <w:szCs w:val="16"/>
                <w:color w:val="auto"/>
              </w:rPr>
              <w:t>4</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300" w:type="dxa"/>
            <w:vAlign w:val="bottom"/>
            <w:gridSpan w:val="2"/>
          </w:tcPr>
          <w:p>
            <w:pPr>
              <w:spacing w:after="0"/>
              <w:rPr>
                <w:sz w:val="17"/>
                <w:szCs w:val="17"/>
                <w:color w:val="auto"/>
              </w:rPr>
            </w:pPr>
          </w:p>
        </w:tc>
        <w:tc>
          <w:tcPr>
            <w:tcW w:w="4880" w:type="dxa"/>
            <w:vAlign w:val="bottom"/>
            <w:shd w:val="clear" w:color="auto" w:fill="CFF0FC"/>
          </w:tcPr>
          <w:p>
            <w:pPr>
              <w:spacing w:after="0"/>
              <w:rPr>
                <w:sz w:val="20"/>
                <w:szCs w:val="20"/>
                <w:color w:val="auto"/>
              </w:rPr>
            </w:pPr>
            <w:r>
              <w:rPr>
                <w:rFonts w:ascii="Arial" w:cs="Arial" w:eastAsia="Arial" w:hAnsi="Arial"/>
                <w:sz w:val="16"/>
                <w:szCs w:val="16"/>
                <w:color w:val="auto"/>
              </w:rPr>
              <w:t>2022</w:t>
            </w:r>
          </w:p>
        </w:tc>
        <w:tc>
          <w:tcPr>
            <w:tcW w:w="9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480" w:type="dxa"/>
            <w:vAlign w:val="bottom"/>
            <w:shd w:val="clear" w:color="auto" w:fill="CFF0FC"/>
          </w:tcPr>
          <w:p>
            <w:pPr>
              <w:jc w:val="right"/>
              <w:ind w:right="1"/>
              <w:spacing w:after="0"/>
              <w:rPr>
                <w:sz w:val="20"/>
                <w:szCs w:val="20"/>
                <w:color w:val="auto"/>
              </w:rPr>
            </w:pPr>
            <w:r>
              <w:rPr>
                <w:rFonts w:ascii="Arial" w:cs="Arial" w:eastAsia="Arial" w:hAnsi="Arial"/>
                <w:sz w:val="16"/>
                <w:szCs w:val="16"/>
                <w:color w:val="auto"/>
              </w:rPr>
              <w:t>4</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300" w:type="dxa"/>
            <w:vAlign w:val="bottom"/>
            <w:gridSpan w:val="2"/>
          </w:tcPr>
          <w:p>
            <w:pPr>
              <w:spacing w:after="0"/>
              <w:rPr>
                <w:sz w:val="17"/>
                <w:szCs w:val="17"/>
                <w:color w:val="auto"/>
              </w:rPr>
            </w:pPr>
          </w:p>
        </w:tc>
        <w:tc>
          <w:tcPr>
            <w:tcW w:w="4880" w:type="dxa"/>
            <w:vAlign w:val="bottom"/>
          </w:tcPr>
          <w:p>
            <w:pPr>
              <w:spacing w:after="0"/>
              <w:rPr>
                <w:sz w:val="20"/>
                <w:szCs w:val="20"/>
                <w:color w:val="auto"/>
              </w:rPr>
            </w:pPr>
            <w:r>
              <w:rPr>
                <w:rFonts w:ascii="Arial" w:cs="Arial" w:eastAsia="Arial" w:hAnsi="Arial"/>
                <w:sz w:val="16"/>
                <w:szCs w:val="16"/>
                <w:color w:val="auto"/>
              </w:rPr>
              <w:t>2023-2027</w:t>
            </w: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jc w:val="right"/>
              <w:ind w:right="1"/>
              <w:spacing w:after="0"/>
              <w:rPr>
                <w:sz w:val="20"/>
                <w:szCs w:val="20"/>
                <w:color w:val="auto"/>
              </w:rPr>
            </w:pPr>
            <w:r>
              <w:rPr>
                <w:rFonts w:ascii="Arial" w:cs="Arial" w:eastAsia="Arial" w:hAnsi="Arial"/>
                <w:sz w:val="16"/>
                <w:szCs w:val="16"/>
                <w:color w:val="auto"/>
              </w:rPr>
              <w:t>19</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19: EARNINGS PER SHARE</w:t>
      </w:r>
    </w:p>
    <w:p>
      <w:pPr>
        <w:spacing w:after="0" w:line="110" w:lineRule="exact"/>
        <w:rPr>
          <w:sz w:val="20"/>
          <w:szCs w:val="20"/>
          <w:color w:val="auto"/>
        </w:rPr>
      </w:pPr>
    </w:p>
    <w:p>
      <w:pPr>
        <w:ind w:right="180"/>
        <w:spacing w:after="0" w:line="266" w:lineRule="auto"/>
        <w:rPr>
          <w:sz w:val="20"/>
          <w:szCs w:val="20"/>
          <w:color w:val="auto"/>
        </w:rPr>
      </w:pPr>
      <w:r>
        <w:rPr>
          <w:rFonts w:ascii="Arial" w:cs="Arial" w:eastAsia="Arial" w:hAnsi="Arial"/>
          <w:sz w:val="16"/>
          <w:szCs w:val="16"/>
          <w:color w:val="auto"/>
        </w:rPr>
        <w:t>Basic earnings per share are calculated using the weighted-average number of shares of common stock outstanding during the period. Diluted earnings per share calculations include any dilutive effect of potential common shares. In periods with a net loss from continuing operations, diluted earnings per share are calculated using weighted-average basic shares for that period, as utilizing diluted shares would be anti-dilutive to loss per share.</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color w:val="auto"/>
        </w:rPr>
        <w:t>A reconciliation of the amounts used to calculate basic and diluted earnings per share for the years ended December 31, 2017 and 2016 follows (in millions):</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20" w:type="dxa"/>
            <w:vAlign w:val="bottom"/>
          </w:tcPr>
          <w:p>
            <w:pPr>
              <w:spacing w:after="0"/>
              <w:rPr>
                <w:sz w:val="13"/>
                <w:szCs w:val="13"/>
                <w:color w:val="auto"/>
              </w:rPr>
            </w:pPr>
          </w:p>
        </w:tc>
        <w:tc>
          <w:tcPr>
            <w:tcW w:w="392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720" w:type="dxa"/>
            <w:vAlign w:val="bottom"/>
            <w:gridSpan w:val="5"/>
          </w:tcPr>
          <w:p>
            <w:pPr>
              <w:jc w:val="right"/>
              <w:spacing w:after="0"/>
              <w:rPr>
                <w:sz w:val="20"/>
                <w:szCs w:val="20"/>
                <w:color w:val="auto"/>
              </w:rPr>
            </w:pPr>
            <w:r>
              <w:rPr>
                <w:rFonts w:ascii="Arial" w:cs="Arial" w:eastAsia="Arial" w:hAnsi="Arial"/>
                <w:sz w:val="13"/>
                <w:szCs w:val="13"/>
                <w:b w:val="1"/>
                <w:bCs w:val="1"/>
                <w:color w:val="auto"/>
              </w:rPr>
              <w:t>Year Ended December 31,</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720" w:type="dxa"/>
            <w:vAlign w:val="bottom"/>
          </w:tcPr>
          <w:p>
            <w:pPr>
              <w:spacing w:after="0"/>
              <w:rPr>
                <w:sz w:val="13"/>
                <w:szCs w:val="13"/>
                <w:color w:val="auto"/>
              </w:rPr>
            </w:pPr>
          </w:p>
        </w:tc>
        <w:tc>
          <w:tcPr>
            <w:tcW w:w="3920" w:type="dxa"/>
            <w:vAlign w:val="bottom"/>
          </w:tcPr>
          <w:p>
            <w:pPr>
              <w:spacing w:after="0"/>
              <w:rPr>
                <w:sz w:val="13"/>
                <w:szCs w:val="13"/>
                <w:color w:val="auto"/>
              </w:rPr>
            </w:pPr>
          </w:p>
        </w:tc>
        <w:tc>
          <w:tcPr>
            <w:tcW w:w="2560" w:type="dxa"/>
            <w:vAlign w:val="bottom"/>
            <w:gridSpan w:val="3"/>
          </w:tcPr>
          <w:p>
            <w:pPr>
              <w:jc w:val="right"/>
              <w:spacing w:after="0"/>
              <w:rPr>
                <w:sz w:val="20"/>
                <w:szCs w:val="20"/>
                <w:color w:val="auto"/>
              </w:rPr>
            </w:pPr>
            <w:r>
              <w:rPr>
                <w:rFonts w:ascii="Arial" w:cs="Arial" w:eastAsia="Arial" w:hAnsi="Arial"/>
                <w:sz w:val="13"/>
                <w:szCs w:val="13"/>
                <w:b w:val="1"/>
                <w:bCs w:val="1"/>
                <w:color w:val="auto"/>
              </w:rPr>
              <w:t>2017</w:t>
            </w: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b w:val="1"/>
                <w:bCs w:val="1"/>
                <w:color w:val="auto"/>
              </w:rPr>
              <w:t>2016</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1720" w:type="dxa"/>
            <w:vAlign w:val="bottom"/>
          </w:tcPr>
          <w:p>
            <w:pPr>
              <w:spacing w:after="0"/>
              <w:rPr>
                <w:sz w:val="16"/>
                <w:szCs w:val="16"/>
                <w:color w:val="auto"/>
              </w:rPr>
            </w:pPr>
          </w:p>
        </w:tc>
        <w:tc>
          <w:tcPr>
            <w:tcW w:w="3920" w:type="dxa"/>
            <w:vAlign w:val="bottom"/>
            <w:shd w:val="clear" w:color="auto" w:fill="CFF0FC"/>
          </w:tcPr>
          <w:p>
            <w:pPr>
              <w:spacing w:after="0"/>
              <w:rPr>
                <w:sz w:val="20"/>
                <w:szCs w:val="20"/>
                <w:color w:val="auto"/>
              </w:rPr>
            </w:pPr>
            <w:r>
              <w:rPr>
                <w:rFonts w:ascii="Arial" w:cs="Arial" w:eastAsia="Arial" w:hAnsi="Arial"/>
                <w:sz w:val="16"/>
                <w:szCs w:val="16"/>
                <w:color w:val="auto"/>
                <w:w w:val="91"/>
              </w:rPr>
              <w:t>Earnings from continuing operations attributable to Eastman</w:t>
            </w:r>
          </w:p>
        </w:tc>
        <w:tc>
          <w:tcPr>
            <w:tcW w:w="194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720" w:type="dxa"/>
            <w:vAlign w:val="bottom"/>
          </w:tcPr>
          <w:p>
            <w:pPr>
              <w:spacing w:after="0"/>
              <w:rPr>
                <w:sz w:val="17"/>
                <w:szCs w:val="17"/>
                <w:color w:val="auto"/>
              </w:rPr>
            </w:pPr>
          </w:p>
        </w:tc>
        <w:tc>
          <w:tcPr>
            <w:tcW w:w="39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Kodak Company</w:t>
            </w:r>
          </w:p>
        </w:tc>
        <w:tc>
          <w:tcPr>
            <w:tcW w:w="2560" w:type="dxa"/>
            <w:vAlign w:val="bottom"/>
            <w:gridSpan w:val="3"/>
            <w:shd w:val="clear" w:color="auto" w:fill="CFF0FC"/>
          </w:tcPr>
          <w:p>
            <w:pPr>
              <w:jc w:val="right"/>
              <w:ind w:right="476"/>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96</w:t>
            </w: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20" w:type="dxa"/>
            <w:vAlign w:val="bottom"/>
            <w:shd w:val="clear" w:color="auto" w:fill="CFF0FC"/>
          </w:tcPr>
          <w:p>
            <w:pPr>
              <w:jc w:val="right"/>
              <w:ind w:right="467"/>
              <w:spacing w:after="0"/>
              <w:rPr>
                <w:sz w:val="20"/>
                <w:szCs w:val="20"/>
                <w:color w:val="auto"/>
              </w:rPr>
            </w:pPr>
            <w:r>
              <w:rPr>
                <w:rFonts w:ascii="Arial" w:cs="Arial" w:eastAsia="Arial" w:hAnsi="Arial"/>
                <w:sz w:val="15"/>
                <w:szCs w:val="15"/>
                <w:color w:val="auto"/>
                <w:w w:val="71"/>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w:t>
            </w:r>
          </w:p>
        </w:tc>
        <w:tc>
          <w:tcPr>
            <w:tcW w:w="80" w:type="dxa"/>
            <w:vAlign w:val="bottom"/>
            <w:shd w:val="clear" w:color="auto" w:fill="CFF0FC"/>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720" w:type="dxa"/>
            <w:vAlign w:val="bottom"/>
          </w:tcPr>
          <w:p>
            <w:pPr>
              <w:spacing w:after="0"/>
              <w:rPr>
                <w:sz w:val="17"/>
                <w:szCs w:val="17"/>
                <w:color w:val="auto"/>
              </w:rPr>
            </w:pPr>
          </w:p>
        </w:tc>
        <w:tc>
          <w:tcPr>
            <w:tcW w:w="3920" w:type="dxa"/>
            <w:vAlign w:val="bottom"/>
          </w:tcPr>
          <w:p>
            <w:pPr>
              <w:spacing w:after="0"/>
              <w:rPr>
                <w:sz w:val="20"/>
                <w:szCs w:val="20"/>
                <w:color w:val="auto"/>
              </w:rPr>
            </w:pPr>
            <w:r>
              <w:rPr>
                <w:rFonts w:ascii="Arial" w:cs="Arial" w:eastAsia="Arial" w:hAnsi="Arial"/>
                <w:sz w:val="16"/>
                <w:szCs w:val="16"/>
                <w:color w:val="auto"/>
                <w:w w:val="95"/>
              </w:rPr>
              <w:t>Less: Series A convertible preferred stock cash dividends</w:t>
            </w:r>
          </w:p>
        </w:tc>
        <w:tc>
          <w:tcPr>
            <w:tcW w:w="1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20" w:type="dxa"/>
            <w:vAlign w:val="bottom"/>
            <w:gridSpan w:val="3"/>
          </w:tcPr>
          <w:p>
            <w:pPr>
              <w:jc w:val="right"/>
              <w:ind w:right="160"/>
              <w:spacing w:after="0"/>
              <w:rPr>
                <w:sz w:val="20"/>
                <w:szCs w:val="20"/>
                <w:color w:val="auto"/>
              </w:rPr>
            </w:pPr>
            <w:r>
              <w:rPr>
                <w:rFonts w:ascii="Arial" w:cs="Arial" w:eastAsia="Arial" w:hAnsi="Arial"/>
                <w:sz w:val="16"/>
                <w:szCs w:val="16"/>
                <w:color w:val="auto"/>
              </w:rPr>
              <w:t>(11)</w:t>
            </w:r>
          </w:p>
        </w:tc>
        <w:tc>
          <w:tcPr>
            <w:tcW w:w="620" w:type="dxa"/>
            <w:vAlign w:val="bottom"/>
          </w:tcPr>
          <w:p>
            <w:pPr>
              <w:spacing w:after="0"/>
              <w:rPr>
                <w:sz w:val="17"/>
                <w:szCs w:val="17"/>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6"/>
                <w:szCs w:val="16"/>
                <w:color w:val="auto"/>
              </w:rPr>
              <w:t>(2)</w:t>
            </w: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720" w:type="dxa"/>
            <w:vAlign w:val="bottom"/>
          </w:tcPr>
          <w:p>
            <w:pPr>
              <w:spacing w:after="0"/>
              <w:rPr>
                <w:sz w:val="17"/>
                <w:szCs w:val="17"/>
                <w:color w:val="auto"/>
              </w:rPr>
            </w:pPr>
          </w:p>
        </w:tc>
        <w:tc>
          <w:tcPr>
            <w:tcW w:w="3920" w:type="dxa"/>
            <w:vAlign w:val="bottom"/>
            <w:shd w:val="clear" w:color="auto" w:fill="CFF0FC"/>
          </w:tcPr>
          <w:p>
            <w:pPr>
              <w:spacing w:after="0"/>
              <w:rPr>
                <w:sz w:val="20"/>
                <w:szCs w:val="20"/>
                <w:color w:val="auto"/>
              </w:rPr>
            </w:pPr>
            <w:r>
              <w:rPr>
                <w:rFonts w:ascii="Arial" w:cs="Arial" w:eastAsia="Arial" w:hAnsi="Arial"/>
                <w:sz w:val="16"/>
                <w:szCs w:val="16"/>
                <w:color w:val="auto"/>
                <w:w w:val="90"/>
              </w:rPr>
              <w:t>Less: Series A convertible preferred stock deemed dividends</w:t>
            </w:r>
          </w:p>
        </w:tc>
        <w:tc>
          <w:tcPr>
            <w:tcW w:w="19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520" w:type="dxa"/>
            <w:vAlign w:val="bottom"/>
            <w:gridSpan w:val="3"/>
            <w:shd w:val="clear" w:color="auto" w:fill="CFF0FC"/>
          </w:tcPr>
          <w:p>
            <w:pPr>
              <w:jc w:val="right"/>
              <w:ind w:right="160"/>
              <w:spacing w:after="0"/>
              <w:rPr>
                <w:sz w:val="20"/>
                <w:szCs w:val="20"/>
                <w:color w:val="auto"/>
              </w:rPr>
            </w:pPr>
            <w:r>
              <w:rPr>
                <w:rFonts w:ascii="Arial" w:cs="Arial" w:eastAsia="Arial" w:hAnsi="Arial"/>
                <w:sz w:val="16"/>
                <w:szCs w:val="16"/>
                <w:color w:val="auto"/>
              </w:rPr>
              <w:t>(8)</w:t>
            </w:r>
          </w:p>
        </w:tc>
        <w:tc>
          <w:tcPr>
            <w:tcW w:w="620" w:type="dxa"/>
            <w:vAlign w:val="bottom"/>
            <w:shd w:val="clear" w:color="auto" w:fill="CFF0FC"/>
          </w:tcPr>
          <w:p>
            <w:pPr>
              <w:spacing w:after="0"/>
              <w:rPr>
                <w:sz w:val="17"/>
                <w:szCs w:val="17"/>
                <w:color w:val="auto"/>
              </w:rPr>
            </w:pPr>
          </w:p>
        </w:tc>
        <w:tc>
          <w:tcPr>
            <w:tcW w:w="3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w:t>
            </w: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5640" w:type="dxa"/>
            <w:vAlign w:val="bottom"/>
            <w:gridSpan w:val="2"/>
          </w:tcPr>
          <w:p>
            <w:pPr>
              <w:ind w:left="1720"/>
              <w:spacing w:after="0"/>
              <w:rPr>
                <w:sz w:val="20"/>
                <w:szCs w:val="20"/>
                <w:color w:val="auto"/>
              </w:rPr>
            </w:pPr>
            <w:r>
              <w:rPr>
                <w:rFonts w:ascii="Arial" w:cs="Arial" w:eastAsia="Arial" w:hAnsi="Arial"/>
                <w:sz w:val="16"/>
                <w:szCs w:val="16"/>
                <w:color w:val="auto"/>
                <w:w w:val="95"/>
              </w:rPr>
              <w:t>Earnings from continuing operations available to common</w:t>
            </w:r>
          </w:p>
        </w:tc>
        <w:tc>
          <w:tcPr>
            <w:tcW w:w="194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1720" w:type="dxa"/>
            <w:vAlign w:val="bottom"/>
          </w:tcPr>
          <w:p>
            <w:pPr>
              <w:spacing w:after="0"/>
              <w:rPr>
                <w:sz w:val="17"/>
                <w:szCs w:val="17"/>
                <w:color w:val="auto"/>
              </w:rPr>
            </w:pPr>
          </w:p>
        </w:tc>
        <w:tc>
          <w:tcPr>
            <w:tcW w:w="3920" w:type="dxa"/>
            <w:vAlign w:val="bottom"/>
          </w:tcPr>
          <w:p>
            <w:pPr>
              <w:ind w:left="120"/>
              <w:spacing w:after="0"/>
              <w:rPr>
                <w:sz w:val="20"/>
                <w:szCs w:val="20"/>
                <w:color w:val="auto"/>
              </w:rPr>
            </w:pPr>
            <w:r>
              <w:rPr>
                <w:rFonts w:ascii="Arial" w:cs="Arial" w:eastAsia="Arial" w:hAnsi="Arial"/>
                <w:sz w:val="16"/>
                <w:szCs w:val="16"/>
                <w:color w:val="auto"/>
              </w:rPr>
              <w:t>shareholders - basic and diluted</w:t>
            </w:r>
          </w:p>
        </w:tc>
        <w:tc>
          <w:tcPr>
            <w:tcW w:w="2560" w:type="dxa"/>
            <w:vAlign w:val="bottom"/>
            <w:gridSpan w:val="3"/>
          </w:tcPr>
          <w:p>
            <w:pPr>
              <w:jc w:val="right"/>
              <w:ind w:right="476"/>
              <w:spacing w:after="0"/>
              <w:rPr>
                <w:sz w:val="20"/>
                <w:szCs w:val="20"/>
                <w:color w:val="auto"/>
              </w:rPr>
            </w:pPr>
            <w:r>
              <w:rPr>
                <w:rFonts w:ascii="Arial" w:cs="Arial" w:eastAsia="Arial" w:hAnsi="Arial"/>
                <w:sz w:val="16"/>
                <w:szCs w:val="16"/>
                <w:color w:val="auto"/>
              </w:rPr>
              <w:t>$</w:t>
            </w:r>
          </w:p>
        </w:tc>
        <w:tc>
          <w:tcPr>
            <w:tcW w:w="300" w:type="dxa"/>
            <w:vAlign w:val="bottom"/>
          </w:tcPr>
          <w:p>
            <w:pPr>
              <w:jc w:val="right"/>
              <w:spacing w:after="0"/>
              <w:rPr>
                <w:sz w:val="20"/>
                <w:szCs w:val="20"/>
                <w:color w:val="auto"/>
              </w:rPr>
            </w:pPr>
            <w:r>
              <w:rPr>
                <w:rFonts w:ascii="Arial" w:cs="Arial" w:eastAsia="Arial" w:hAnsi="Arial"/>
                <w:sz w:val="16"/>
                <w:szCs w:val="16"/>
                <w:color w:val="auto"/>
              </w:rPr>
              <w:t>77</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jc w:val="right"/>
              <w:ind w:right="467"/>
              <w:spacing w:after="0"/>
              <w:rPr>
                <w:sz w:val="20"/>
                <w:szCs w:val="20"/>
                <w:color w:val="auto"/>
              </w:rPr>
            </w:pPr>
            <w:r>
              <w:rPr>
                <w:rFonts w:ascii="Arial" w:cs="Arial" w:eastAsia="Arial" w:hAnsi="Arial"/>
                <w:sz w:val="15"/>
                <w:szCs w:val="15"/>
                <w:color w:val="auto"/>
                <w:w w:val="71"/>
              </w:rPr>
              <w:t>$</w:t>
            </w:r>
          </w:p>
        </w:tc>
        <w:tc>
          <w:tcPr>
            <w:tcW w:w="300" w:type="dxa"/>
            <w:vAlign w:val="bottom"/>
          </w:tcPr>
          <w:p>
            <w:pPr>
              <w:jc w:val="right"/>
              <w:spacing w:after="0"/>
              <w:rPr>
                <w:sz w:val="20"/>
                <w:szCs w:val="20"/>
                <w:color w:val="auto"/>
              </w:rPr>
            </w:pPr>
            <w:r>
              <w:rPr>
                <w:rFonts w:ascii="Arial" w:cs="Arial" w:eastAsia="Arial" w:hAnsi="Arial"/>
                <w:sz w:val="16"/>
                <w:szCs w:val="16"/>
                <w:color w:val="auto"/>
              </w:rPr>
              <w:t>14</w:t>
            </w:r>
          </w:p>
        </w:tc>
        <w:tc>
          <w:tcPr>
            <w:tcW w:w="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40" w:type="dxa"/>
            <w:vAlign w:val="bottom"/>
            <w:gridSpan w:val="2"/>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1720" w:type="dxa"/>
            <w:vAlign w:val="bottom"/>
            <w:vMerge w:val="restart"/>
          </w:tcPr>
          <w:p>
            <w:pPr>
              <w:spacing w:after="0"/>
              <w:rPr>
                <w:sz w:val="16"/>
                <w:szCs w:val="16"/>
                <w:color w:val="auto"/>
              </w:rPr>
            </w:pPr>
          </w:p>
        </w:tc>
        <w:tc>
          <w:tcPr>
            <w:tcW w:w="3920" w:type="dxa"/>
            <w:vAlign w:val="bottom"/>
          </w:tcPr>
          <w:p>
            <w:pPr>
              <w:spacing w:after="0"/>
              <w:rPr>
                <w:sz w:val="16"/>
                <w:szCs w:val="16"/>
                <w:color w:val="auto"/>
              </w:rPr>
            </w:pPr>
          </w:p>
        </w:tc>
        <w:tc>
          <w:tcPr>
            <w:tcW w:w="1980" w:type="dxa"/>
            <w:vAlign w:val="bottom"/>
            <w:gridSpan w:val="2"/>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1720" w:type="dxa"/>
            <w:vAlign w:val="bottom"/>
            <w:vMerge w:val="continue"/>
          </w:tcPr>
          <w:p>
            <w:pPr>
              <w:spacing w:after="0"/>
              <w:rPr>
                <w:sz w:val="17"/>
                <w:szCs w:val="17"/>
                <w:color w:val="auto"/>
              </w:rPr>
            </w:pPr>
          </w:p>
        </w:tc>
        <w:tc>
          <w:tcPr>
            <w:tcW w:w="3920" w:type="dxa"/>
            <w:vAlign w:val="bottom"/>
            <w:shd w:val="clear" w:color="auto" w:fill="CFF0FC"/>
          </w:tcPr>
          <w:p>
            <w:pPr>
              <w:spacing w:after="0"/>
              <w:rPr>
                <w:sz w:val="20"/>
                <w:szCs w:val="20"/>
                <w:color w:val="auto"/>
              </w:rPr>
            </w:pPr>
            <w:r>
              <w:rPr>
                <w:rFonts w:ascii="Arial" w:cs="Arial" w:eastAsia="Arial" w:hAnsi="Arial"/>
                <w:sz w:val="16"/>
                <w:szCs w:val="16"/>
                <w:color w:val="auto"/>
              </w:rPr>
              <w:t>Net income attributable to Eastman Kodak Company</w:t>
            </w:r>
          </w:p>
        </w:tc>
        <w:tc>
          <w:tcPr>
            <w:tcW w:w="2560" w:type="dxa"/>
            <w:vAlign w:val="bottom"/>
            <w:gridSpan w:val="3"/>
            <w:shd w:val="clear" w:color="auto" w:fill="CFF0FC"/>
          </w:tcPr>
          <w:p>
            <w:pPr>
              <w:jc w:val="right"/>
              <w:ind w:right="476"/>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94</w:t>
            </w: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20" w:type="dxa"/>
            <w:vAlign w:val="bottom"/>
            <w:shd w:val="clear" w:color="auto" w:fill="CFF0FC"/>
          </w:tcPr>
          <w:p>
            <w:pPr>
              <w:jc w:val="right"/>
              <w:ind w:right="467"/>
              <w:spacing w:after="0"/>
              <w:rPr>
                <w:sz w:val="20"/>
                <w:szCs w:val="20"/>
                <w:color w:val="auto"/>
              </w:rPr>
            </w:pPr>
            <w:r>
              <w:rPr>
                <w:rFonts w:ascii="Arial" w:cs="Arial" w:eastAsia="Arial" w:hAnsi="Arial"/>
                <w:sz w:val="15"/>
                <w:szCs w:val="15"/>
                <w:color w:val="auto"/>
                <w:w w:val="71"/>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w:t>
            </w:r>
          </w:p>
        </w:tc>
        <w:tc>
          <w:tcPr>
            <w:tcW w:w="80" w:type="dxa"/>
            <w:vAlign w:val="bottom"/>
            <w:shd w:val="clear" w:color="auto" w:fill="CFF0FC"/>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720" w:type="dxa"/>
            <w:vAlign w:val="bottom"/>
          </w:tcPr>
          <w:p>
            <w:pPr>
              <w:spacing w:after="0"/>
              <w:rPr>
                <w:sz w:val="17"/>
                <w:szCs w:val="17"/>
                <w:color w:val="auto"/>
              </w:rPr>
            </w:pPr>
          </w:p>
        </w:tc>
        <w:tc>
          <w:tcPr>
            <w:tcW w:w="3920" w:type="dxa"/>
            <w:vAlign w:val="bottom"/>
          </w:tcPr>
          <w:p>
            <w:pPr>
              <w:spacing w:after="0"/>
              <w:rPr>
                <w:sz w:val="20"/>
                <w:szCs w:val="20"/>
                <w:color w:val="auto"/>
              </w:rPr>
            </w:pPr>
            <w:r>
              <w:rPr>
                <w:rFonts w:ascii="Arial" w:cs="Arial" w:eastAsia="Arial" w:hAnsi="Arial"/>
                <w:sz w:val="16"/>
                <w:szCs w:val="16"/>
                <w:color w:val="auto"/>
                <w:w w:val="95"/>
              </w:rPr>
              <w:t>Less: Series A convertible preferred stock cash dividends</w:t>
            </w:r>
          </w:p>
        </w:tc>
        <w:tc>
          <w:tcPr>
            <w:tcW w:w="1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20" w:type="dxa"/>
            <w:vAlign w:val="bottom"/>
            <w:gridSpan w:val="3"/>
          </w:tcPr>
          <w:p>
            <w:pPr>
              <w:jc w:val="right"/>
              <w:ind w:right="160"/>
              <w:spacing w:after="0"/>
              <w:rPr>
                <w:sz w:val="20"/>
                <w:szCs w:val="20"/>
                <w:color w:val="auto"/>
              </w:rPr>
            </w:pPr>
            <w:r>
              <w:rPr>
                <w:rFonts w:ascii="Arial" w:cs="Arial" w:eastAsia="Arial" w:hAnsi="Arial"/>
                <w:sz w:val="16"/>
                <w:szCs w:val="16"/>
                <w:color w:val="auto"/>
              </w:rPr>
              <w:t>(11)</w:t>
            </w:r>
          </w:p>
        </w:tc>
        <w:tc>
          <w:tcPr>
            <w:tcW w:w="620" w:type="dxa"/>
            <w:vAlign w:val="bottom"/>
          </w:tcPr>
          <w:p>
            <w:pPr>
              <w:spacing w:after="0"/>
              <w:rPr>
                <w:sz w:val="17"/>
                <w:szCs w:val="17"/>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6"/>
                <w:szCs w:val="16"/>
                <w:color w:val="auto"/>
              </w:rPr>
              <w:t>(2)</w:t>
            </w: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720" w:type="dxa"/>
            <w:vAlign w:val="bottom"/>
          </w:tcPr>
          <w:p>
            <w:pPr>
              <w:spacing w:after="0"/>
              <w:rPr>
                <w:sz w:val="17"/>
                <w:szCs w:val="17"/>
                <w:color w:val="auto"/>
              </w:rPr>
            </w:pPr>
          </w:p>
        </w:tc>
        <w:tc>
          <w:tcPr>
            <w:tcW w:w="3920" w:type="dxa"/>
            <w:vAlign w:val="bottom"/>
            <w:shd w:val="clear" w:color="auto" w:fill="CFF0FC"/>
          </w:tcPr>
          <w:p>
            <w:pPr>
              <w:spacing w:after="0"/>
              <w:rPr>
                <w:sz w:val="20"/>
                <w:szCs w:val="20"/>
                <w:color w:val="auto"/>
              </w:rPr>
            </w:pPr>
            <w:r>
              <w:rPr>
                <w:rFonts w:ascii="Arial" w:cs="Arial" w:eastAsia="Arial" w:hAnsi="Arial"/>
                <w:sz w:val="16"/>
                <w:szCs w:val="16"/>
                <w:color w:val="auto"/>
                <w:w w:val="90"/>
              </w:rPr>
              <w:t>Less: Series A convertible preferred stock deemed dividends</w:t>
            </w:r>
          </w:p>
        </w:tc>
        <w:tc>
          <w:tcPr>
            <w:tcW w:w="19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520" w:type="dxa"/>
            <w:vAlign w:val="bottom"/>
            <w:gridSpan w:val="3"/>
            <w:shd w:val="clear" w:color="auto" w:fill="CFF0FC"/>
          </w:tcPr>
          <w:p>
            <w:pPr>
              <w:jc w:val="right"/>
              <w:ind w:right="160"/>
              <w:spacing w:after="0"/>
              <w:rPr>
                <w:sz w:val="20"/>
                <w:szCs w:val="20"/>
                <w:color w:val="auto"/>
              </w:rPr>
            </w:pPr>
            <w:r>
              <w:rPr>
                <w:rFonts w:ascii="Arial" w:cs="Arial" w:eastAsia="Arial" w:hAnsi="Arial"/>
                <w:sz w:val="16"/>
                <w:szCs w:val="16"/>
                <w:color w:val="auto"/>
              </w:rPr>
              <w:t>(8)</w:t>
            </w:r>
          </w:p>
        </w:tc>
        <w:tc>
          <w:tcPr>
            <w:tcW w:w="620" w:type="dxa"/>
            <w:vAlign w:val="bottom"/>
            <w:shd w:val="clear" w:color="auto" w:fill="CFF0FC"/>
          </w:tcPr>
          <w:p>
            <w:pPr>
              <w:spacing w:after="0"/>
              <w:rPr>
                <w:sz w:val="17"/>
                <w:szCs w:val="17"/>
                <w:color w:val="auto"/>
              </w:rPr>
            </w:pPr>
          </w:p>
        </w:tc>
        <w:tc>
          <w:tcPr>
            <w:tcW w:w="3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w:t>
            </w: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5640" w:type="dxa"/>
            <w:vAlign w:val="bottom"/>
            <w:gridSpan w:val="2"/>
          </w:tcPr>
          <w:p>
            <w:pPr>
              <w:ind w:left="1720"/>
              <w:spacing w:after="0"/>
              <w:rPr>
                <w:sz w:val="20"/>
                <w:szCs w:val="20"/>
                <w:color w:val="auto"/>
              </w:rPr>
            </w:pPr>
            <w:r>
              <w:rPr>
                <w:rFonts w:ascii="Arial" w:cs="Arial" w:eastAsia="Arial" w:hAnsi="Arial"/>
                <w:sz w:val="16"/>
                <w:szCs w:val="16"/>
                <w:color w:val="auto"/>
                <w:w w:val="94"/>
              </w:rPr>
              <w:t>Net income available to common shareholders - basic and</w:t>
            </w:r>
          </w:p>
        </w:tc>
        <w:tc>
          <w:tcPr>
            <w:tcW w:w="194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720" w:type="dxa"/>
            <w:vAlign w:val="bottom"/>
          </w:tcPr>
          <w:p>
            <w:pPr>
              <w:spacing w:after="0"/>
              <w:rPr>
                <w:sz w:val="17"/>
                <w:szCs w:val="17"/>
                <w:color w:val="auto"/>
              </w:rPr>
            </w:pPr>
          </w:p>
        </w:tc>
        <w:tc>
          <w:tcPr>
            <w:tcW w:w="3920" w:type="dxa"/>
            <w:vAlign w:val="bottom"/>
          </w:tcPr>
          <w:p>
            <w:pPr>
              <w:ind w:left="120"/>
              <w:spacing w:after="0"/>
              <w:rPr>
                <w:sz w:val="20"/>
                <w:szCs w:val="20"/>
                <w:color w:val="auto"/>
              </w:rPr>
            </w:pPr>
            <w:r>
              <w:rPr>
                <w:rFonts w:ascii="Arial" w:cs="Arial" w:eastAsia="Arial" w:hAnsi="Arial"/>
                <w:sz w:val="16"/>
                <w:szCs w:val="16"/>
                <w:color w:val="auto"/>
              </w:rPr>
              <w:t>diluted</w:t>
            </w:r>
          </w:p>
        </w:tc>
        <w:tc>
          <w:tcPr>
            <w:tcW w:w="2560" w:type="dxa"/>
            <w:vAlign w:val="bottom"/>
            <w:gridSpan w:val="3"/>
          </w:tcPr>
          <w:p>
            <w:pPr>
              <w:jc w:val="right"/>
              <w:ind w:right="476"/>
              <w:spacing w:after="0"/>
              <w:rPr>
                <w:sz w:val="20"/>
                <w:szCs w:val="20"/>
                <w:color w:val="auto"/>
              </w:rPr>
            </w:pPr>
            <w:r>
              <w:rPr>
                <w:rFonts w:ascii="Arial" w:cs="Arial" w:eastAsia="Arial" w:hAnsi="Arial"/>
                <w:sz w:val="16"/>
                <w:szCs w:val="16"/>
                <w:color w:val="auto"/>
              </w:rPr>
              <w:t>$</w:t>
            </w:r>
          </w:p>
        </w:tc>
        <w:tc>
          <w:tcPr>
            <w:tcW w:w="300" w:type="dxa"/>
            <w:vAlign w:val="bottom"/>
          </w:tcPr>
          <w:p>
            <w:pPr>
              <w:jc w:val="right"/>
              <w:spacing w:after="0"/>
              <w:rPr>
                <w:sz w:val="20"/>
                <w:szCs w:val="20"/>
                <w:color w:val="auto"/>
              </w:rPr>
            </w:pPr>
            <w:r>
              <w:rPr>
                <w:rFonts w:ascii="Arial" w:cs="Arial" w:eastAsia="Arial" w:hAnsi="Arial"/>
                <w:sz w:val="16"/>
                <w:szCs w:val="16"/>
                <w:color w:val="auto"/>
              </w:rPr>
              <w:t>75</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jc w:val="right"/>
              <w:ind w:right="467"/>
              <w:spacing w:after="0"/>
              <w:rPr>
                <w:sz w:val="20"/>
                <w:szCs w:val="20"/>
                <w:color w:val="auto"/>
              </w:rPr>
            </w:pPr>
            <w:r>
              <w:rPr>
                <w:rFonts w:ascii="Arial" w:cs="Arial" w:eastAsia="Arial" w:hAnsi="Arial"/>
                <w:sz w:val="15"/>
                <w:szCs w:val="15"/>
                <w:color w:val="auto"/>
                <w:w w:val="71"/>
              </w:rPr>
              <w:t>$</w:t>
            </w:r>
          </w:p>
        </w:tc>
        <w:tc>
          <w:tcPr>
            <w:tcW w:w="300" w:type="dxa"/>
            <w:vAlign w:val="bottom"/>
          </w:tcPr>
          <w:p>
            <w:pPr>
              <w:jc w:val="right"/>
              <w:spacing w:after="0"/>
              <w:rPr>
                <w:sz w:val="20"/>
                <w:szCs w:val="20"/>
                <w:color w:val="auto"/>
              </w:rPr>
            </w:pPr>
            <w:r>
              <w:rPr>
                <w:rFonts w:ascii="Arial" w:cs="Arial" w:eastAsia="Arial" w:hAnsi="Arial"/>
                <w:sz w:val="16"/>
                <w:szCs w:val="16"/>
                <w:color w:val="auto"/>
              </w:rPr>
              <w:t>12</w:t>
            </w:r>
          </w:p>
        </w:tc>
        <w:tc>
          <w:tcPr>
            <w:tcW w:w="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40" w:type="dxa"/>
            <w:vAlign w:val="bottom"/>
            <w:gridSpan w:val="2"/>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1720" w:type="dxa"/>
            <w:vAlign w:val="bottom"/>
            <w:vMerge w:val="restart"/>
          </w:tcPr>
          <w:p>
            <w:pPr>
              <w:spacing w:after="0"/>
              <w:rPr>
                <w:sz w:val="16"/>
                <w:szCs w:val="16"/>
                <w:color w:val="auto"/>
              </w:rPr>
            </w:pPr>
          </w:p>
        </w:tc>
        <w:tc>
          <w:tcPr>
            <w:tcW w:w="39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gridSpan w:val="2"/>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1720" w:type="dxa"/>
            <w:vAlign w:val="bottom"/>
            <w:vMerge w:val="continue"/>
          </w:tcPr>
          <w:p>
            <w:pPr>
              <w:spacing w:after="0"/>
              <w:rPr>
                <w:sz w:val="17"/>
                <w:szCs w:val="17"/>
                <w:color w:val="auto"/>
              </w:rPr>
            </w:pPr>
          </w:p>
        </w:tc>
        <w:tc>
          <w:tcPr>
            <w:tcW w:w="3920" w:type="dxa"/>
            <w:vAlign w:val="bottom"/>
            <w:shd w:val="clear" w:color="auto" w:fill="CFF0FC"/>
          </w:tcPr>
          <w:p>
            <w:pPr>
              <w:spacing w:after="0"/>
              <w:rPr>
                <w:sz w:val="20"/>
                <w:szCs w:val="20"/>
                <w:color w:val="auto"/>
              </w:rPr>
            </w:pPr>
            <w:r>
              <w:rPr>
                <w:rFonts w:ascii="Arial" w:cs="Arial" w:eastAsia="Arial" w:hAnsi="Arial"/>
                <w:sz w:val="16"/>
                <w:szCs w:val="16"/>
                <w:color w:val="auto"/>
              </w:rPr>
              <w:t>Weighted-average common shares outstanding - basic</w:t>
            </w:r>
          </w:p>
        </w:tc>
        <w:tc>
          <w:tcPr>
            <w:tcW w:w="19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3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w w:val="89"/>
              </w:rPr>
              <w:t>42.5</w:t>
            </w:r>
          </w:p>
        </w:tc>
        <w:tc>
          <w:tcPr>
            <w:tcW w:w="2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42.2</w:t>
            </w:r>
          </w:p>
        </w:tc>
        <w:tc>
          <w:tcPr>
            <w:tcW w:w="80" w:type="dxa"/>
            <w:vAlign w:val="bottom"/>
            <w:shd w:val="clear" w:color="auto" w:fill="CFF0FC"/>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720" w:type="dxa"/>
            <w:vAlign w:val="bottom"/>
          </w:tcPr>
          <w:p>
            <w:pPr>
              <w:spacing w:after="0"/>
              <w:rPr>
                <w:sz w:val="17"/>
                <w:szCs w:val="17"/>
                <w:color w:val="auto"/>
              </w:rPr>
            </w:pPr>
          </w:p>
        </w:tc>
        <w:tc>
          <w:tcPr>
            <w:tcW w:w="3920" w:type="dxa"/>
            <w:vAlign w:val="bottom"/>
          </w:tcPr>
          <w:p>
            <w:pPr>
              <w:spacing w:after="0"/>
              <w:rPr>
                <w:sz w:val="20"/>
                <w:szCs w:val="20"/>
                <w:color w:val="auto"/>
              </w:rPr>
            </w:pPr>
            <w:r>
              <w:rPr>
                <w:rFonts w:ascii="Arial" w:cs="Arial" w:eastAsia="Arial" w:hAnsi="Arial"/>
                <w:sz w:val="16"/>
                <w:szCs w:val="16"/>
                <w:color w:val="auto"/>
              </w:rPr>
              <w:t>Effect of dilutive securities:</w:t>
            </w:r>
          </w:p>
        </w:tc>
        <w:tc>
          <w:tcPr>
            <w:tcW w:w="1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720" w:type="dxa"/>
            <w:vAlign w:val="bottom"/>
          </w:tcPr>
          <w:p>
            <w:pPr>
              <w:spacing w:after="0"/>
              <w:rPr>
                <w:sz w:val="17"/>
                <w:szCs w:val="17"/>
                <w:color w:val="auto"/>
              </w:rPr>
            </w:pPr>
          </w:p>
        </w:tc>
        <w:tc>
          <w:tcPr>
            <w:tcW w:w="3920" w:type="dxa"/>
            <w:vAlign w:val="bottom"/>
            <w:shd w:val="clear" w:color="auto" w:fill="CFF0FC"/>
          </w:tcPr>
          <w:p>
            <w:pPr>
              <w:spacing w:after="0"/>
              <w:rPr>
                <w:sz w:val="20"/>
                <w:szCs w:val="20"/>
                <w:color w:val="auto"/>
              </w:rPr>
            </w:pPr>
            <w:r>
              <w:rPr>
                <w:rFonts w:ascii="Arial" w:cs="Arial" w:eastAsia="Arial" w:hAnsi="Arial"/>
                <w:sz w:val="16"/>
                <w:szCs w:val="16"/>
                <w:color w:val="auto"/>
              </w:rPr>
              <w:t>Unvested restricted stock units</w:t>
            </w:r>
          </w:p>
        </w:tc>
        <w:tc>
          <w:tcPr>
            <w:tcW w:w="19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spacing w:after="0"/>
              <w:rPr>
                <w:sz w:val="17"/>
                <w:szCs w:val="17"/>
                <w:color w:val="auto"/>
              </w:rPr>
            </w:pPr>
          </w:p>
        </w:tc>
        <w:tc>
          <w:tcPr>
            <w:tcW w:w="3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0.2</w:t>
            </w:r>
          </w:p>
        </w:tc>
        <w:tc>
          <w:tcPr>
            <w:tcW w:w="200" w:type="dxa"/>
            <w:vAlign w:val="bottom"/>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0.3</w:t>
            </w:r>
          </w:p>
        </w:tc>
        <w:tc>
          <w:tcPr>
            <w:tcW w:w="80" w:type="dxa"/>
            <w:vAlign w:val="bottom"/>
            <w:shd w:val="clear" w:color="auto" w:fill="CFF0FC"/>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5640" w:type="dxa"/>
            <w:vAlign w:val="bottom"/>
            <w:gridSpan w:val="2"/>
          </w:tcPr>
          <w:p>
            <w:pPr>
              <w:ind w:left="1720"/>
              <w:spacing w:after="0"/>
              <w:rPr>
                <w:sz w:val="20"/>
                <w:szCs w:val="20"/>
                <w:color w:val="auto"/>
              </w:rPr>
            </w:pPr>
            <w:r>
              <w:rPr>
                <w:rFonts w:ascii="Arial" w:cs="Arial" w:eastAsia="Arial" w:hAnsi="Arial"/>
                <w:sz w:val="16"/>
                <w:szCs w:val="16"/>
                <w:color w:val="auto"/>
                <w:w w:val="98"/>
              </w:rPr>
              <w:t>Weighted-average common shares outstanding - diluted</w:t>
            </w:r>
          </w:p>
        </w:tc>
        <w:tc>
          <w:tcPr>
            <w:tcW w:w="1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w w:val="89"/>
              </w:rPr>
              <w:t>42.7</w:t>
            </w:r>
          </w:p>
        </w:tc>
        <w:tc>
          <w:tcPr>
            <w:tcW w:w="20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42.5</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940" w:type="dxa"/>
            <w:vAlign w:val="bottom"/>
            <w:vMerge w:val="restart"/>
          </w:tcPr>
          <w:p>
            <w:pPr>
              <w:jc w:val="right"/>
              <w:ind w:right="1702"/>
              <w:spacing w:after="0"/>
              <w:rPr>
                <w:sz w:val="20"/>
                <w:szCs w:val="20"/>
                <w:color w:val="auto"/>
              </w:rPr>
            </w:pPr>
            <w:r>
              <w:rPr>
                <w:rFonts w:ascii="Arial" w:cs="Arial" w:eastAsia="Arial" w:hAnsi="Arial"/>
                <w:sz w:val="16"/>
                <w:szCs w:val="16"/>
                <w:color w:val="auto"/>
                <w:w w:val="78"/>
              </w:rPr>
              <w:t>92</w:t>
            </w:r>
          </w:p>
        </w:tc>
        <w:tc>
          <w:tcPr>
            <w:tcW w:w="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17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194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1720" w:type="dxa"/>
            <w:vAlign w:val="bottom"/>
            <w:tcBorders>
              <w:bottom w:val="single" w:sz="8" w:color="9A9A9A"/>
            </w:tcBorders>
          </w:tcPr>
          <w:p>
            <w:pPr>
              <w:spacing w:after="0"/>
              <w:rPr>
                <w:sz w:val="8"/>
                <w:szCs w:val="8"/>
                <w:color w:val="auto"/>
              </w:rPr>
            </w:pPr>
          </w:p>
        </w:tc>
        <w:tc>
          <w:tcPr>
            <w:tcW w:w="3920" w:type="dxa"/>
            <w:vAlign w:val="bottom"/>
            <w:tcBorders>
              <w:bottom w:val="single" w:sz="8" w:color="9A9A9A"/>
            </w:tcBorders>
          </w:tcPr>
          <w:p>
            <w:pPr>
              <w:spacing w:after="0"/>
              <w:rPr>
                <w:sz w:val="8"/>
                <w:szCs w:val="8"/>
                <w:color w:val="auto"/>
              </w:rPr>
            </w:pPr>
          </w:p>
        </w:tc>
        <w:tc>
          <w:tcPr>
            <w:tcW w:w="194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7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7253605</wp:posOffset>
            </wp:positionH>
            <wp:positionV relativeFrom="paragraph">
              <wp:posOffset>-27305</wp:posOffset>
            </wp:positionV>
            <wp:extent cx="33020" cy="406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-27305</wp:posOffset>
            </wp:positionV>
            <wp:extent cx="33020" cy="406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460"/>
          </w:cols>
          <w:pgMar w:left="240" w:top="127" w:right="199" w:bottom="1440" w:gutter="0" w:footer="0" w:header="0"/>
        </w:sectPr>
      </w:pPr>
    </w:p>
    <w:bookmarkStart w:id="92" w:name="page93"/>
    <w:bookmarkEnd w:id="92"/>
    <w:p>
      <w:pPr>
        <w:spacing w:after="0" w:line="284" w:lineRule="auto"/>
        <w:rPr>
          <w:sz w:val="20"/>
          <w:szCs w:val="20"/>
          <w:color w:val="auto"/>
        </w:rPr>
      </w:pPr>
      <w:r>
        <w:rPr>
          <w:rFonts w:ascii="Arial" w:cs="Arial" w:eastAsia="Arial" w:hAnsi="Arial"/>
          <w:sz w:val="15"/>
          <w:szCs w:val="15"/>
          <w:color w:val="auto"/>
        </w:rPr>
        <w:t>The computation of diluted earnings per share for the years ended December 31, 2017 and 2016 excluded the impact of (1) the assumed conversion of 2.0 million shares of Series A convertible preferred shares, (2) the assumed conversion of net share settled warrants to purchase 1.8 million shares of common stock at an exercise price of $14.93, (3) the assumed conversion of net share settled warrants to purchase 1.8 million shares of common stock at an exercise price of $16.12 and (4) the assumed conversion of 4.8 million and 2.2 million, respectively, outstanding employee stock options because they would have been anti-dilutive.</w:t>
      </w:r>
    </w:p>
    <w:p>
      <w:pPr>
        <w:spacing w:after="0" w:line="175" w:lineRule="exact"/>
        <w:rPr>
          <w:sz w:val="20"/>
          <w:szCs w:val="20"/>
          <w:color w:val="auto"/>
        </w:rPr>
      </w:pPr>
    </w:p>
    <w:p>
      <w:pPr>
        <w:ind w:right="140"/>
        <w:spacing w:after="0" w:line="266" w:lineRule="auto"/>
        <w:rPr>
          <w:sz w:val="20"/>
          <w:szCs w:val="20"/>
          <w:color w:val="auto"/>
        </w:rPr>
      </w:pPr>
      <w:r>
        <w:rPr>
          <w:rFonts w:ascii="Arial" w:cs="Arial" w:eastAsia="Arial" w:hAnsi="Arial"/>
          <w:sz w:val="16"/>
          <w:szCs w:val="16"/>
          <w:color w:val="auto"/>
        </w:rPr>
        <w:t>As a result of the net loss from continuing operations for the year ended December 31, 2015 Kodak calculated diluted earnings per share using weighted-average basic shares outstanding for those periods. If Kodak had reported earnings from continuing operations for the year ended December 31, 2015, the following potential shares of its common stock would have been dilutive in the computation of diluted earnings per share:</w:t>
      </w:r>
    </w:p>
    <w:p>
      <w:pPr>
        <w:spacing w:after="0" w:line="150"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6600" w:type="dxa"/>
            <w:vAlign w:val="bottom"/>
          </w:tcPr>
          <w:p>
            <w:pPr>
              <w:spacing w:after="0"/>
              <w:rPr>
                <w:sz w:val="13"/>
                <w:szCs w:val="13"/>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2"/>
              </w:rPr>
              <w:t>Year Ended</w:t>
            </w:r>
          </w:p>
        </w:tc>
      </w:tr>
      <w:tr>
        <w:trPr>
          <w:trHeight w:val="145"/>
        </w:trPr>
        <w:tc>
          <w:tcPr>
            <w:tcW w:w="6600" w:type="dxa"/>
            <w:vAlign w:val="bottom"/>
          </w:tcPr>
          <w:p>
            <w:pPr>
              <w:spacing w:after="0"/>
              <w:rPr>
                <w:sz w:val="12"/>
                <w:szCs w:val="12"/>
                <w:color w:val="auto"/>
              </w:rPr>
            </w:pPr>
          </w:p>
        </w:tc>
        <w:tc>
          <w:tcPr>
            <w:tcW w:w="1400" w:type="dxa"/>
            <w:vAlign w:val="bottom"/>
            <w:gridSpan w:val="2"/>
          </w:tcPr>
          <w:p>
            <w:pPr>
              <w:jc w:val="center"/>
              <w:ind w:right="100"/>
              <w:spacing w:after="0" w:line="145" w:lineRule="exact"/>
              <w:rPr>
                <w:sz w:val="20"/>
                <w:szCs w:val="20"/>
                <w:color w:val="auto"/>
              </w:rPr>
            </w:pPr>
            <w:r>
              <w:rPr>
                <w:rFonts w:ascii="Arial" w:cs="Arial" w:eastAsia="Arial" w:hAnsi="Arial"/>
                <w:sz w:val="13"/>
                <w:szCs w:val="13"/>
                <w:b w:val="1"/>
                <w:bCs w:val="1"/>
                <w:color w:val="auto"/>
                <w:w w:val="87"/>
              </w:rPr>
              <w:t>December 31,</w:t>
            </w:r>
          </w:p>
        </w:tc>
      </w:tr>
      <w:tr>
        <w:trPr>
          <w:trHeight w:val="153"/>
        </w:trPr>
        <w:tc>
          <w:tcPr>
            <w:tcW w:w="6600" w:type="dxa"/>
            <w:vAlign w:val="bottom"/>
            <w:tcBorders>
              <w:bottom w:val="single" w:sz="8" w:color="CFF0FC"/>
            </w:tcBorders>
          </w:tcPr>
          <w:p>
            <w:pPr>
              <w:spacing w:after="0"/>
              <w:rPr>
                <w:sz w:val="20"/>
                <w:szCs w:val="20"/>
                <w:color w:val="auto"/>
              </w:rPr>
            </w:pPr>
            <w:r>
              <w:rPr>
                <w:rFonts w:ascii="Arial" w:cs="Arial" w:eastAsia="Arial" w:hAnsi="Arial"/>
                <w:sz w:val="13"/>
                <w:szCs w:val="13"/>
                <w:color w:val="auto"/>
              </w:rPr>
              <w:t>(in millions of shares)</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2015</w:t>
            </w:r>
          </w:p>
        </w:tc>
        <w:tc>
          <w:tcPr>
            <w:tcW w:w="80" w:type="dxa"/>
            <w:vAlign w:val="bottom"/>
            <w:tcBorders>
              <w:bottom w:val="single" w:sz="8" w:color="CFF0FC"/>
            </w:tcBorders>
          </w:tcPr>
          <w:p>
            <w:pPr>
              <w:spacing w:after="0"/>
              <w:rPr>
                <w:sz w:val="13"/>
                <w:szCs w:val="13"/>
                <w:color w:val="auto"/>
              </w:rPr>
            </w:pPr>
          </w:p>
        </w:tc>
      </w:tr>
      <w:tr>
        <w:trPr>
          <w:trHeight w:val="198"/>
        </w:trPr>
        <w:tc>
          <w:tcPr>
            <w:tcW w:w="6600" w:type="dxa"/>
            <w:vAlign w:val="bottom"/>
            <w:shd w:val="clear" w:color="auto" w:fill="CFF0FC"/>
          </w:tcPr>
          <w:p>
            <w:pPr>
              <w:spacing w:after="0"/>
              <w:rPr>
                <w:sz w:val="20"/>
                <w:szCs w:val="20"/>
                <w:color w:val="auto"/>
              </w:rPr>
            </w:pPr>
            <w:r>
              <w:rPr>
                <w:rFonts w:ascii="Arial" w:cs="Arial" w:eastAsia="Arial" w:hAnsi="Arial"/>
                <w:sz w:val="16"/>
                <w:szCs w:val="16"/>
                <w:color w:val="auto"/>
              </w:rPr>
              <w:t>Unvested share-based awards</w:t>
            </w: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0.2</w:t>
            </w:r>
          </w:p>
        </w:tc>
        <w:tc>
          <w:tcPr>
            <w:tcW w:w="80" w:type="dxa"/>
            <w:vAlign w:val="bottom"/>
            <w:shd w:val="clear" w:color="auto" w:fill="CFF0FC"/>
          </w:tcPr>
          <w:p>
            <w:pPr>
              <w:spacing w:after="0"/>
              <w:rPr>
                <w:sz w:val="17"/>
                <w:szCs w:val="17"/>
                <w:color w:val="auto"/>
              </w:rPr>
            </w:pPr>
          </w:p>
        </w:tc>
      </w:tr>
      <w:tr>
        <w:trPr>
          <w:trHeight w:val="205"/>
        </w:trPr>
        <w:tc>
          <w:tcPr>
            <w:tcW w:w="660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Warrants to purchase common shares</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w:t>
            </w:r>
          </w:p>
        </w:tc>
        <w:tc>
          <w:tcPr>
            <w:tcW w:w="80" w:type="dxa"/>
            <w:vAlign w:val="bottom"/>
            <w:tcBorders>
              <w:bottom w:val="single" w:sz="8" w:color="CFF0FC"/>
            </w:tcBorders>
          </w:tcPr>
          <w:p>
            <w:pPr>
              <w:spacing w:after="0"/>
              <w:rPr>
                <w:sz w:val="17"/>
                <w:szCs w:val="17"/>
                <w:color w:val="auto"/>
              </w:rPr>
            </w:pPr>
          </w:p>
        </w:tc>
      </w:tr>
      <w:tr>
        <w:trPr>
          <w:trHeight w:val="198"/>
        </w:trPr>
        <w:tc>
          <w:tcPr>
            <w:tcW w:w="660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16"/>
                <w:szCs w:val="16"/>
                <w:color w:val="auto"/>
              </w:rPr>
              <w:t>Total</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0.5</w:t>
            </w:r>
          </w:p>
        </w:tc>
        <w:tc>
          <w:tcPr>
            <w:tcW w:w="80" w:type="dxa"/>
            <w:vAlign w:val="bottom"/>
            <w:tcBorders>
              <w:bottom w:val="single" w:sz="8" w:color="CFF0FC"/>
            </w:tcBorders>
            <w:shd w:val="clear" w:color="auto" w:fill="CFF0FC"/>
          </w:tcPr>
          <w:p>
            <w:pPr>
              <w:spacing w:after="0"/>
              <w:rPr>
                <w:sz w:val="17"/>
                <w:szCs w:val="17"/>
                <w:color w:val="auto"/>
              </w:rPr>
            </w:pPr>
          </w:p>
        </w:tc>
      </w:tr>
      <w:tr>
        <w:trPr>
          <w:trHeight w:val="20"/>
        </w:trPr>
        <w:tc>
          <w:tcPr>
            <w:tcW w:w="66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5" w:lineRule="exact"/>
        <w:rPr>
          <w:sz w:val="20"/>
          <w:szCs w:val="20"/>
          <w:color w:val="auto"/>
        </w:rPr>
      </w:pPr>
    </w:p>
    <w:p>
      <w:pPr>
        <w:ind w:right="40"/>
        <w:spacing w:after="0" w:line="280" w:lineRule="auto"/>
        <w:rPr>
          <w:sz w:val="20"/>
          <w:szCs w:val="20"/>
          <w:color w:val="auto"/>
        </w:rPr>
      </w:pPr>
      <w:r>
        <w:rPr>
          <w:rFonts w:ascii="Arial" w:cs="Arial" w:eastAsia="Arial" w:hAnsi="Arial"/>
          <w:sz w:val="16"/>
          <w:szCs w:val="16"/>
          <w:color w:val="auto"/>
        </w:rPr>
        <w:t>The computation of diluted earnings per share for the year ended December 31, 2015 also excluded outstanding employee stock options of 1.6 million because the effects would have been anti-dilutive.</w:t>
      </w: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20: STOCK-BASED COMPENSATION</w:t>
      </w:r>
    </w:p>
    <w:p>
      <w:pPr>
        <w:spacing w:after="0" w:line="110" w:lineRule="exact"/>
        <w:rPr>
          <w:sz w:val="20"/>
          <w:szCs w:val="20"/>
          <w:color w:val="auto"/>
        </w:rPr>
      </w:pPr>
    </w:p>
    <w:p>
      <w:pPr>
        <w:ind w:right="80"/>
        <w:spacing w:after="0" w:line="280" w:lineRule="auto"/>
        <w:rPr>
          <w:sz w:val="20"/>
          <w:szCs w:val="20"/>
          <w:color w:val="auto"/>
        </w:rPr>
      </w:pPr>
      <w:r>
        <w:rPr>
          <w:rFonts w:ascii="Arial" w:cs="Arial" w:eastAsia="Arial" w:hAnsi="Arial"/>
          <w:sz w:val="16"/>
          <w:szCs w:val="16"/>
          <w:color w:val="auto"/>
        </w:rPr>
        <w:t>Kodak’s stock incentive plan is the 2013 Omnibus Incentive Plan (the “2013 Plan”). The 2013 Plan is administered by the Executive Compensation Committee of the Board of Directors.</w:t>
      </w:r>
    </w:p>
    <w:p>
      <w:pPr>
        <w:spacing w:after="0" w:line="54"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Officers, directors and employees of the Company and its consolidated subsidiaries are eligible to receive awards. Stock options are generally non-qualified, are at exercise prices equal to or greater than the closing price of Kodak’s stock on the date of grant and expire seven years after the grant date. Stock-based compensation awards granted under Kodak’s stock incentive plan are generally subject to a three-year vesting period from the date of grant, or a later date as determined by the Executive Compensation Committee. Awards are subject to settlement in newly-issued shares of common stock. Unless sooner terminated by the Executive Compensation Committee, no awards may be granted under the 2013 Plan after the tenth anniversary of the Effective Date.</w:t>
      </w:r>
    </w:p>
    <w:p>
      <w:pPr>
        <w:spacing w:after="0" w:line="71"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The maximum number of shares of common stock that may be issued under the 2013 Plan is approximately 4.8 million. In addition, under the 2013 Plan, the maximum number of shares available for the grant of incentive stock options is 2.0 million shares. The maximum number of shares as to which stock options or stock appreciation rights may be granted to any one person under the 2013 Plan in any calendar year is 2.0 million shares. The maximum number of performance-based compensation awards that may be granted to any one employee under the 2013 Plan in any calendar year is 1.0 million shares or, in the event such award is paid in cash, $2.5 million. The maximum number of awards that may be granted to any non-employee director under the 2013 Plan in any calendar year may not exceed a number of awards with a grant date fair value of $900,000, computed as of the grant date.</w:t>
      </w:r>
    </w:p>
    <w:p>
      <w:pPr>
        <w:spacing w:after="0" w:line="75" w:lineRule="exact"/>
        <w:rPr>
          <w:sz w:val="20"/>
          <w:szCs w:val="20"/>
          <w:color w:val="auto"/>
        </w:rPr>
      </w:pPr>
    </w:p>
    <w:p>
      <w:pPr>
        <w:ind w:right="160"/>
        <w:spacing w:after="0" w:line="261" w:lineRule="auto"/>
        <w:rPr>
          <w:sz w:val="20"/>
          <w:szCs w:val="20"/>
          <w:color w:val="auto"/>
        </w:rPr>
      </w:pPr>
      <w:r>
        <w:rPr>
          <w:rFonts w:ascii="Arial" w:cs="Arial" w:eastAsia="Arial" w:hAnsi="Arial"/>
          <w:sz w:val="16"/>
          <w:szCs w:val="16"/>
          <w:color w:val="auto"/>
        </w:rPr>
        <w:t>Compensation expense is recognized on a straight-line basis over the service or performance period for each separately vesting tranche of the award and is adjusted for actual forfeitures before vesting. Kodak assesses the likelihood that performance-based shares will be earned based on the probability of meeting the performance criteria. For those performance-based awards that are deemed probable of achievement, expense is recorded, and for those awards that are deemed not probable of achievement, no expense is recorded. Kodak assesses the probability of achievement each quarter.</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Restricted Stock Units</w:t>
      </w:r>
    </w:p>
    <w:p>
      <w:pPr>
        <w:spacing w:after="0" w:line="110" w:lineRule="exact"/>
        <w:rPr>
          <w:sz w:val="20"/>
          <w:szCs w:val="20"/>
          <w:color w:val="auto"/>
        </w:rPr>
      </w:pPr>
    </w:p>
    <w:p>
      <w:pPr>
        <w:ind w:right="180"/>
        <w:spacing w:after="0" w:line="354" w:lineRule="auto"/>
        <w:rPr>
          <w:sz w:val="20"/>
          <w:szCs w:val="20"/>
          <w:color w:val="auto"/>
        </w:rPr>
      </w:pPr>
      <w:r>
        <w:rPr>
          <w:rFonts w:ascii="Arial" w:cs="Arial" w:eastAsia="Arial" w:hAnsi="Arial"/>
          <w:sz w:val="14"/>
          <w:szCs w:val="14"/>
          <w:color w:val="auto"/>
        </w:rPr>
        <w:t>Restricted stock units are payable in shares of the Company common stock upon vesting. The fair value is based on the closing market price of the Company’s stock on the grant date. Compensation cost related to restricted stock units was $4 million, $5 million and $7 million for the years ended December 31, 2017, 2016 and 2015, respectively.</w:t>
      </w:r>
    </w:p>
    <w:p>
      <w:pPr>
        <w:spacing w:after="0" w:line="9" w:lineRule="exact"/>
        <w:rPr>
          <w:sz w:val="20"/>
          <w:szCs w:val="20"/>
          <w:color w:val="auto"/>
        </w:rPr>
      </w:pPr>
    </w:p>
    <w:p>
      <w:pPr>
        <w:ind w:right="120"/>
        <w:spacing w:after="0" w:line="261" w:lineRule="auto"/>
        <w:rPr>
          <w:sz w:val="20"/>
          <w:szCs w:val="20"/>
          <w:color w:val="auto"/>
        </w:rPr>
      </w:pPr>
      <w:r>
        <w:rPr>
          <w:rFonts w:ascii="Arial" w:cs="Arial" w:eastAsia="Arial" w:hAnsi="Arial"/>
          <w:sz w:val="16"/>
          <w:szCs w:val="16"/>
          <w:color w:val="auto"/>
        </w:rPr>
        <w:t>The weighted average grant date fair value of restricted stock unit awards granted for the years ended December 31, 2017, 2016 and 2015 was $9.20, $13.85 and $14.86, respectively. The total fair value of restricted stock units that vested was $7 million for the years ended December 31, 2017 and 2016 and $5 million for the year ended December 31, 2015. As of December 31, 2017, there was $2 million of unrecognized compensation cost related to restricted stock units. The cost is expected to be recognized over a weighted average period of 1.5 years.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62865</wp:posOffset>
            </wp:positionV>
            <wp:extent cx="7301865" cy="406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301865" cy="40640"/>
                    </a:xfrm>
                    <a:prstGeom prst="rect">
                      <a:avLst/>
                    </a:prstGeom>
                    <a:noFill/>
                  </pic:spPr>
                </pic:pic>
              </a:graphicData>
            </a:graphic>
          </wp:anchor>
        </w:drawing>
      </w:r>
    </w:p>
    <w:p>
      <w:pPr>
        <w:sectPr>
          <w:pgSz w:w="11900" w:h="16838" w:orient="portrait"/>
          <w:cols w:equalWidth="0" w:num="1">
            <w:col w:w="11420"/>
          </w:cols>
          <w:pgMar w:left="240" w:top="345" w:right="239" w:bottom="1440" w:gutter="0" w:footer="0" w:header="0"/>
        </w:sectPr>
      </w:pPr>
    </w:p>
    <w:bookmarkStart w:id="93" w:name="page94"/>
    <w:bookmarkEnd w:id="93"/>
    <w:p>
      <w:pPr>
        <w:spacing w:after="0"/>
        <w:rPr>
          <w:sz w:val="20"/>
          <w:szCs w:val="20"/>
          <w:color w:val="auto"/>
        </w:rPr>
      </w:pPr>
      <w:r>
        <w:rPr>
          <w:rFonts w:ascii="Arial" w:cs="Arial" w:eastAsia="Arial" w:hAnsi="Arial"/>
          <w:sz w:val="16"/>
          <w:szCs w:val="16"/>
          <w:color w:val="auto"/>
        </w:rPr>
        <w:t>The following table summarizes information about restricted stock unit activity for the year ended December 31, 2017:</w:t>
      </w:r>
    </w:p>
    <w:p>
      <w:pPr>
        <w:spacing w:after="0" w:line="215"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5280" w:type="dxa"/>
            <w:vAlign w:val="bottom"/>
          </w:tcPr>
          <w:p>
            <w:pPr>
              <w:spacing w:after="0"/>
              <w:rPr>
                <w:sz w:val="13"/>
                <w:szCs w:val="13"/>
                <w:color w:val="auto"/>
              </w:rPr>
            </w:pPr>
          </w:p>
        </w:tc>
        <w:tc>
          <w:tcPr>
            <w:tcW w:w="1200" w:type="dxa"/>
            <w:vAlign w:val="bottom"/>
          </w:tcPr>
          <w:p>
            <w:pPr>
              <w:ind w:left="300"/>
              <w:spacing w:after="0"/>
              <w:rPr>
                <w:sz w:val="20"/>
                <w:szCs w:val="20"/>
                <w:color w:val="auto"/>
              </w:rPr>
            </w:pPr>
            <w:r>
              <w:rPr>
                <w:rFonts w:ascii="Arial" w:cs="Arial" w:eastAsia="Arial" w:hAnsi="Arial"/>
                <w:sz w:val="13"/>
                <w:szCs w:val="13"/>
                <w:b w:val="1"/>
                <w:bCs w:val="1"/>
                <w:color w:val="auto"/>
              </w:rPr>
              <w:t>Number of</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9"/>
              </w:rPr>
              <w:t>Weighted-Average</w:t>
            </w:r>
          </w:p>
        </w:tc>
      </w:tr>
      <w:tr>
        <w:trPr>
          <w:trHeight w:val="133"/>
        </w:trPr>
        <w:tc>
          <w:tcPr>
            <w:tcW w:w="5280" w:type="dxa"/>
            <w:vAlign w:val="bottom"/>
          </w:tcPr>
          <w:p>
            <w:pPr>
              <w:spacing w:after="0"/>
              <w:rPr>
                <w:sz w:val="11"/>
                <w:szCs w:val="11"/>
                <w:color w:val="auto"/>
              </w:rPr>
            </w:pPr>
          </w:p>
        </w:tc>
        <w:tc>
          <w:tcPr>
            <w:tcW w:w="1200" w:type="dxa"/>
            <w:vAlign w:val="bottom"/>
          </w:tcPr>
          <w:p>
            <w:pPr>
              <w:ind w:left="320"/>
              <w:spacing w:after="0" w:line="133" w:lineRule="exact"/>
              <w:rPr>
                <w:sz w:val="20"/>
                <w:szCs w:val="20"/>
                <w:color w:val="auto"/>
              </w:rPr>
            </w:pPr>
            <w:r>
              <w:rPr>
                <w:rFonts w:ascii="Arial" w:cs="Arial" w:eastAsia="Arial" w:hAnsi="Arial"/>
                <w:sz w:val="13"/>
                <w:szCs w:val="13"/>
                <w:b w:val="1"/>
                <w:bCs w:val="1"/>
                <w:color w:val="auto"/>
              </w:rPr>
              <w:t>Restricted</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jc w:val="center"/>
              <w:ind w:right="180"/>
              <w:spacing w:after="0" w:line="133" w:lineRule="exact"/>
              <w:rPr>
                <w:sz w:val="20"/>
                <w:szCs w:val="20"/>
                <w:color w:val="auto"/>
              </w:rPr>
            </w:pPr>
            <w:r>
              <w:rPr>
                <w:rFonts w:ascii="Arial" w:cs="Arial" w:eastAsia="Arial" w:hAnsi="Arial"/>
                <w:sz w:val="13"/>
                <w:szCs w:val="13"/>
                <w:b w:val="1"/>
                <w:bCs w:val="1"/>
                <w:color w:val="auto"/>
                <w:w w:val="93"/>
              </w:rPr>
              <w:t>Grant Date</w:t>
            </w:r>
          </w:p>
        </w:tc>
      </w:tr>
      <w:tr>
        <w:trPr>
          <w:trHeight w:val="153"/>
        </w:trPr>
        <w:tc>
          <w:tcPr>
            <w:tcW w:w="5280" w:type="dxa"/>
            <w:vAlign w:val="bottom"/>
          </w:tcPr>
          <w:p>
            <w:pPr>
              <w:spacing w:after="0"/>
              <w:rPr>
                <w:sz w:val="13"/>
                <w:szCs w:val="13"/>
                <w:color w:val="auto"/>
              </w:rPr>
            </w:pPr>
          </w:p>
        </w:tc>
        <w:tc>
          <w:tcPr>
            <w:tcW w:w="1200" w:type="dxa"/>
            <w:vAlign w:val="bottom"/>
          </w:tcPr>
          <w:p>
            <w:pPr>
              <w:ind w:left="280"/>
              <w:spacing w:after="0"/>
              <w:rPr>
                <w:sz w:val="20"/>
                <w:szCs w:val="20"/>
                <w:color w:val="auto"/>
              </w:rPr>
            </w:pPr>
            <w:r>
              <w:rPr>
                <w:rFonts w:ascii="Arial" w:cs="Arial" w:eastAsia="Arial" w:hAnsi="Arial"/>
                <w:sz w:val="13"/>
                <w:szCs w:val="13"/>
                <w:b w:val="1"/>
                <w:bCs w:val="1"/>
                <w:color w:val="auto"/>
              </w:rPr>
              <w:t>Stock Units</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9"/>
              </w:rPr>
              <w:t>Fair Values</w:t>
            </w:r>
          </w:p>
        </w:tc>
      </w:tr>
      <w:tr>
        <w:trPr>
          <w:trHeight w:val="198"/>
        </w:trPr>
        <w:tc>
          <w:tcPr>
            <w:tcW w:w="5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Outstanding on December 31, 2016</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651,544</w:t>
            </w:r>
          </w:p>
        </w:tc>
        <w:tc>
          <w:tcPr>
            <w:tcW w:w="20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16.57</w:t>
            </w:r>
          </w:p>
        </w:tc>
        <w:tc>
          <w:tcPr>
            <w:tcW w:w="80" w:type="dxa"/>
            <w:vAlign w:val="bottom"/>
            <w:tcBorders>
              <w:top w:val="single" w:sz="8" w:color="CFF0FC"/>
            </w:tcBorders>
            <w:shd w:val="clear" w:color="auto" w:fill="CFF0FC"/>
          </w:tcPr>
          <w:p>
            <w:pPr>
              <w:spacing w:after="0"/>
              <w:rPr>
                <w:sz w:val="17"/>
                <w:szCs w:val="17"/>
                <w:color w:val="auto"/>
              </w:rPr>
            </w:pPr>
          </w:p>
        </w:tc>
      </w:tr>
      <w:tr>
        <w:trPr>
          <w:trHeight w:val="205"/>
        </w:trPr>
        <w:tc>
          <w:tcPr>
            <w:tcW w:w="5280" w:type="dxa"/>
            <w:vAlign w:val="bottom"/>
          </w:tcPr>
          <w:p>
            <w:pPr>
              <w:ind w:left="220"/>
              <w:spacing w:after="0"/>
              <w:rPr>
                <w:sz w:val="20"/>
                <w:szCs w:val="20"/>
                <w:color w:val="auto"/>
              </w:rPr>
            </w:pPr>
            <w:r>
              <w:rPr>
                <w:rFonts w:ascii="Arial" w:cs="Arial" w:eastAsia="Arial" w:hAnsi="Arial"/>
                <w:sz w:val="16"/>
                <w:szCs w:val="16"/>
                <w:color w:val="auto"/>
              </w:rPr>
              <w:t>Granted</w:t>
            </w:r>
          </w:p>
        </w:tc>
        <w:tc>
          <w:tcPr>
            <w:tcW w:w="1200" w:type="dxa"/>
            <w:vAlign w:val="bottom"/>
          </w:tcPr>
          <w:p>
            <w:pPr>
              <w:jc w:val="right"/>
              <w:spacing w:after="0"/>
              <w:rPr>
                <w:sz w:val="20"/>
                <w:szCs w:val="20"/>
                <w:color w:val="auto"/>
              </w:rPr>
            </w:pPr>
            <w:r>
              <w:rPr>
                <w:rFonts w:ascii="Arial" w:cs="Arial" w:eastAsia="Arial" w:hAnsi="Arial"/>
                <w:sz w:val="16"/>
                <w:szCs w:val="16"/>
                <w:color w:val="auto"/>
              </w:rPr>
              <w:t>222,853</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9.20</w:t>
            </w:r>
          </w:p>
        </w:tc>
        <w:tc>
          <w:tcPr>
            <w:tcW w:w="80" w:type="dxa"/>
            <w:vAlign w:val="bottom"/>
          </w:tcPr>
          <w:p>
            <w:pPr>
              <w:spacing w:after="0"/>
              <w:rPr>
                <w:sz w:val="17"/>
                <w:szCs w:val="17"/>
                <w:color w:val="auto"/>
              </w:rPr>
            </w:pPr>
          </w:p>
        </w:tc>
      </w:tr>
      <w:tr>
        <w:trPr>
          <w:trHeight w:val="205"/>
        </w:trPr>
        <w:tc>
          <w:tcPr>
            <w:tcW w:w="5280" w:type="dxa"/>
            <w:vAlign w:val="bottom"/>
            <w:shd w:val="clear" w:color="auto" w:fill="CFF0FC"/>
          </w:tcPr>
          <w:p>
            <w:pPr>
              <w:ind w:left="220"/>
              <w:spacing w:after="0"/>
              <w:rPr>
                <w:sz w:val="20"/>
                <w:szCs w:val="20"/>
                <w:color w:val="auto"/>
              </w:rPr>
            </w:pPr>
            <w:r>
              <w:rPr>
                <w:rFonts w:ascii="Arial" w:cs="Arial" w:eastAsia="Arial" w:hAnsi="Arial"/>
                <w:sz w:val="16"/>
                <w:szCs w:val="16"/>
                <w:color w:val="auto"/>
              </w:rPr>
              <w:t>Vested</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399,527</w:t>
            </w:r>
          </w:p>
        </w:tc>
        <w:tc>
          <w:tcPr>
            <w:tcW w:w="2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17.56</w:t>
            </w:r>
          </w:p>
        </w:tc>
        <w:tc>
          <w:tcPr>
            <w:tcW w:w="80" w:type="dxa"/>
            <w:vAlign w:val="bottom"/>
            <w:shd w:val="clear" w:color="auto" w:fill="CFF0FC"/>
          </w:tcPr>
          <w:p>
            <w:pPr>
              <w:spacing w:after="0"/>
              <w:rPr>
                <w:sz w:val="17"/>
                <w:szCs w:val="17"/>
                <w:color w:val="auto"/>
              </w:rPr>
            </w:pPr>
          </w:p>
        </w:tc>
      </w:tr>
      <w:tr>
        <w:trPr>
          <w:trHeight w:val="205"/>
        </w:trPr>
        <w:tc>
          <w:tcPr>
            <w:tcW w:w="5280" w:type="dxa"/>
            <w:vAlign w:val="bottom"/>
            <w:tcBorders>
              <w:bottom w:val="single" w:sz="8" w:color="CFF0FC"/>
            </w:tcBorders>
          </w:tcPr>
          <w:p>
            <w:pPr>
              <w:ind w:left="220"/>
              <w:spacing w:after="0"/>
              <w:rPr>
                <w:sz w:val="20"/>
                <w:szCs w:val="20"/>
                <w:color w:val="auto"/>
              </w:rPr>
            </w:pPr>
            <w:r>
              <w:rPr>
                <w:rFonts w:ascii="Arial" w:cs="Arial" w:eastAsia="Arial" w:hAnsi="Arial"/>
                <w:sz w:val="16"/>
                <w:szCs w:val="16"/>
                <w:color w:val="auto"/>
              </w:rPr>
              <w:t>Forfeited</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6,189</w:t>
            </w:r>
          </w:p>
        </w:tc>
        <w:tc>
          <w:tcPr>
            <w:tcW w:w="20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116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17.26</w:t>
            </w:r>
          </w:p>
        </w:tc>
        <w:tc>
          <w:tcPr>
            <w:tcW w:w="80" w:type="dxa"/>
            <w:vAlign w:val="bottom"/>
            <w:tcBorders>
              <w:bottom w:val="single" w:sz="8" w:color="CFF0FC"/>
            </w:tcBorders>
          </w:tcPr>
          <w:p>
            <w:pPr>
              <w:spacing w:after="0"/>
              <w:rPr>
                <w:sz w:val="17"/>
                <w:szCs w:val="17"/>
                <w:color w:val="auto"/>
              </w:rPr>
            </w:pPr>
          </w:p>
        </w:tc>
      </w:tr>
      <w:tr>
        <w:trPr>
          <w:trHeight w:val="198"/>
        </w:trPr>
        <w:tc>
          <w:tcPr>
            <w:tcW w:w="5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Outstanding on December 31, 2017</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468,681</w:t>
            </w:r>
          </w:p>
        </w:tc>
        <w:tc>
          <w:tcPr>
            <w:tcW w:w="20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12.21</w:t>
            </w:r>
          </w:p>
        </w:tc>
        <w:tc>
          <w:tcPr>
            <w:tcW w:w="80" w:type="dxa"/>
            <w:vAlign w:val="bottom"/>
            <w:tcBorders>
              <w:bottom w:val="single" w:sz="8" w:color="CFF0FC"/>
            </w:tcBorders>
            <w:shd w:val="clear" w:color="auto" w:fill="CFF0FC"/>
          </w:tcPr>
          <w:p>
            <w:pPr>
              <w:spacing w:after="0"/>
              <w:rPr>
                <w:sz w:val="17"/>
                <w:szCs w:val="17"/>
                <w:color w:val="auto"/>
              </w:rPr>
            </w:pPr>
          </w:p>
        </w:tc>
      </w:tr>
      <w:tr>
        <w:trPr>
          <w:trHeight w:val="20"/>
        </w:trPr>
        <w:tc>
          <w:tcPr>
            <w:tcW w:w="52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 Options</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information about stock option activity for the year ended December 31, 2017:</w:t>
      </w:r>
    </w:p>
    <w:p>
      <w:pPr>
        <w:spacing w:after="0" w:line="215" w:lineRule="exact"/>
        <w:rPr>
          <w:sz w:val="20"/>
          <w:szCs w:val="20"/>
          <w:color w:val="auto"/>
        </w:rPr>
      </w:pPr>
    </w:p>
    <w:tbl>
      <w:tblPr>
        <w:tblLayout w:type="fixed"/>
        <w:tblInd w:w="580" w:type="dxa"/>
        <w:tblCellMar>
          <w:top w:w="0" w:type="dxa"/>
          <w:left w:w="0" w:type="dxa"/>
          <w:bottom w:w="0" w:type="dxa"/>
          <w:right w:w="0" w:type="dxa"/>
        </w:tblCellMar>
      </w:tblPr>
      <w:tr>
        <w:trPr>
          <w:trHeight w:val="149"/>
        </w:trPr>
        <w:tc>
          <w:tcPr>
            <w:tcW w:w="4920" w:type="dxa"/>
            <w:vAlign w:val="bottom"/>
          </w:tcPr>
          <w:p>
            <w:pPr>
              <w:spacing w:after="0"/>
              <w:rPr>
                <w:sz w:val="13"/>
                <w:szCs w:val="13"/>
                <w:color w:val="auto"/>
              </w:rPr>
            </w:pPr>
          </w:p>
        </w:tc>
        <w:tc>
          <w:tcPr>
            <w:tcW w:w="1200" w:type="dxa"/>
            <w:vAlign w:val="bottom"/>
            <w:vMerge w:val="restart"/>
          </w:tcPr>
          <w:p>
            <w:pPr>
              <w:ind w:left="400"/>
              <w:spacing w:after="0"/>
              <w:rPr>
                <w:sz w:val="20"/>
                <w:szCs w:val="20"/>
                <w:color w:val="auto"/>
              </w:rPr>
            </w:pPr>
            <w:r>
              <w:rPr>
                <w:rFonts w:ascii="Arial" w:cs="Arial" w:eastAsia="Arial" w:hAnsi="Arial"/>
                <w:sz w:val="13"/>
                <w:szCs w:val="13"/>
                <w:b w:val="1"/>
                <w:bCs w:val="1"/>
                <w:color w:val="auto"/>
              </w:rPr>
              <w:t>Shares</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9"/>
              </w:rPr>
              <w:t>Weighted Average</w:t>
            </w:r>
          </w:p>
        </w:tc>
        <w:tc>
          <w:tcPr>
            <w:tcW w:w="120" w:type="dxa"/>
            <w:vAlign w:val="bottom"/>
          </w:tcPr>
          <w:p>
            <w:pPr>
              <w:spacing w:after="0"/>
              <w:rPr>
                <w:sz w:val="13"/>
                <w:szCs w:val="13"/>
                <w:color w:val="auto"/>
              </w:rPr>
            </w:pPr>
          </w:p>
        </w:tc>
        <w:tc>
          <w:tcPr>
            <w:tcW w:w="14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9"/>
              </w:rPr>
              <w:t>Weighted Average</w:t>
            </w:r>
          </w:p>
        </w:tc>
        <w:tc>
          <w:tcPr>
            <w:tcW w:w="10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7"/>
              </w:rPr>
              <w:t>Aggregate</w:t>
            </w:r>
          </w:p>
        </w:tc>
        <w:tc>
          <w:tcPr>
            <w:tcW w:w="0" w:type="dxa"/>
            <w:vAlign w:val="bottom"/>
          </w:tcPr>
          <w:p>
            <w:pPr>
              <w:spacing w:after="0"/>
              <w:rPr>
                <w:sz w:val="1"/>
                <w:szCs w:val="1"/>
                <w:color w:val="auto"/>
              </w:rPr>
            </w:pPr>
          </w:p>
        </w:tc>
      </w:tr>
      <w:tr>
        <w:trPr>
          <w:trHeight w:val="133"/>
        </w:trPr>
        <w:tc>
          <w:tcPr>
            <w:tcW w:w="492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jc w:val="center"/>
              <w:ind w:right="200"/>
              <w:spacing w:after="0" w:line="133" w:lineRule="exact"/>
              <w:rPr>
                <w:sz w:val="20"/>
                <w:szCs w:val="20"/>
                <w:color w:val="auto"/>
              </w:rPr>
            </w:pPr>
            <w:r>
              <w:rPr>
                <w:rFonts w:ascii="Arial" w:cs="Arial" w:eastAsia="Arial" w:hAnsi="Arial"/>
                <w:sz w:val="13"/>
                <w:szCs w:val="13"/>
                <w:b w:val="1"/>
                <w:bCs w:val="1"/>
                <w:color w:val="auto"/>
                <w:w w:val="85"/>
              </w:rPr>
              <w:t>Exercise</w:t>
            </w:r>
          </w:p>
        </w:tc>
        <w:tc>
          <w:tcPr>
            <w:tcW w:w="120" w:type="dxa"/>
            <w:vAlign w:val="bottom"/>
          </w:tcPr>
          <w:p>
            <w:pPr>
              <w:spacing w:after="0"/>
              <w:rPr>
                <w:sz w:val="11"/>
                <w:szCs w:val="11"/>
                <w:color w:val="auto"/>
              </w:rPr>
            </w:pPr>
          </w:p>
        </w:tc>
        <w:tc>
          <w:tcPr>
            <w:tcW w:w="1440" w:type="dxa"/>
            <w:vAlign w:val="bottom"/>
            <w:gridSpan w:val="2"/>
          </w:tcPr>
          <w:p>
            <w:pPr>
              <w:jc w:val="center"/>
              <w:ind w:right="140"/>
              <w:spacing w:after="0" w:line="133" w:lineRule="exact"/>
              <w:rPr>
                <w:sz w:val="20"/>
                <w:szCs w:val="20"/>
                <w:color w:val="auto"/>
              </w:rPr>
            </w:pPr>
            <w:r>
              <w:rPr>
                <w:rFonts w:ascii="Arial" w:cs="Arial" w:eastAsia="Arial" w:hAnsi="Arial"/>
                <w:sz w:val="13"/>
                <w:szCs w:val="13"/>
                <w:b w:val="1"/>
                <w:bCs w:val="1"/>
                <w:color w:val="auto"/>
                <w:w w:val="93"/>
              </w:rPr>
              <w:t>Remaining</w:t>
            </w:r>
          </w:p>
        </w:tc>
        <w:tc>
          <w:tcPr>
            <w:tcW w:w="1080" w:type="dxa"/>
            <w:vAlign w:val="bottom"/>
            <w:gridSpan w:val="2"/>
          </w:tcPr>
          <w:p>
            <w:pPr>
              <w:jc w:val="center"/>
              <w:ind w:right="120"/>
              <w:spacing w:after="0" w:line="133" w:lineRule="exact"/>
              <w:rPr>
                <w:sz w:val="20"/>
                <w:szCs w:val="20"/>
                <w:color w:val="auto"/>
              </w:rPr>
            </w:pPr>
            <w:r>
              <w:rPr>
                <w:rFonts w:ascii="Arial" w:cs="Arial" w:eastAsia="Arial" w:hAnsi="Arial"/>
                <w:sz w:val="13"/>
                <w:szCs w:val="13"/>
                <w:b w:val="1"/>
                <w:bCs w:val="1"/>
                <w:color w:val="auto"/>
                <w:w w:val="94"/>
              </w:rPr>
              <w:t>Intrinsic</w:t>
            </w:r>
          </w:p>
        </w:tc>
        <w:tc>
          <w:tcPr>
            <w:tcW w:w="0" w:type="dxa"/>
            <w:vAlign w:val="bottom"/>
          </w:tcPr>
          <w:p>
            <w:pPr>
              <w:spacing w:after="0"/>
              <w:rPr>
                <w:sz w:val="1"/>
                <w:szCs w:val="1"/>
                <w:color w:val="auto"/>
              </w:rPr>
            </w:pPr>
          </w:p>
        </w:tc>
      </w:tr>
      <w:tr>
        <w:trPr>
          <w:trHeight w:val="133"/>
        </w:trPr>
        <w:tc>
          <w:tcPr>
            <w:tcW w:w="4920" w:type="dxa"/>
            <w:vAlign w:val="bottom"/>
          </w:tcPr>
          <w:p>
            <w:pPr>
              <w:spacing w:after="0"/>
              <w:rPr>
                <w:sz w:val="11"/>
                <w:szCs w:val="11"/>
                <w:color w:val="auto"/>
              </w:rPr>
            </w:pPr>
          </w:p>
        </w:tc>
        <w:tc>
          <w:tcPr>
            <w:tcW w:w="1200" w:type="dxa"/>
            <w:vAlign w:val="bottom"/>
          </w:tcPr>
          <w:p>
            <w:pPr>
              <w:ind w:left="400"/>
              <w:spacing w:after="0" w:line="133" w:lineRule="exact"/>
              <w:rPr>
                <w:sz w:val="20"/>
                <w:szCs w:val="20"/>
                <w:color w:val="auto"/>
              </w:rPr>
            </w:pPr>
            <w:r>
              <w:rPr>
                <w:rFonts w:ascii="Arial" w:cs="Arial" w:eastAsia="Arial" w:hAnsi="Arial"/>
                <w:sz w:val="13"/>
                <w:szCs w:val="13"/>
                <w:b w:val="1"/>
                <w:bCs w:val="1"/>
                <w:color w:val="auto"/>
              </w:rPr>
              <w:t>Under</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jc w:val="center"/>
              <w:ind w:right="200"/>
              <w:spacing w:after="0" w:line="133" w:lineRule="exact"/>
              <w:rPr>
                <w:sz w:val="20"/>
                <w:szCs w:val="20"/>
                <w:color w:val="auto"/>
              </w:rPr>
            </w:pPr>
            <w:r>
              <w:rPr>
                <w:rFonts w:ascii="Arial" w:cs="Arial" w:eastAsia="Arial" w:hAnsi="Arial"/>
                <w:sz w:val="13"/>
                <w:szCs w:val="13"/>
                <w:b w:val="1"/>
                <w:bCs w:val="1"/>
                <w:color w:val="auto"/>
                <w:w w:val="94"/>
              </w:rPr>
              <w:t>Price</w:t>
            </w:r>
          </w:p>
        </w:tc>
        <w:tc>
          <w:tcPr>
            <w:tcW w:w="120" w:type="dxa"/>
            <w:vAlign w:val="bottom"/>
          </w:tcPr>
          <w:p>
            <w:pPr>
              <w:spacing w:after="0"/>
              <w:rPr>
                <w:sz w:val="11"/>
                <w:szCs w:val="11"/>
                <w:color w:val="auto"/>
              </w:rPr>
            </w:pPr>
          </w:p>
        </w:tc>
        <w:tc>
          <w:tcPr>
            <w:tcW w:w="1440" w:type="dxa"/>
            <w:vAlign w:val="bottom"/>
            <w:gridSpan w:val="2"/>
          </w:tcPr>
          <w:p>
            <w:pPr>
              <w:jc w:val="center"/>
              <w:ind w:right="140"/>
              <w:spacing w:after="0" w:line="133" w:lineRule="exact"/>
              <w:rPr>
                <w:sz w:val="20"/>
                <w:szCs w:val="20"/>
                <w:color w:val="auto"/>
              </w:rPr>
            </w:pPr>
            <w:r>
              <w:rPr>
                <w:rFonts w:ascii="Arial" w:cs="Arial" w:eastAsia="Arial" w:hAnsi="Arial"/>
                <w:sz w:val="13"/>
                <w:szCs w:val="13"/>
                <w:b w:val="1"/>
                <w:bCs w:val="1"/>
                <w:color w:val="auto"/>
                <w:w w:val="90"/>
              </w:rPr>
              <w:t>Contractual Life</w:t>
            </w:r>
          </w:p>
        </w:tc>
        <w:tc>
          <w:tcPr>
            <w:tcW w:w="1080" w:type="dxa"/>
            <w:vAlign w:val="bottom"/>
            <w:gridSpan w:val="2"/>
          </w:tcPr>
          <w:p>
            <w:pPr>
              <w:jc w:val="center"/>
              <w:ind w:right="120"/>
              <w:spacing w:after="0" w:line="133" w:lineRule="exact"/>
              <w:rPr>
                <w:sz w:val="20"/>
                <w:szCs w:val="20"/>
                <w:color w:val="auto"/>
              </w:rPr>
            </w:pPr>
            <w:r>
              <w:rPr>
                <w:rFonts w:ascii="Arial" w:cs="Arial" w:eastAsia="Arial" w:hAnsi="Arial"/>
                <w:sz w:val="13"/>
                <w:szCs w:val="13"/>
                <w:b w:val="1"/>
                <w:bCs w:val="1"/>
                <w:color w:val="auto"/>
                <w:w w:val="92"/>
              </w:rPr>
              <w:t>Value</w:t>
            </w:r>
          </w:p>
        </w:tc>
        <w:tc>
          <w:tcPr>
            <w:tcW w:w="0" w:type="dxa"/>
            <w:vAlign w:val="bottom"/>
          </w:tcPr>
          <w:p>
            <w:pPr>
              <w:spacing w:after="0"/>
              <w:rPr>
                <w:sz w:val="1"/>
                <w:szCs w:val="1"/>
                <w:color w:val="auto"/>
              </w:rPr>
            </w:pPr>
          </w:p>
        </w:tc>
      </w:tr>
      <w:tr>
        <w:trPr>
          <w:trHeight w:val="153"/>
        </w:trPr>
        <w:tc>
          <w:tcPr>
            <w:tcW w:w="4920" w:type="dxa"/>
            <w:vAlign w:val="bottom"/>
          </w:tcPr>
          <w:p>
            <w:pPr>
              <w:spacing w:after="0"/>
              <w:rPr>
                <w:sz w:val="13"/>
                <w:szCs w:val="13"/>
                <w:color w:val="auto"/>
              </w:rPr>
            </w:pPr>
          </w:p>
        </w:tc>
        <w:tc>
          <w:tcPr>
            <w:tcW w:w="1200" w:type="dxa"/>
            <w:vAlign w:val="bottom"/>
          </w:tcPr>
          <w:p>
            <w:pPr>
              <w:ind w:left="380"/>
              <w:spacing w:after="0"/>
              <w:rPr>
                <w:sz w:val="20"/>
                <w:szCs w:val="20"/>
                <w:color w:val="auto"/>
              </w:rPr>
            </w:pPr>
            <w:r>
              <w:rPr>
                <w:rFonts w:ascii="Arial" w:cs="Arial" w:eastAsia="Arial" w:hAnsi="Arial"/>
                <w:sz w:val="13"/>
                <w:szCs w:val="13"/>
                <w:b w:val="1"/>
                <w:bCs w:val="1"/>
                <w:color w:val="auto"/>
              </w:rPr>
              <w:t>Option</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8"/>
              </w:rPr>
              <w:t>Per Share</w:t>
            </w:r>
          </w:p>
        </w:tc>
        <w:tc>
          <w:tcPr>
            <w:tcW w:w="120" w:type="dxa"/>
            <w:vAlign w:val="bottom"/>
          </w:tcPr>
          <w:p>
            <w:pPr>
              <w:spacing w:after="0"/>
              <w:rPr>
                <w:sz w:val="13"/>
                <w:szCs w:val="13"/>
                <w:color w:val="auto"/>
              </w:rPr>
            </w:pPr>
          </w:p>
        </w:tc>
        <w:tc>
          <w:tcPr>
            <w:tcW w:w="14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6"/>
              </w:rPr>
              <w:t>(Years)</w:t>
            </w:r>
          </w:p>
        </w:tc>
        <w:tc>
          <w:tcPr>
            <w:tcW w:w="10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0"/>
              </w:rPr>
              <w:t>($ millions)</w:t>
            </w:r>
          </w:p>
        </w:tc>
        <w:tc>
          <w:tcPr>
            <w:tcW w:w="0" w:type="dxa"/>
            <w:vAlign w:val="bottom"/>
          </w:tcPr>
          <w:p>
            <w:pPr>
              <w:spacing w:after="0"/>
              <w:rPr>
                <w:sz w:val="1"/>
                <w:szCs w:val="1"/>
                <w:color w:val="auto"/>
              </w:rPr>
            </w:pPr>
          </w:p>
        </w:tc>
      </w:tr>
      <w:tr>
        <w:trPr>
          <w:trHeight w:val="198"/>
        </w:trPr>
        <w:tc>
          <w:tcPr>
            <w:tcW w:w="49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Outstanding on December 31, 2016</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2,214,459</w:t>
            </w:r>
          </w:p>
        </w:tc>
        <w:tc>
          <w:tcPr>
            <w:tcW w:w="2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F"/>
          </w:tcPr>
          <w:p>
            <w:pPr>
              <w:jc w:val="right"/>
              <w:spacing w:after="0"/>
              <w:rPr>
                <w:sz w:val="20"/>
                <w:szCs w:val="20"/>
                <w:color w:val="auto"/>
              </w:rPr>
            </w:pPr>
            <w:r>
              <w:rPr>
                <w:rFonts w:ascii="Arial" w:cs="Arial" w:eastAsia="Arial" w:hAnsi="Arial"/>
                <w:sz w:val="16"/>
                <w:szCs w:val="16"/>
                <w:color w:val="auto"/>
              </w:rPr>
              <w:t>17.10</w:t>
            </w:r>
          </w:p>
        </w:tc>
        <w:tc>
          <w:tcPr>
            <w:tcW w:w="100" w:type="dxa"/>
            <w:vAlign w:val="bottom"/>
            <w:tcBorders>
              <w:top w:val="single" w:sz="8" w:color="CFF0FF"/>
            </w:tcBorders>
            <w:shd w:val="clear" w:color="auto" w:fill="CFF0FF"/>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32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920" w:type="dxa"/>
            <w:vAlign w:val="bottom"/>
          </w:tcPr>
          <w:p>
            <w:pPr>
              <w:ind w:left="220"/>
              <w:spacing w:after="0"/>
              <w:rPr>
                <w:sz w:val="20"/>
                <w:szCs w:val="20"/>
                <w:color w:val="auto"/>
              </w:rPr>
            </w:pPr>
            <w:r>
              <w:rPr>
                <w:rFonts w:ascii="Arial" w:cs="Arial" w:eastAsia="Arial" w:hAnsi="Arial"/>
                <w:sz w:val="16"/>
                <w:szCs w:val="16"/>
                <w:color w:val="auto"/>
              </w:rPr>
              <w:t>Granted</w:t>
            </w:r>
          </w:p>
        </w:tc>
        <w:tc>
          <w:tcPr>
            <w:tcW w:w="1200" w:type="dxa"/>
            <w:vAlign w:val="bottom"/>
          </w:tcPr>
          <w:p>
            <w:pPr>
              <w:jc w:val="right"/>
              <w:spacing w:after="0"/>
              <w:rPr>
                <w:sz w:val="20"/>
                <w:szCs w:val="20"/>
                <w:color w:val="auto"/>
              </w:rPr>
            </w:pPr>
            <w:r>
              <w:rPr>
                <w:rFonts w:ascii="Arial" w:cs="Arial" w:eastAsia="Arial" w:hAnsi="Arial"/>
                <w:sz w:val="16"/>
                <w:szCs w:val="16"/>
                <w:color w:val="auto"/>
              </w:rPr>
              <w:t>2,605,051</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11.93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920" w:type="dxa"/>
            <w:vAlign w:val="bottom"/>
            <w:shd w:val="clear" w:color="auto" w:fill="CFF0FC"/>
          </w:tcPr>
          <w:p>
            <w:pPr>
              <w:ind w:left="220"/>
              <w:spacing w:after="0"/>
              <w:rPr>
                <w:sz w:val="20"/>
                <w:szCs w:val="20"/>
                <w:color w:val="auto"/>
              </w:rPr>
            </w:pPr>
            <w:r>
              <w:rPr>
                <w:rFonts w:ascii="Arial" w:cs="Arial" w:eastAsia="Arial" w:hAnsi="Arial"/>
                <w:sz w:val="16"/>
                <w:szCs w:val="16"/>
                <w:color w:val="auto"/>
              </w:rPr>
              <w:t>Forfeited</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11,655</w:t>
            </w: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16.80</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920" w:type="dxa"/>
            <w:vAlign w:val="bottom"/>
          </w:tcPr>
          <w:p>
            <w:pPr>
              <w:spacing w:after="0"/>
              <w:rPr>
                <w:sz w:val="20"/>
                <w:szCs w:val="20"/>
                <w:color w:val="auto"/>
              </w:rPr>
            </w:pPr>
            <w:r>
              <w:rPr>
                <w:rFonts w:ascii="Arial" w:cs="Arial" w:eastAsia="Arial" w:hAnsi="Arial"/>
                <w:sz w:val="16"/>
                <w:szCs w:val="16"/>
                <w:color w:val="auto"/>
              </w:rPr>
              <w:t>Outstanding on December 31, 2017</w:t>
            </w:r>
          </w:p>
        </w:tc>
        <w:tc>
          <w:tcPr>
            <w:tcW w:w="1200" w:type="dxa"/>
            <w:vAlign w:val="bottom"/>
          </w:tcPr>
          <w:p>
            <w:pPr>
              <w:jc w:val="right"/>
              <w:spacing w:after="0"/>
              <w:rPr>
                <w:sz w:val="20"/>
                <w:szCs w:val="20"/>
                <w:color w:val="auto"/>
              </w:rPr>
            </w:pPr>
            <w:r>
              <w:rPr>
                <w:rFonts w:ascii="Arial" w:cs="Arial" w:eastAsia="Arial" w:hAnsi="Arial"/>
                <w:sz w:val="16"/>
                <w:szCs w:val="16"/>
                <w:color w:val="auto"/>
              </w:rPr>
              <w:t>4,807,855</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14.30</w:t>
            </w:r>
          </w:p>
        </w:tc>
        <w:tc>
          <w:tcPr>
            <w:tcW w:w="100" w:type="dxa"/>
            <w:vAlign w:val="bottom"/>
          </w:tcPr>
          <w:p>
            <w:pPr>
              <w:spacing w:after="0"/>
              <w:rPr>
                <w:sz w:val="17"/>
                <w:szCs w:val="17"/>
                <w:color w:val="auto"/>
              </w:rPr>
            </w:pPr>
          </w:p>
        </w:tc>
        <w:tc>
          <w:tcPr>
            <w:tcW w:w="1440" w:type="dxa"/>
            <w:vAlign w:val="bottom"/>
            <w:gridSpan w:val="2"/>
          </w:tcPr>
          <w:p>
            <w:pPr>
              <w:jc w:val="center"/>
              <w:ind w:left="19"/>
              <w:spacing w:after="0"/>
              <w:rPr>
                <w:sz w:val="20"/>
                <w:szCs w:val="20"/>
                <w:color w:val="auto"/>
              </w:rPr>
            </w:pPr>
            <w:r>
              <w:rPr>
                <w:rFonts w:ascii="Arial" w:cs="Arial" w:eastAsia="Arial" w:hAnsi="Arial"/>
                <w:sz w:val="16"/>
                <w:szCs w:val="16"/>
                <w:color w:val="auto"/>
                <w:w w:val="96"/>
              </w:rPr>
              <w:t>5.75</w:t>
            </w:r>
          </w:p>
        </w:tc>
        <w:tc>
          <w:tcPr>
            <w:tcW w:w="120" w:type="dxa"/>
            <w:vAlign w:val="bottom"/>
          </w:tcPr>
          <w:p>
            <w:pPr>
              <w:spacing w:after="0"/>
              <w:rPr>
                <w:sz w:val="17"/>
                <w:szCs w:val="17"/>
                <w:color w:val="auto"/>
              </w:rPr>
            </w:pPr>
          </w:p>
        </w:tc>
        <w:tc>
          <w:tcPr>
            <w:tcW w:w="980" w:type="dxa"/>
            <w:vAlign w:val="bottom"/>
          </w:tcPr>
          <w:p>
            <w:pPr>
              <w:jc w:val="right"/>
              <w:ind w:right="34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920" w:type="dxa"/>
            <w:vAlign w:val="bottom"/>
            <w:shd w:val="clear" w:color="auto" w:fill="CFF0FC"/>
          </w:tcPr>
          <w:p>
            <w:pPr>
              <w:spacing w:after="0"/>
              <w:rPr>
                <w:sz w:val="20"/>
                <w:szCs w:val="20"/>
                <w:color w:val="auto"/>
              </w:rPr>
            </w:pPr>
            <w:r>
              <w:rPr>
                <w:rFonts w:ascii="Arial" w:cs="Arial" w:eastAsia="Arial" w:hAnsi="Arial"/>
                <w:sz w:val="16"/>
                <w:szCs w:val="16"/>
                <w:color w:val="auto"/>
              </w:rPr>
              <w:t>Exercisable on December 31, 2017</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1,400,690</w:t>
            </w: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18.73</w:t>
            </w:r>
          </w:p>
        </w:tc>
        <w:tc>
          <w:tcPr>
            <w:tcW w:w="10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center"/>
              <w:ind w:left="19"/>
              <w:spacing w:after="0"/>
              <w:rPr>
                <w:sz w:val="20"/>
                <w:szCs w:val="20"/>
                <w:color w:val="auto"/>
              </w:rPr>
            </w:pPr>
            <w:r>
              <w:rPr>
                <w:rFonts w:ascii="Arial" w:cs="Arial" w:eastAsia="Arial" w:hAnsi="Arial"/>
                <w:sz w:val="16"/>
                <w:szCs w:val="16"/>
                <w:color w:val="auto"/>
                <w:w w:val="96"/>
              </w:rPr>
              <w:t>4.31</w:t>
            </w: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349"/>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920" w:type="dxa"/>
            <w:vAlign w:val="bottom"/>
          </w:tcPr>
          <w:p>
            <w:pPr>
              <w:spacing w:after="0"/>
              <w:rPr>
                <w:sz w:val="20"/>
                <w:szCs w:val="20"/>
                <w:color w:val="auto"/>
              </w:rPr>
            </w:pPr>
            <w:r>
              <w:rPr>
                <w:rFonts w:ascii="Arial" w:cs="Arial" w:eastAsia="Arial" w:hAnsi="Arial"/>
                <w:sz w:val="16"/>
                <w:szCs w:val="16"/>
                <w:color w:val="auto"/>
              </w:rPr>
              <w:t>Expected to vest December 31, 2017</w:t>
            </w:r>
          </w:p>
        </w:tc>
        <w:tc>
          <w:tcPr>
            <w:tcW w:w="1200" w:type="dxa"/>
            <w:vAlign w:val="bottom"/>
          </w:tcPr>
          <w:p>
            <w:pPr>
              <w:jc w:val="right"/>
              <w:spacing w:after="0"/>
              <w:rPr>
                <w:sz w:val="20"/>
                <w:szCs w:val="20"/>
                <w:color w:val="auto"/>
              </w:rPr>
            </w:pPr>
            <w:r>
              <w:rPr>
                <w:rFonts w:ascii="Arial" w:cs="Arial" w:eastAsia="Arial" w:hAnsi="Arial"/>
                <w:sz w:val="16"/>
                <w:szCs w:val="16"/>
                <w:color w:val="auto"/>
              </w:rPr>
              <w:t>3,407,165</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12.48</w:t>
            </w:r>
          </w:p>
        </w:tc>
        <w:tc>
          <w:tcPr>
            <w:tcW w:w="100" w:type="dxa"/>
            <w:vAlign w:val="bottom"/>
          </w:tcPr>
          <w:p>
            <w:pPr>
              <w:spacing w:after="0"/>
              <w:rPr>
                <w:sz w:val="17"/>
                <w:szCs w:val="17"/>
                <w:color w:val="auto"/>
              </w:rPr>
            </w:pPr>
          </w:p>
        </w:tc>
        <w:tc>
          <w:tcPr>
            <w:tcW w:w="1440" w:type="dxa"/>
            <w:vAlign w:val="bottom"/>
            <w:gridSpan w:val="2"/>
          </w:tcPr>
          <w:p>
            <w:pPr>
              <w:jc w:val="center"/>
              <w:ind w:left="19"/>
              <w:spacing w:after="0"/>
              <w:rPr>
                <w:sz w:val="20"/>
                <w:szCs w:val="20"/>
                <w:color w:val="auto"/>
              </w:rPr>
            </w:pPr>
            <w:r>
              <w:rPr>
                <w:rFonts w:ascii="Arial" w:cs="Arial" w:eastAsia="Arial" w:hAnsi="Arial"/>
                <w:sz w:val="16"/>
                <w:szCs w:val="16"/>
                <w:color w:val="auto"/>
                <w:w w:val="96"/>
              </w:rPr>
              <w:t>6.28</w:t>
            </w:r>
          </w:p>
        </w:tc>
        <w:tc>
          <w:tcPr>
            <w:tcW w:w="120" w:type="dxa"/>
            <w:vAlign w:val="bottom"/>
          </w:tcPr>
          <w:p>
            <w:pPr>
              <w:spacing w:after="0"/>
              <w:rPr>
                <w:sz w:val="17"/>
                <w:szCs w:val="17"/>
                <w:color w:val="auto"/>
              </w:rPr>
            </w:pPr>
          </w:p>
        </w:tc>
        <w:tc>
          <w:tcPr>
            <w:tcW w:w="980" w:type="dxa"/>
            <w:vAlign w:val="bottom"/>
          </w:tcPr>
          <w:p>
            <w:pPr>
              <w:jc w:val="right"/>
              <w:ind w:right="34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5"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The aggregate intrinsic value represents the total pretax intrinsic value that option holders would have received had all option holders exercised their options on the last trading day of the year. The aggregate intrinsic value is the difference between the Kodak closing stock price on the last trading day of the year and the exercise price, multiplied by the number of in-the-money options.</w:t>
      </w:r>
    </w:p>
    <w:p>
      <w:pPr>
        <w:spacing w:after="0" w:line="186" w:lineRule="exact"/>
        <w:rPr>
          <w:sz w:val="20"/>
          <w:szCs w:val="20"/>
          <w:color w:val="auto"/>
        </w:rPr>
      </w:pPr>
    </w:p>
    <w:p>
      <w:pPr>
        <w:ind w:right="240"/>
        <w:spacing w:after="0" w:line="280" w:lineRule="auto"/>
        <w:rPr>
          <w:sz w:val="20"/>
          <w:szCs w:val="20"/>
          <w:color w:val="auto"/>
        </w:rPr>
      </w:pPr>
      <w:r>
        <w:rPr>
          <w:rFonts w:ascii="Arial" w:cs="Arial" w:eastAsia="Arial" w:hAnsi="Arial"/>
          <w:sz w:val="16"/>
          <w:szCs w:val="16"/>
          <w:color w:val="auto"/>
        </w:rPr>
        <w:t>There was no intrinsic value of options outstanding, exercisable or expected to vest due to the fact that the market price of the Company’s common stock as of December 31, 2017 was below the weighted average exercise price of options. There were no options exercised in 2017.</w:t>
      </w:r>
    </w:p>
    <w:p>
      <w:pPr>
        <w:spacing w:after="0" w:line="54" w:lineRule="exact"/>
        <w:rPr>
          <w:sz w:val="20"/>
          <w:szCs w:val="20"/>
          <w:color w:val="auto"/>
        </w:rPr>
      </w:pPr>
    </w:p>
    <w:p>
      <w:pPr>
        <w:jc w:val="both"/>
        <w:ind w:right="180"/>
        <w:spacing w:after="0" w:line="292" w:lineRule="auto"/>
        <w:rPr>
          <w:sz w:val="20"/>
          <w:szCs w:val="20"/>
          <w:color w:val="auto"/>
        </w:rPr>
      </w:pPr>
      <w:r>
        <w:rPr>
          <w:rFonts w:ascii="Arial" w:cs="Arial" w:eastAsia="Arial" w:hAnsi="Arial"/>
          <w:sz w:val="15"/>
          <w:szCs w:val="15"/>
          <w:color w:val="auto"/>
        </w:rPr>
        <w:t>The weighted average grant date fair value of options granted for the years ended December 31, 2017, 2016 and 2015 was $2.26, $5.56 and $5.94, respectively. The total fair value of options that vested during the year ended December 31, 2017, 2016 and 2015 was $4 million, $3 million and $2 million, respectively. Compensation cost related to stock options for the years ended December 31, 2017, 2016 and 2015 was $5 million, $4 million and $4 million, respectively.</w:t>
      </w:r>
    </w:p>
    <w:p>
      <w:pPr>
        <w:spacing w:after="0" w:line="47" w:lineRule="exact"/>
        <w:rPr>
          <w:sz w:val="20"/>
          <w:szCs w:val="20"/>
          <w:color w:val="auto"/>
        </w:rPr>
      </w:pPr>
    </w:p>
    <w:p>
      <w:pPr>
        <w:ind w:right="320"/>
        <w:spacing w:after="0" w:line="280" w:lineRule="auto"/>
        <w:rPr>
          <w:sz w:val="20"/>
          <w:szCs w:val="20"/>
          <w:color w:val="auto"/>
        </w:rPr>
      </w:pPr>
      <w:r>
        <w:rPr>
          <w:rFonts w:ascii="Arial" w:cs="Arial" w:eastAsia="Arial" w:hAnsi="Arial"/>
          <w:sz w:val="16"/>
          <w:szCs w:val="16"/>
          <w:color w:val="auto"/>
        </w:rPr>
        <w:t>As of December 31, 2017, there was $6 million of unrecognized compensation cost related to stock options. The cost is expected to be recognized over a weighted average period of 1.7 years.</w:t>
      </w:r>
    </w:p>
    <w:p>
      <w:pPr>
        <w:spacing w:after="0" w:line="54"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auto"/>
        </w:rPr>
        <w:t>Kodak utilizes the Black-Scholes option valuation model to estimate the fair value of stock options. Public trading of the Company’s common stock began on September 23, 2013, providing limited historical data upon which to base assumptions. The expected term of options granted is the period of time the options are expected to be outstanding and is calculated using a simplified method based on the option’s vesting period and original contractual term. Until late in 2016 the Company estimated expected volatility by taking the average of the historical volatility of the Company’s stock (measured using the daily closing stock prices since public trading in the Company’s stock began) and the implied volatility of exchange traded options on the Company’s equity over the two-week period prior to the valuation date. The Company now uses only the historical volatility of the Company’s stock to estimate expected volatility. The risk-free rate was based on the yield on U.S. Treasury notes with a term equal to the option’s expected term.</w:t>
      </w:r>
    </w:p>
    <w:p>
      <w:pPr>
        <w:spacing w:after="0" w:line="17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62865</wp:posOffset>
            </wp:positionV>
            <wp:extent cx="7301865" cy="406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301865" cy="40640"/>
                    </a:xfrm>
                    <a:prstGeom prst="rect">
                      <a:avLst/>
                    </a:prstGeom>
                    <a:noFill/>
                  </pic:spPr>
                </pic:pic>
              </a:graphicData>
            </a:graphic>
          </wp:anchor>
        </w:drawing>
      </w:r>
    </w:p>
    <w:p>
      <w:pPr>
        <w:sectPr>
          <w:pgSz w:w="11900" w:h="16838" w:orient="portrait"/>
          <w:cols w:equalWidth="0" w:num="1">
            <w:col w:w="11380"/>
          </w:cols>
          <w:pgMar w:left="240" w:top="224" w:right="279" w:bottom="1440" w:gutter="0" w:footer="0" w:header="0"/>
        </w:sectPr>
      </w:pPr>
    </w:p>
    <w:bookmarkStart w:id="94" w:name="page95"/>
    <w:bookmarkEnd w:id="94"/>
    <w:p>
      <w:pPr>
        <w:spacing w:after="0"/>
        <w:rPr>
          <w:sz w:val="20"/>
          <w:szCs w:val="20"/>
          <w:color w:val="auto"/>
        </w:rPr>
      </w:pPr>
      <w:r>
        <w:rPr>
          <w:rFonts w:ascii="Arial" w:cs="Arial" w:eastAsia="Arial" w:hAnsi="Arial"/>
          <w:sz w:val="16"/>
          <w:szCs w:val="16"/>
          <w:color w:val="auto"/>
        </w:rPr>
        <w:t>The following inputs were used for the valuation of option grants issued in each year:</w:t>
      </w:r>
    </w:p>
    <w:p>
      <w:pPr>
        <w:spacing w:after="0" w:line="288" w:lineRule="exact"/>
        <w:rPr>
          <w:sz w:val="20"/>
          <w:szCs w:val="20"/>
          <w:color w:val="auto"/>
        </w:rPr>
      </w:pPr>
    </w:p>
    <w:tbl>
      <w:tblPr>
        <w:tblLayout w:type="fixed"/>
        <w:tblInd w:w="1080" w:type="dxa"/>
        <w:tblCellMar>
          <w:top w:w="0" w:type="dxa"/>
          <w:left w:w="0" w:type="dxa"/>
          <w:bottom w:w="0" w:type="dxa"/>
          <w:right w:w="0" w:type="dxa"/>
        </w:tblCellMar>
      </w:tblPr>
      <w:tr>
        <w:trPr>
          <w:trHeight w:val="149"/>
        </w:trPr>
        <w:tc>
          <w:tcPr>
            <w:tcW w:w="40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80" w:type="dxa"/>
            <w:vAlign w:val="bottom"/>
            <w:gridSpan w:val="4"/>
          </w:tcPr>
          <w:p>
            <w:pPr>
              <w:jc w:val="center"/>
              <w:ind w:right="20"/>
              <w:spacing w:after="0"/>
              <w:rPr>
                <w:sz w:val="20"/>
                <w:szCs w:val="20"/>
                <w:color w:val="auto"/>
              </w:rPr>
            </w:pPr>
            <w:r>
              <w:rPr>
                <w:rFonts w:ascii="Arial" w:cs="Arial" w:eastAsia="Arial" w:hAnsi="Arial"/>
                <w:sz w:val="13"/>
                <w:szCs w:val="13"/>
                <w:b w:val="1"/>
                <w:bCs w:val="1"/>
                <w:color w:val="auto"/>
                <w:w w:val="88"/>
              </w:rPr>
              <w:t>Year Ended December 31,</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153"/>
        </w:trPr>
        <w:tc>
          <w:tcPr>
            <w:tcW w:w="4060" w:type="dxa"/>
            <w:vAlign w:val="bottom"/>
            <w:tcBorders>
              <w:bottom w:val="single" w:sz="8" w:color="CFF0FC"/>
            </w:tcBorders>
          </w:tcPr>
          <w:p>
            <w:pPr>
              <w:spacing w:after="0"/>
              <w:rPr>
                <w:sz w:val="13"/>
                <w:szCs w:val="13"/>
                <w:color w:val="auto"/>
              </w:rPr>
            </w:pPr>
          </w:p>
        </w:tc>
        <w:tc>
          <w:tcPr>
            <w:tcW w:w="102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61"/>
              <w:spacing w:after="0"/>
              <w:rPr>
                <w:sz w:val="20"/>
                <w:szCs w:val="20"/>
                <w:color w:val="auto"/>
              </w:rPr>
            </w:pPr>
            <w:r>
              <w:rPr>
                <w:rFonts w:ascii="Arial" w:cs="Arial" w:eastAsia="Arial" w:hAnsi="Arial"/>
                <w:sz w:val="13"/>
                <w:szCs w:val="13"/>
                <w:b w:val="1"/>
                <w:bCs w:val="1"/>
                <w:color w:val="auto"/>
                <w:w w:val="82"/>
              </w:rPr>
              <w:t>2017</w:t>
            </w:r>
          </w:p>
        </w:tc>
        <w:tc>
          <w:tcPr>
            <w:tcW w:w="22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center"/>
              <w:ind w:right="21"/>
              <w:spacing w:after="0"/>
              <w:rPr>
                <w:sz w:val="20"/>
                <w:szCs w:val="20"/>
                <w:color w:val="auto"/>
              </w:rPr>
            </w:pPr>
            <w:r>
              <w:rPr>
                <w:rFonts w:ascii="Arial" w:cs="Arial" w:eastAsia="Arial" w:hAnsi="Arial"/>
                <w:sz w:val="13"/>
                <w:szCs w:val="13"/>
                <w:b w:val="1"/>
                <w:bCs w:val="1"/>
                <w:color w:val="auto"/>
                <w:w w:val="89"/>
              </w:rPr>
              <w:t>2016</w:t>
            </w:r>
          </w:p>
        </w:tc>
        <w:tc>
          <w:tcPr>
            <w:tcW w:w="18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61"/>
              <w:spacing w:after="0"/>
              <w:rPr>
                <w:sz w:val="20"/>
                <w:szCs w:val="20"/>
                <w:color w:val="auto"/>
              </w:rPr>
            </w:pPr>
            <w:r>
              <w:rPr>
                <w:rFonts w:ascii="Arial" w:cs="Arial" w:eastAsia="Arial" w:hAnsi="Arial"/>
                <w:sz w:val="13"/>
                <w:szCs w:val="13"/>
                <w:b w:val="1"/>
                <w:bCs w:val="1"/>
                <w:color w:val="auto"/>
                <w:w w:val="89"/>
              </w:rPr>
              <w:t>2015</w:t>
            </w:r>
          </w:p>
        </w:tc>
        <w:tc>
          <w:tcPr>
            <w:tcW w:w="520" w:type="dxa"/>
            <w:vAlign w:val="bottom"/>
            <w:tcBorders>
              <w:bottom w:val="single" w:sz="8" w:color="CFF0FC"/>
            </w:tcBorders>
          </w:tcPr>
          <w:p>
            <w:pPr>
              <w:spacing w:after="0"/>
              <w:rPr>
                <w:sz w:val="13"/>
                <w:szCs w:val="13"/>
                <w:color w:val="auto"/>
              </w:rPr>
            </w:pPr>
          </w:p>
        </w:tc>
      </w:tr>
      <w:tr>
        <w:trPr>
          <w:trHeight w:val="198"/>
        </w:trPr>
        <w:tc>
          <w:tcPr>
            <w:tcW w:w="4060" w:type="dxa"/>
            <w:vAlign w:val="bottom"/>
            <w:shd w:val="clear" w:color="auto" w:fill="CFF0FC"/>
          </w:tcPr>
          <w:p>
            <w:pPr>
              <w:spacing w:after="0"/>
              <w:rPr>
                <w:sz w:val="20"/>
                <w:szCs w:val="20"/>
                <w:color w:val="auto"/>
              </w:rPr>
            </w:pPr>
            <w:r>
              <w:rPr>
                <w:rFonts w:ascii="Arial" w:cs="Arial" w:eastAsia="Arial" w:hAnsi="Arial"/>
                <w:sz w:val="16"/>
                <w:szCs w:val="16"/>
                <w:color w:val="auto"/>
              </w:rPr>
              <w:t>Weighted-average fair value of options granted</w:t>
            </w:r>
          </w:p>
        </w:tc>
        <w:tc>
          <w:tcPr>
            <w:tcW w:w="102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ind w:right="281"/>
              <w:spacing w:after="0"/>
              <w:rPr>
                <w:sz w:val="20"/>
                <w:szCs w:val="20"/>
                <w:color w:val="auto"/>
              </w:rPr>
            </w:pPr>
            <w:r>
              <w:rPr>
                <w:rFonts w:ascii="Arial" w:cs="Arial" w:eastAsia="Arial" w:hAnsi="Arial"/>
                <w:sz w:val="16"/>
                <w:szCs w:val="16"/>
                <w:color w:val="auto"/>
              </w:rPr>
              <w:t>2.26</w:t>
            </w: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ind w:right="261"/>
              <w:spacing w:after="0"/>
              <w:rPr>
                <w:sz w:val="20"/>
                <w:szCs w:val="20"/>
                <w:color w:val="auto"/>
              </w:rPr>
            </w:pPr>
            <w:r>
              <w:rPr>
                <w:rFonts w:ascii="Arial" w:cs="Arial" w:eastAsia="Arial" w:hAnsi="Arial"/>
                <w:sz w:val="16"/>
                <w:szCs w:val="16"/>
                <w:color w:val="auto"/>
              </w:rPr>
              <w:t>5.56</w:t>
            </w:r>
          </w:p>
        </w:tc>
        <w:tc>
          <w:tcPr>
            <w:tcW w:w="1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ind w:right="281"/>
              <w:spacing w:after="0"/>
              <w:rPr>
                <w:sz w:val="20"/>
                <w:szCs w:val="20"/>
                <w:color w:val="auto"/>
              </w:rPr>
            </w:pPr>
            <w:r>
              <w:rPr>
                <w:rFonts w:ascii="Arial" w:cs="Arial" w:eastAsia="Arial" w:hAnsi="Arial"/>
                <w:sz w:val="16"/>
                <w:szCs w:val="16"/>
                <w:color w:val="auto"/>
              </w:rPr>
              <w:t>5.94</w:t>
            </w:r>
          </w:p>
        </w:tc>
        <w:tc>
          <w:tcPr>
            <w:tcW w:w="520" w:type="dxa"/>
            <w:vAlign w:val="bottom"/>
            <w:shd w:val="clear" w:color="auto" w:fill="CFF0FC"/>
          </w:tcPr>
          <w:p>
            <w:pPr>
              <w:spacing w:after="0"/>
              <w:rPr>
                <w:sz w:val="17"/>
                <w:szCs w:val="17"/>
                <w:color w:val="auto"/>
              </w:rPr>
            </w:pPr>
          </w:p>
        </w:tc>
      </w:tr>
      <w:tr>
        <w:trPr>
          <w:trHeight w:val="205"/>
        </w:trPr>
        <w:tc>
          <w:tcPr>
            <w:tcW w:w="4060" w:type="dxa"/>
            <w:vAlign w:val="bottom"/>
          </w:tcPr>
          <w:p>
            <w:pPr>
              <w:spacing w:after="0"/>
              <w:rPr>
                <w:sz w:val="20"/>
                <w:szCs w:val="20"/>
                <w:color w:val="auto"/>
              </w:rPr>
            </w:pPr>
            <w:r>
              <w:rPr>
                <w:rFonts w:ascii="Arial" w:cs="Arial" w:eastAsia="Arial" w:hAnsi="Arial"/>
                <w:sz w:val="16"/>
                <w:szCs w:val="16"/>
                <w:color w:val="auto"/>
              </w:rPr>
              <w:t>Weighted-average risk-free interest rate</w:t>
            </w: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center"/>
              <w:ind w:right="61"/>
              <w:spacing w:after="0"/>
              <w:rPr>
                <w:sz w:val="20"/>
                <w:szCs w:val="20"/>
                <w:color w:val="auto"/>
              </w:rPr>
            </w:pPr>
            <w:r>
              <w:rPr>
                <w:rFonts w:ascii="Arial" w:cs="Arial" w:eastAsia="Arial" w:hAnsi="Arial"/>
                <w:sz w:val="16"/>
                <w:szCs w:val="16"/>
                <w:color w:val="auto"/>
                <w:w w:val="88"/>
              </w:rPr>
              <w:t>1.77%</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center"/>
              <w:ind w:right="21"/>
              <w:spacing w:after="0"/>
              <w:rPr>
                <w:sz w:val="20"/>
                <w:szCs w:val="20"/>
                <w:color w:val="auto"/>
              </w:rPr>
            </w:pPr>
            <w:r>
              <w:rPr>
                <w:rFonts w:ascii="Arial" w:cs="Arial" w:eastAsia="Arial" w:hAnsi="Arial"/>
                <w:sz w:val="16"/>
                <w:szCs w:val="16"/>
                <w:color w:val="auto"/>
                <w:w w:val="92"/>
              </w:rPr>
              <w:t>1.32%</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center"/>
              <w:ind w:right="61"/>
              <w:spacing w:after="0"/>
              <w:rPr>
                <w:sz w:val="20"/>
                <w:szCs w:val="20"/>
                <w:color w:val="auto"/>
              </w:rPr>
            </w:pPr>
            <w:r>
              <w:rPr>
                <w:rFonts w:ascii="Arial" w:cs="Arial" w:eastAsia="Arial" w:hAnsi="Arial"/>
                <w:sz w:val="16"/>
                <w:szCs w:val="16"/>
                <w:color w:val="auto"/>
                <w:w w:val="92"/>
              </w:rPr>
              <w:t>1.46%</w:t>
            </w:r>
          </w:p>
        </w:tc>
        <w:tc>
          <w:tcPr>
            <w:tcW w:w="520" w:type="dxa"/>
            <w:vAlign w:val="bottom"/>
          </w:tcPr>
          <w:p>
            <w:pPr>
              <w:spacing w:after="0"/>
              <w:rPr>
                <w:sz w:val="17"/>
                <w:szCs w:val="17"/>
                <w:color w:val="auto"/>
              </w:rPr>
            </w:pPr>
          </w:p>
        </w:tc>
      </w:tr>
      <w:tr>
        <w:trPr>
          <w:trHeight w:val="205"/>
        </w:trPr>
        <w:tc>
          <w:tcPr>
            <w:tcW w:w="4060" w:type="dxa"/>
            <w:vAlign w:val="bottom"/>
            <w:shd w:val="clear" w:color="auto" w:fill="CFF0FC"/>
          </w:tcPr>
          <w:p>
            <w:pPr>
              <w:spacing w:after="0"/>
              <w:rPr>
                <w:sz w:val="20"/>
                <w:szCs w:val="20"/>
                <w:color w:val="auto"/>
              </w:rPr>
            </w:pPr>
            <w:r>
              <w:rPr>
                <w:rFonts w:ascii="Arial" w:cs="Arial" w:eastAsia="Arial" w:hAnsi="Arial"/>
                <w:sz w:val="16"/>
                <w:szCs w:val="16"/>
                <w:color w:val="auto"/>
              </w:rPr>
              <w:t>Range of risk-free interest rates</w:t>
            </w:r>
          </w:p>
        </w:tc>
        <w:tc>
          <w:tcPr>
            <w:tcW w:w="2120" w:type="dxa"/>
            <w:vAlign w:val="bottom"/>
            <w:gridSpan w:val="3"/>
            <w:shd w:val="clear" w:color="auto" w:fill="CFF0FC"/>
          </w:tcPr>
          <w:p>
            <w:pPr>
              <w:jc w:val="center"/>
              <w:ind w:left="919"/>
              <w:spacing w:after="0"/>
              <w:rPr>
                <w:sz w:val="20"/>
                <w:szCs w:val="20"/>
                <w:color w:val="auto"/>
              </w:rPr>
            </w:pPr>
            <w:r>
              <w:rPr>
                <w:rFonts w:ascii="Arial" w:cs="Arial" w:eastAsia="Arial" w:hAnsi="Arial"/>
                <w:sz w:val="16"/>
                <w:szCs w:val="16"/>
                <w:color w:val="auto"/>
                <w:w w:val="91"/>
              </w:rPr>
              <w:t>1.64% - 2.11%</w:t>
            </w:r>
          </w:p>
        </w:tc>
        <w:tc>
          <w:tcPr>
            <w:tcW w:w="1300" w:type="dxa"/>
            <w:vAlign w:val="bottom"/>
            <w:gridSpan w:val="3"/>
            <w:shd w:val="clear" w:color="auto" w:fill="CFF0FC"/>
          </w:tcPr>
          <w:p>
            <w:pPr>
              <w:jc w:val="center"/>
              <w:ind w:left="128"/>
              <w:spacing w:after="0"/>
              <w:rPr>
                <w:sz w:val="20"/>
                <w:szCs w:val="20"/>
                <w:color w:val="auto"/>
              </w:rPr>
            </w:pPr>
            <w:r>
              <w:rPr>
                <w:rFonts w:ascii="Arial" w:cs="Arial" w:eastAsia="Arial" w:hAnsi="Arial"/>
                <w:sz w:val="16"/>
                <w:szCs w:val="16"/>
                <w:color w:val="auto"/>
                <w:w w:val="93"/>
              </w:rPr>
              <w:t>0.93% - 1.96%</w:t>
            </w:r>
          </w:p>
        </w:tc>
        <w:tc>
          <w:tcPr>
            <w:tcW w:w="180" w:type="dxa"/>
            <w:vAlign w:val="bottom"/>
            <w:shd w:val="clear" w:color="auto" w:fill="CFF0FC"/>
          </w:tcPr>
          <w:p>
            <w:pPr>
              <w:spacing w:after="0"/>
              <w:rPr>
                <w:sz w:val="17"/>
                <w:szCs w:val="17"/>
                <w:color w:val="auto"/>
              </w:rPr>
            </w:pPr>
          </w:p>
        </w:tc>
        <w:tc>
          <w:tcPr>
            <w:tcW w:w="1100" w:type="dxa"/>
            <w:vAlign w:val="bottom"/>
            <w:gridSpan w:val="3"/>
            <w:shd w:val="clear" w:color="auto" w:fill="CFF0FC"/>
          </w:tcPr>
          <w:p>
            <w:pPr>
              <w:jc w:val="center"/>
              <w:spacing w:after="0"/>
              <w:rPr>
                <w:sz w:val="20"/>
                <w:szCs w:val="20"/>
                <w:color w:val="auto"/>
              </w:rPr>
            </w:pPr>
            <w:r>
              <w:rPr>
                <w:rFonts w:ascii="Arial" w:cs="Arial" w:eastAsia="Arial" w:hAnsi="Arial"/>
                <w:sz w:val="16"/>
                <w:szCs w:val="16"/>
                <w:color w:val="auto"/>
                <w:w w:val="93"/>
              </w:rPr>
              <w:t>1.26% - 1.60%</w:t>
            </w:r>
          </w:p>
        </w:tc>
        <w:tc>
          <w:tcPr>
            <w:tcW w:w="520" w:type="dxa"/>
            <w:vAlign w:val="bottom"/>
            <w:shd w:val="clear" w:color="auto" w:fill="CFF0FC"/>
          </w:tcPr>
          <w:p>
            <w:pPr>
              <w:spacing w:after="0"/>
              <w:rPr>
                <w:sz w:val="17"/>
                <w:szCs w:val="17"/>
                <w:color w:val="auto"/>
              </w:rPr>
            </w:pPr>
          </w:p>
        </w:tc>
      </w:tr>
      <w:tr>
        <w:trPr>
          <w:trHeight w:val="205"/>
        </w:trPr>
        <w:tc>
          <w:tcPr>
            <w:tcW w:w="4060" w:type="dxa"/>
            <w:vAlign w:val="bottom"/>
          </w:tcPr>
          <w:p>
            <w:pPr>
              <w:spacing w:after="0"/>
              <w:rPr>
                <w:sz w:val="20"/>
                <w:szCs w:val="20"/>
                <w:color w:val="auto"/>
              </w:rPr>
            </w:pPr>
            <w:r>
              <w:rPr>
                <w:rFonts w:ascii="Arial" w:cs="Arial" w:eastAsia="Arial" w:hAnsi="Arial"/>
                <w:sz w:val="16"/>
                <w:szCs w:val="16"/>
                <w:color w:val="auto"/>
              </w:rPr>
              <w:t>Weighted-average expected option lives</w:t>
            </w: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ind w:left="120"/>
              <w:spacing w:after="0"/>
              <w:rPr>
                <w:sz w:val="20"/>
                <w:szCs w:val="20"/>
                <w:color w:val="auto"/>
              </w:rPr>
            </w:pPr>
            <w:r>
              <w:rPr>
                <w:rFonts w:ascii="Arial" w:cs="Arial" w:eastAsia="Arial" w:hAnsi="Arial"/>
                <w:sz w:val="16"/>
                <w:szCs w:val="16"/>
                <w:color w:val="auto"/>
              </w:rPr>
              <w:t>4.5 years</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color w:val="auto"/>
                <w:w w:val="88"/>
              </w:rPr>
              <w:t>4.6 years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gridSpan w:val="2"/>
          </w:tcPr>
          <w:p>
            <w:pPr>
              <w:ind w:left="120"/>
              <w:spacing w:after="0"/>
              <w:rPr>
                <w:sz w:val="20"/>
                <w:szCs w:val="20"/>
                <w:color w:val="auto"/>
              </w:rPr>
            </w:pPr>
            <w:r>
              <w:rPr>
                <w:rFonts w:ascii="Arial" w:cs="Arial" w:eastAsia="Arial" w:hAnsi="Arial"/>
                <w:sz w:val="16"/>
                <w:szCs w:val="16"/>
                <w:color w:val="auto"/>
              </w:rPr>
              <w:t>4.5 years</w:t>
            </w:r>
          </w:p>
        </w:tc>
      </w:tr>
      <w:tr>
        <w:trPr>
          <w:trHeight w:val="205"/>
        </w:trPr>
        <w:tc>
          <w:tcPr>
            <w:tcW w:w="4060" w:type="dxa"/>
            <w:vAlign w:val="bottom"/>
            <w:shd w:val="clear" w:color="auto" w:fill="CFF0FC"/>
          </w:tcPr>
          <w:p>
            <w:pPr>
              <w:spacing w:after="0"/>
              <w:rPr>
                <w:sz w:val="20"/>
                <w:szCs w:val="20"/>
                <w:color w:val="auto"/>
              </w:rPr>
            </w:pPr>
            <w:r>
              <w:rPr>
                <w:rFonts w:ascii="Arial" w:cs="Arial" w:eastAsia="Arial" w:hAnsi="Arial"/>
                <w:sz w:val="16"/>
                <w:szCs w:val="16"/>
                <w:color w:val="auto"/>
              </w:rPr>
              <w:t>Expected option lives</w:t>
            </w:r>
          </w:p>
        </w:tc>
        <w:tc>
          <w:tcPr>
            <w:tcW w:w="10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4.5 years</w:t>
            </w: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center"/>
              <w:ind w:right="280"/>
              <w:spacing w:after="0"/>
              <w:rPr>
                <w:sz w:val="20"/>
                <w:szCs w:val="20"/>
                <w:color w:val="auto"/>
              </w:rPr>
            </w:pPr>
            <w:r>
              <w:rPr>
                <w:rFonts w:ascii="Arial" w:cs="Arial" w:eastAsia="Arial" w:hAnsi="Arial"/>
                <w:sz w:val="16"/>
                <w:szCs w:val="16"/>
                <w:color w:val="auto"/>
                <w:w w:val="87"/>
              </w:rPr>
              <w:t>4.5 - 4.9 years</w:t>
            </w: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4.5 years</w:t>
            </w:r>
          </w:p>
        </w:tc>
      </w:tr>
      <w:tr>
        <w:trPr>
          <w:trHeight w:val="205"/>
        </w:trPr>
        <w:tc>
          <w:tcPr>
            <w:tcW w:w="4060" w:type="dxa"/>
            <w:vAlign w:val="bottom"/>
          </w:tcPr>
          <w:p>
            <w:pPr>
              <w:spacing w:after="0"/>
              <w:rPr>
                <w:sz w:val="20"/>
                <w:szCs w:val="20"/>
                <w:color w:val="auto"/>
              </w:rPr>
            </w:pPr>
            <w:r>
              <w:rPr>
                <w:rFonts w:ascii="Arial" w:cs="Arial" w:eastAsia="Arial" w:hAnsi="Arial"/>
                <w:sz w:val="16"/>
                <w:szCs w:val="16"/>
                <w:color w:val="auto"/>
              </w:rPr>
              <w:t>Weighted-average volatility</w:t>
            </w: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center"/>
              <w:ind w:right="61"/>
              <w:spacing w:after="0"/>
              <w:rPr>
                <w:sz w:val="20"/>
                <w:szCs w:val="20"/>
                <w:color w:val="auto"/>
              </w:rPr>
            </w:pPr>
            <w:r>
              <w:rPr>
                <w:rFonts w:ascii="Arial" w:cs="Arial" w:eastAsia="Arial" w:hAnsi="Arial"/>
                <w:sz w:val="16"/>
                <w:szCs w:val="16"/>
                <w:color w:val="auto"/>
                <w:w w:val="87"/>
              </w:rPr>
              <w:t>46%</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center"/>
              <w:ind w:right="21"/>
              <w:spacing w:after="0"/>
              <w:rPr>
                <w:sz w:val="20"/>
                <w:szCs w:val="20"/>
                <w:color w:val="auto"/>
              </w:rPr>
            </w:pPr>
            <w:r>
              <w:rPr>
                <w:rFonts w:ascii="Arial" w:cs="Arial" w:eastAsia="Arial" w:hAnsi="Arial"/>
                <w:sz w:val="16"/>
                <w:szCs w:val="16"/>
                <w:color w:val="auto"/>
                <w:w w:val="93"/>
              </w:rPr>
              <w:t>47%</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center"/>
              <w:ind w:right="61"/>
              <w:spacing w:after="0"/>
              <w:rPr>
                <w:sz w:val="20"/>
                <w:szCs w:val="20"/>
                <w:color w:val="auto"/>
              </w:rPr>
            </w:pPr>
            <w:r>
              <w:rPr>
                <w:rFonts w:ascii="Arial" w:cs="Arial" w:eastAsia="Arial" w:hAnsi="Arial"/>
                <w:sz w:val="16"/>
                <w:szCs w:val="16"/>
                <w:color w:val="auto"/>
                <w:w w:val="93"/>
              </w:rPr>
              <w:t>46%</w:t>
            </w:r>
          </w:p>
        </w:tc>
        <w:tc>
          <w:tcPr>
            <w:tcW w:w="520" w:type="dxa"/>
            <w:vAlign w:val="bottom"/>
          </w:tcPr>
          <w:p>
            <w:pPr>
              <w:spacing w:after="0"/>
              <w:rPr>
                <w:sz w:val="17"/>
                <w:szCs w:val="17"/>
                <w:color w:val="auto"/>
              </w:rPr>
            </w:pPr>
          </w:p>
        </w:tc>
      </w:tr>
      <w:tr>
        <w:trPr>
          <w:trHeight w:val="205"/>
        </w:trPr>
        <w:tc>
          <w:tcPr>
            <w:tcW w:w="4060" w:type="dxa"/>
            <w:vAlign w:val="bottom"/>
            <w:shd w:val="clear" w:color="auto" w:fill="CFF0FC"/>
          </w:tcPr>
          <w:p>
            <w:pPr>
              <w:spacing w:after="0"/>
              <w:rPr>
                <w:sz w:val="20"/>
                <w:szCs w:val="20"/>
                <w:color w:val="auto"/>
              </w:rPr>
            </w:pPr>
            <w:r>
              <w:rPr>
                <w:rFonts w:ascii="Arial" w:cs="Arial" w:eastAsia="Arial" w:hAnsi="Arial"/>
                <w:sz w:val="16"/>
                <w:szCs w:val="16"/>
                <w:color w:val="auto"/>
              </w:rPr>
              <w:t>Range of expected volatilities</w:t>
            </w:r>
          </w:p>
        </w:tc>
        <w:tc>
          <w:tcPr>
            <w:tcW w:w="10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jc w:val="center"/>
              <w:ind w:right="61"/>
              <w:spacing w:after="0"/>
              <w:rPr>
                <w:sz w:val="20"/>
                <w:szCs w:val="20"/>
                <w:color w:val="auto"/>
              </w:rPr>
            </w:pPr>
            <w:r>
              <w:rPr>
                <w:rFonts w:ascii="Arial" w:cs="Arial" w:eastAsia="Arial" w:hAnsi="Arial"/>
                <w:sz w:val="16"/>
                <w:szCs w:val="16"/>
                <w:color w:val="auto"/>
                <w:w w:val="91"/>
              </w:rPr>
              <w:t>46% - 49%</w:t>
            </w: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0" w:type="dxa"/>
            <w:vAlign w:val="bottom"/>
            <w:shd w:val="clear" w:color="auto" w:fill="CFF0FC"/>
          </w:tcPr>
          <w:p>
            <w:pPr>
              <w:jc w:val="center"/>
              <w:ind w:right="21"/>
              <w:spacing w:after="0"/>
              <w:rPr>
                <w:sz w:val="20"/>
                <w:szCs w:val="20"/>
                <w:color w:val="auto"/>
              </w:rPr>
            </w:pPr>
            <w:r>
              <w:rPr>
                <w:rFonts w:ascii="Arial" w:cs="Arial" w:eastAsia="Arial" w:hAnsi="Arial"/>
                <w:sz w:val="16"/>
                <w:szCs w:val="16"/>
                <w:color w:val="auto"/>
                <w:w w:val="94"/>
              </w:rPr>
              <w:t>44% - 51%</w:t>
            </w:r>
          </w:p>
        </w:tc>
        <w:tc>
          <w:tcPr>
            <w:tcW w:w="1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jc w:val="center"/>
              <w:ind w:right="61"/>
              <w:spacing w:after="0"/>
              <w:rPr>
                <w:sz w:val="20"/>
                <w:szCs w:val="20"/>
                <w:color w:val="auto"/>
              </w:rPr>
            </w:pPr>
            <w:r>
              <w:rPr>
                <w:rFonts w:ascii="Arial" w:cs="Arial" w:eastAsia="Arial" w:hAnsi="Arial"/>
                <w:sz w:val="16"/>
                <w:szCs w:val="16"/>
                <w:color w:val="auto"/>
                <w:w w:val="94"/>
              </w:rPr>
              <w:t>40% - 49%</w:t>
            </w:r>
          </w:p>
        </w:tc>
        <w:tc>
          <w:tcPr>
            <w:tcW w:w="520" w:type="dxa"/>
            <w:vAlign w:val="bottom"/>
            <w:shd w:val="clear" w:color="auto" w:fill="CFF0FC"/>
          </w:tcPr>
          <w:p>
            <w:pPr>
              <w:spacing w:after="0"/>
              <w:rPr>
                <w:sz w:val="17"/>
                <w:szCs w:val="17"/>
                <w:color w:val="auto"/>
              </w:rPr>
            </w:pPr>
          </w:p>
        </w:tc>
      </w:tr>
      <w:tr>
        <w:trPr>
          <w:trHeight w:val="206"/>
        </w:trPr>
        <w:tc>
          <w:tcPr>
            <w:tcW w:w="4060" w:type="dxa"/>
            <w:vAlign w:val="bottom"/>
          </w:tcPr>
          <w:p>
            <w:pPr>
              <w:spacing w:after="0"/>
              <w:rPr>
                <w:sz w:val="20"/>
                <w:szCs w:val="20"/>
                <w:color w:val="auto"/>
              </w:rPr>
            </w:pPr>
            <w:r>
              <w:rPr>
                <w:rFonts w:ascii="Arial" w:cs="Arial" w:eastAsia="Arial" w:hAnsi="Arial"/>
                <w:sz w:val="16"/>
                <w:szCs w:val="16"/>
                <w:color w:val="auto"/>
              </w:rPr>
              <w:t>Weighted-average expected dividend yield</w:t>
            </w: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center"/>
              <w:ind w:right="61"/>
              <w:spacing w:after="0"/>
              <w:rPr>
                <w:sz w:val="20"/>
                <w:szCs w:val="20"/>
                <w:color w:val="auto"/>
              </w:rPr>
            </w:pPr>
            <w:r>
              <w:rPr>
                <w:rFonts w:ascii="Arial" w:cs="Arial" w:eastAsia="Arial" w:hAnsi="Arial"/>
                <w:sz w:val="16"/>
                <w:szCs w:val="16"/>
                <w:color w:val="auto"/>
                <w:w w:val="87"/>
              </w:rPr>
              <w:t>0.0%</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center"/>
              <w:ind w:right="21"/>
              <w:spacing w:after="0"/>
              <w:rPr>
                <w:sz w:val="20"/>
                <w:szCs w:val="20"/>
                <w:color w:val="auto"/>
              </w:rPr>
            </w:pPr>
            <w:r>
              <w:rPr>
                <w:rFonts w:ascii="Arial" w:cs="Arial" w:eastAsia="Arial" w:hAnsi="Arial"/>
                <w:sz w:val="16"/>
                <w:szCs w:val="16"/>
                <w:color w:val="auto"/>
                <w:w w:val="93"/>
              </w:rPr>
              <w:t>0.0%</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center"/>
              <w:ind w:right="61"/>
              <w:spacing w:after="0"/>
              <w:rPr>
                <w:sz w:val="20"/>
                <w:szCs w:val="20"/>
                <w:color w:val="auto"/>
              </w:rPr>
            </w:pPr>
            <w:r>
              <w:rPr>
                <w:rFonts w:ascii="Arial" w:cs="Arial" w:eastAsia="Arial" w:hAnsi="Arial"/>
                <w:sz w:val="16"/>
                <w:szCs w:val="16"/>
                <w:color w:val="auto"/>
                <w:w w:val="93"/>
              </w:rPr>
              <w:t>0.0%</w:t>
            </w:r>
          </w:p>
        </w:tc>
        <w:tc>
          <w:tcPr>
            <w:tcW w:w="520" w:type="dxa"/>
            <w:vAlign w:val="bottom"/>
          </w:tcPr>
          <w:p>
            <w:pPr>
              <w:spacing w:after="0"/>
              <w:rPr>
                <w:sz w:val="17"/>
                <w:szCs w:val="17"/>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Stock-based Awards Classified as Liabilities</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Kodak settled a portion of its 2015 incentive compensation plans in 2016 with 188,584 shares of common stock with a pre-tax fair value of $2 million on the date of</w:t>
      </w:r>
    </w:p>
    <w:p>
      <w:pPr>
        <w:spacing w:after="0" w:line="21"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issuance. The shares were issued under the 2013 Omnibus Incentive Plan. Stock compensation expense associated with the incentive compensation plans was approximately $5 million for the year ended December 31, 2015.</w:t>
      </w:r>
    </w:p>
    <w:p>
      <w:pPr>
        <w:spacing w:after="0" w:line="3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21: SHAREHOLDERS’ EQUITY</w:t>
      </w:r>
    </w:p>
    <w:p>
      <w:pPr>
        <w:spacing w:after="0" w:line="110"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The Company has 560 million shares of authorized stock, consisting of: (i) 500 million shares of common stock, par value $0.01 per share and (ii) 60 million shares of preferred stock, no par value, issuable in one or more series. As of December 31, 2017 there were 42.6 million shares of common stock outstanding and 2.0 million shares of Series A preferred stock issued and outstanding. As of December 31, 2016 there were 42.4 million shares of common stock outstanding and 2.0 million shares of Series A preferred stock issued and outstanding.</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Share Settled Warrants</w:t>
      </w:r>
    </w:p>
    <w:p>
      <w:pPr>
        <w:spacing w:after="0" w:line="110" w:lineRule="exact"/>
        <w:rPr>
          <w:sz w:val="20"/>
          <w:szCs w:val="20"/>
          <w:color w:val="auto"/>
        </w:rPr>
      </w:pPr>
    </w:p>
    <w:p>
      <w:pPr>
        <w:ind w:right="240"/>
        <w:spacing w:after="0" w:line="259" w:lineRule="auto"/>
        <w:rPr>
          <w:sz w:val="20"/>
          <w:szCs w:val="20"/>
          <w:color w:val="auto"/>
        </w:rPr>
      </w:pPr>
      <w:r>
        <w:rPr>
          <w:rFonts w:ascii="Arial" w:cs="Arial" w:eastAsia="Arial" w:hAnsi="Arial"/>
          <w:sz w:val="16"/>
          <w:szCs w:val="16"/>
          <w:color w:val="auto"/>
        </w:rPr>
        <w:t>Upon emergence from bankruptcy in September 2013, the Company issued to the holders of general unsecured claims and the retiree settlement unsecured claim net-share settled warrants to purchase: (i) 2.1 million shares of common stock at an exercise price of $14.93 and (ii) 2.1 million shares of common stock at an exercise price of $16.12. The warrants are classified as equity instruments and reported within Additional paid in capital in the Consolidated Statement of Financial Position at their fair value at emergence ($24 million). As of December 31, 2017, there were warrants outstanding to purchase 3.6 million shares of common stock. The warrants terminate at the close of business on September 3, 2018.</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Treasury Stock</w:t>
      </w:r>
    </w:p>
    <w:p>
      <w:pPr>
        <w:spacing w:after="0" w:line="110" w:lineRule="exact"/>
        <w:rPr>
          <w:sz w:val="20"/>
          <w:szCs w:val="20"/>
          <w:color w:val="auto"/>
        </w:rPr>
      </w:pPr>
    </w:p>
    <w:p>
      <w:pPr>
        <w:jc w:val="both"/>
        <w:ind w:right="220"/>
        <w:spacing w:after="0" w:line="266" w:lineRule="auto"/>
        <w:rPr>
          <w:sz w:val="20"/>
          <w:szCs w:val="20"/>
          <w:color w:val="auto"/>
        </w:rPr>
      </w:pPr>
      <w:r>
        <w:rPr>
          <w:rFonts w:ascii="Arial" w:cs="Arial" w:eastAsia="Arial" w:hAnsi="Arial"/>
          <w:sz w:val="16"/>
          <w:szCs w:val="16"/>
          <w:color w:val="auto"/>
        </w:rPr>
        <w:t>During the years ended December 31, 2017 and 2016, the Company repurchased shares of common stock for approximately $1 million and $3 million, respectively, to satisfy tax withholding obligations in connection with the issuance of stock to employees under the 2013 Plan. Treasury stock consisted of approximately 0.6 million shares and 0.5 million shares at December 31, 2017 and 2016, respectively.</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Backstop Registration Rights Agreement</w:t>
      </w:r>
    </w:p>
    <w:p>
      <w:pPr>
        <w:spacing w:after="0" w:line="110" w:lineRule="exact"/>
        <w:rPr>
          <w:sz w:val="20"/>
          <w:szCs w:val="20"/>
          <w:color w:val="auto"/>
        </w:rPr>
      </w:pPr>
    </w:p>
    <w:p>
      <w:pPr>
        <w:ind w:right="220"/>
        <w:spacing w:after="0" w:line="276" w:lineRule="auto"/>
        <w:rPr>
          <w:sz w:val="20"/>
          <w:szCs w:val="20"/>
          <w:color w:val="auto"/>
        </w:rPr>
      </w:pPr>
      <w:r>
        <w:rPr>
          <w:rFonts w:ascii="Arial" w:cs="Arial" w:eastAsia="Arial" w:hAnsi="Arial"/>
          <w:sz w:val="15"/>
          <w:szCs w:val="15"/>
          <w:color w:val="auto"/>
        </w:rPr>
        <w:t>Upon emergence from bankruptcy on September 3, 2013 (“Effective Date”), the Company and GSO Capital Partners LP, on behalf of various managed funds, BlueMountain Capital Management, LLC, on behalf of various managed funds, George Karfunkel, United Equities Commodities Company, Momar Corporation and Contrarian Capital Management, LLC, on behalf of Contrarian Funds, LLC (collectively, the “Backstop Parties”) executed a registration rights agreement (the “Backstop Registration Rights Agreement”). The Backstop Registration Rights Agreement, among other rights, provides the Backstop Parties with certain registration rights with respect to common stock offered to the Backstop Parties (and other eligible creditors) as part of a rights offering (the “Backstop registrable securities”). A portion of the shares issued in the rights offerings are restricted securities for purposes of Rule 144 under the Securities Act of 1933 and may not be offered, sold or otherwise transferred absent registration under the Securities Act of 1933 or an applicable exemption from registration requirements.</w:t>
      </w:r>
    </w:p>
    <w:p>
      <w:pPr>
        <w:spacing w:after="0" w:line="62"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auto"/>
        </w:rPr>
        <w:t>Stockholders holding Backstop registrable securities representing 10% of the outstanding common stock at emergence may require the Company to facilitate a registered offering of Backstop registrable securities (such offering, the “Initial Registration”). The Backstop registrable securities requested to be sold in the Initial Registration must have an aggregate market value of at least $75 million. On October 20, 2016, the Initial Registration, in the form of a shelf registration statement registering all Backstop registerable securities, was declared effective by the SEC.</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62865</wp:posOffset>
            </wp:positionV>
            <wp:extent cx="7301865" cy="406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301865" cy="40640"/>
                    </a:xfrm>
                    <a:prstGeom prst="rect">
                      <a:avLst/>
                    </a:prstGeom>
                    <a:noFill/>
                  </pic:spPr>
                </pic:pic>
              </a:graphicData>
            </a:graphic>
          </wp:anchor>
        </w:drawing>
      </w:r>
    </w:p>
    <w:p>
      <w:pPr>
        <w:sectPr>
          <w:pgSz w:w="11900" w:h="16838" w:orient="portrait"/>
          <w:cols w:equalWidth="0" w:num="1">
            <w:col w:w="11420"/>
          </w:cols>
          <w:pgMar w:left="240" w:top="224" w:right="239" w:bottom="1440" w:gutter="0" w:footer="0" w:header="0"/>
        </w:sectPr>
      </w:pPr>
    </w:p>
    <w:bookmarkStart w:id="95" w:name="page96"/>
    <w:bookmarkEnd w:id="95"/>
    <w:p>
      <w:pPr>
        <w:ind w:left="3" w:right="20"/>
        <w:spacing w:after="0" w:line="256" w:lineRule="auto"/>
        <w:rPr>
          <w:sz w:val="20"/>
          <w:szCs w:val="20"/>
          <w:color w:val="auto"/>
        </w:rPr>
      </w:pPr>
      <w:r>
        <w:rPr>
          <w:rFonts w:ascii="Arial" w:cs="Arial" w:eastAsia="Arial" w:hAnsi="Arial"/>
          <w:sz w:val="16"/>
          <w:szCs w:val="16"/>
          <w:color w:val="auto"/>
        </w:rPr>
        <w:t>Following the Initial Registration, stockholders holding 10% or more of the outstanding Backstop registrable securities may demand that the Company file a shelf registration statement and effectuate one or more takedowns off of such shelf, or, if a shelf is not available, effectuate one or more stand-alone registered offerings, provided that such non-shelf registered offerings or shelf takedowns may not be requested more than four times and, in each case, shall include shares having an aggregate market value of at least $75 million. Beginning on the second anniversary of the Effective Date, upon request of a stockholder, the Company shall amend its existing shelf registration statement to register additional Backstop registrable securities as set forth in the Registration Rights Agreement. Stockholders also have the right to include their Backstop registrable securities in the Initial Registration or any other non-shelf registered offering or shelf takedown of the common stock by the Company for its own account or for the account of any holders of common stock.</w:t>
      </w:r>
    </w:p>
    <w:p>
      <w:pPr>
        <w:spacing w:after="0" w:line="339"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NOTE 22: OTHER COMPREHENSIVE LOSS</w:t>
      </w:r>
    </w:p>
    <w:p>
      <w:pPr>
        <w:spacing w:after="0" w:line="110" w:lineRule="exact"/>
        <w:rPr>
          <w:sz w:val="20"/>
          <w:szCs w:val="20"/>
          <w:color w:val="auto"/>
        </w:rPr>
      </w:pPr>
    </w:p>
    <w:p>
      <w:pPr>
        <w:ind w:left="3"/>
        <w:spacing w:after="0"/>
        <w:rPr>
          <w:sz w:val="20"/>
          <w:szCs w:val="20"/>
          <w:color w:val="auto"/>
        </w:rPr>
      </w:pPr>
      <w:r>
        <w:rPr>
          <w:rFonts w:ascii="Arial" w:cs="Arial" w:eastAsia="Arial" w:hAnsi="Arial"/>
          <w:sz w:val="16"/>
          <w:szCs w:val="16"/>
          <w:color w:val="auto"/>
        </w:rPr>
        <w:t>The changes in Other comprehensive loss by component, were as follows:</w:t>
      </w:r>
    </w:p>
    <w:p>
      <w:pPr>
        <w:spacing w:after="0" w:line="288" w:lineRule="exact"/>
        <w:rPr>
          <w:sz w:val="20"/>
          <w:szCs w:val="20"/>
          <w:color w:val="auto"/>
        </w:rPr>
      </w:pPr>
    </w:p>
    <w:tbl>
      <w:tblPr>
        <w:tblLayout w:type="fixed"/>
        <w:tblInd w:w="3"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52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00" w:type="dxa"/>
            <w:vAlign w:val="bottom"/>
            <w:gridSpan w:val="4"/>
          </w:tcPr>
          <w:p>
            <w:pPr>
              <w:jc w:val="right"/>
              <w:ind w:right="200"/>
              <w:spacing w:after="0"/>
              <w:rPr>
                <w:sz w:val="20"/>
                <w:szCs w:val="20"/>
                <w:color w:val="auto"/>
              </w:rPr>
            </w:pPr>
            <w:r>
              <w:rPr>
                <w:rFonts w:ascii="Arial" w:cs="Arial" w:eastAsia="Arial" w:hAnsi="Arial"/>
                <w:sz w:val="13"/>
                <w:szCs w:val="13"/>
                <w:b w:val="1"/>
                <w:bCs w:val="1"/>
                <w:color w:val="auto"/>
                <w:w w:val="92"/>
              </w:rPr>
              <w:t>Year Ended December 31,</w:t>
            </w: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300" w:type="dxa"/>
            <w:vAlign w:val="bottom"/>
            <w:gridSpan w:val="2"/>
          </w:tcPr>
          <w:p>
            <w:pPr>
              <w:spacing w:after="0"/>
              <w:rPr>
                <w:sz w:val="20"/>
                <w:szCs w:val="20"/>
                <w:color w:val="auto"/>
              </w:rPr>
            </w:pPr>
            <w:r>
              <w:rPr>
                <w:rFonts w:ascii="Arial" w:cs="Arial" w:eastAsia="Arial" w:hAnsi="Arial"/>
                <w:sz w:val="13"/>
                <w:szCs w:val="13"/>
                <w:color w:val="auto"/>
              </w:rPr>
              <w:t>(in millions)</w:t>
            </w:r>
          </w:p>
        </w:tc>
        <w:tc>
          <w:tcPr>
            <w:tcW w:w="1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ind w:right="461"/>
              <w:spacing w:after="0"/>
              <w:rPr>
                <w:sz w:val="20"/>
                <w:szCs w:val="20"/>
                <w:color w:val="auto"/>
              </w:rPr>
            </w:pPr>
            <w:r>
              <w:rPr>
                <w:rFonts w:ascii="Arial" w:cs="Arial" w:eastAsia="Arial" w:hAnsi="Arial"/>
                <w:sz w:val="13"/>
                <w:szCs w:val="13"/>
                <w:b w:val="1"/>
                <w:bCs w:val="1"/>
                <w:color w:val="auto"/>
              </w:rPr>
              <w:t>2017</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ind w:right="460"/>
              <w:spacing w:after="0"/>
              <w:rPr>
                <w:sz w:val="20"/>
                <w:szCs w:val="20"/>
                <w:color w:val="auto"/>
              </w:rPr>
            </w:pPr>
            <w:r>
              <w:rPr>
                <w:rFonts w:ascii="Arial" w:cs="Arial" w:eastAsia="Arial" w:hAnsi="Arial"/>
                <w:sz w:val="13"/>
                <w:szCs w:val="13"/>
                <w:b w:val="1"/>
                <w:bCs w:val="1"/>
                <w:color w:val="auto"/>
              </w:rPr>
              <w:t>2016</w:t>
            </w: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jc w:val="right"/>
              <w:ind w:right="480"/>
              <w:spacing w:after="0"/>
              <w:rPr>
                <w:sz w:val="20"/>
                <w:szCs w:val="20"/>
                <w:color w:val="auto"/>
              </w:rPr>
            </w:pPr>
            <w:r>
              <w:rPr>
                <w:rFonts w:ascii="Arial" w:cs="Arial" w:eastAsia="Arial" w:hAnsi="Arial"/>
                <w:sz w:val="13"/>
                <w:szCs w:val="13"/>
                <w:b w:val="1"/>
                <w:bCs w:val="1"/>
                <w:color w:val="auto"/>
              </w:rPr>
              <w:t>2015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Currency translation adjustments</w:t>
            </w:r>
          </w:p>
        </w:tc>
        <w:tc>
          <w:tcPr>
            <w:tcW w:w="152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bottom w:val="single" w:sz="8" w:color="auto"/>
            </w:tcBorders>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w:t>
            </w:r>
          </w:p>
        </w:tc>
        <w:tc>
          <w:tcPr>
            <w:tcW w:w="14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bottom w:val="single" w:sz="8" w:color="auto"/>
            </w:tcBorders>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(29)</w:t>
            </w:r>
          </w:p>
        </w:tc>
        <w:tc>
          <w:tcPr>
            <w:tcW w:w="26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bottom w:val="single" w:sz="8" w:color="auto"/>
            </w:tcBorders>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(35)</w:t>
            </w: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52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5280" w:type="dxa"/>
            <w:vAlign w:val="bottom"/>
            <w:shd w:val="clear" w:color="auto" w:fill="CFF0FC"/>
          </w:tcPr>
          <w:p>
            <w:pPr>
              <w:spacing w:after="0"/>
              <w:rPr>
                <w:sz w:val="20"/>
                <w:szCs w:val="20"/>
                <w:color w:val="auto"/>
              </w:rPr>
            </w:pPr>
            <w:r>
              <w:rPr>
                <w:rFonts w:ascii="Arial" w:cs="Arial" w:eastAsia="Arial" w:hAnsi="Arial"/>
                <w:sz w:val="16"/>
                <w:szCs w:val="16"/>
                <w:color w:val="auto"/>
              </w:rPr>
              <w:t>Reclassification adjustment for (gains) losses included in Other</w:t>
            </w:r>
          </w:p>
        </w:tc>
        <w:tc>
          <w:tcPr>
            <w:tcW w:w="15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280" w:type="dxa"/>
            <w:vAlign w:val="bottom"/>
            <w:shd w:val="clear" w:color="auto" w:fill="CFF0FC"/>
          </w:tcPr>
          <w:p>
            <w:pPr>
              <w:ind w:left="100"/>
              <w:spacing w:after="0"/>
              <w:rPr>
                <w:sz w:val="20"/>
                <w:szCs w:val="20"/>
                <w:color w:val="auto"/>
              </w:rPr>
            </w:pPr>
            <w:r>
              <w:rPr>
                <w:rFonts w:ascii="Arial" w:cs="Arial" w:eastAsia="Arial" w:hAnsi="Arial"/>
                <w:sz w:val="16"/>
                <w:szCs w:val="16"/>
                <w:color w:val="auto"/>
              </w:rPr>
              <w:t>charges, net, before tax</w:t>
            </w:r>
          </w:p>
        </w:tc>
        <w:tc>
          <w:tcPr>
            <w:tcW w:w="15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(2)</w:t>
            </w: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280" w:type="dxa"/>
            <w:vAlign w:val="bottom"/>
          </w:tcPr>
          <w:p>
            <w:pPr>
              <w:spacing w:after="0" w:line="173" w:lineRule="exact"/>
              <w:rPr>
                <w:sz w:val="20"/>
                <w:szCs w:val="20"/>
                <w:color w:val="auto"/>
              </w:rPr>
            </w:pPr>
            <w:r>
              <w:rPr>
                <w:rFonts w:ascii="Arial" w:cs="Arial" w:eastAsia="Arial" w:hAnsi="Arial"/>
                <w:sz w:val="16"/>
                <w:szCs w:val="16"/>
                <w:color w:val="auto"/>
              </w:rPr>
              <w:t>Reclassification adjustment for (gains) losses included in Other</w:t>
            </w:r>
          </w:p>
        </w:tc>
        <w:tc>
          <w:tcPr>
            <w:tcW w:w="152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280" w:type="dxa"/>
            <w:vAlign w:val="bottom"/>
          </w:tcPr>
          <w:p>
            <w:pPr>
              <w:ind w:left="100"/>
              <w:spacing w:after="0"/>
              <w:rPr>
                <w:sz w:val="20"/>
                <w:szCs w:val="20"/>
                <w:color w:val="auto"/>
              </w:rPr>
            </w:pPr>
            <w:r>
              <w:rPr>
                <w:rFonts w:ascii="Arial" w:cs="Arial" w:eastAsia="Arial" w:hAnsi="Arial"/>
                <w:sz w:val="16"/>
                <w:szCs w:val="16"/>
                <w:color w:val="auto"/>
              </w:rPr>
              <w:t>charges, net, net of tax</w:t>
            </w:r>
          </w:p>
        </w:tc>
        <w:tc>
          <w:tcPr>
            <w:tcW w:w="1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(2)</w:t>
            </w: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5280" w:type="dxa"/>
            <w:vAlign w:val="bottom"/>
            <w:tcBorders>
              <w:top w:val="single" w:sz="8" w:color="CFF0FC"/>
            </w:tcBorders>
            <w:shd w:val="clear" w:color="auto" w:fill="CFF0FC"/>
          </w:tcPr>
          <w:p>
            <w:pPr>
              <w:spacing w:after="0"/>
              <w:rPr>
                <w:sz w:val="17"/>
                <w:szCs w:val="17"/>
                <w:color w:val="auto"/>
              </w:rPr>
            </w:pPr>
          </w:p>
        </w:tc>
        <w:tc>
          <w:tcPr>
            <w:tcW w:w="152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5280" w:type="dxa"/>
            <w:vAlign w:val="bottom"/>
          </w:tcPr>
          <w:p>
            <w:pPr>
              <w:spacing w:after="0"/>
              <w:rPr>
                <w:sz w:val="20"/>
                <w:szCs w:val="20"/>
                <w:color w:val="auto"/>
              </w:rPr>
            </w:pPr>
            <w:r>
              <w:rPr>
                <w:rFonts w:ascii="Arial" w:cs="Arial" w:eastAsia="Arial" w:hAnsi="Arial"/>
                <w:sz w:val="16"/>
                <w:szCs w:val="16"/>
                <w:b w:val="1"/>
                <w:bCs w:val="1"/>
                <w:color w:val="auto"/>
              </w:rPr>
              <w:t>Pension and other postretirement benefit plan</w:t>
            </w:r>
          </w:p>
        </w:tc>
        <w:tc>
          <w:tcPr>
            <w:tcW w:w="1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tcPr>
          <w:p>
            <w:pPr>
              <w:ind w:left="100"/>
              <w:spacing w:after="0"/>
              <w:rPr>
                <w:sz w:val="20"/>
                <w:szCs w:val="20"/>
                <w:color w:val="auto"/>
              </w:rPr>
            </w:pPr>
            <w:r>
              <w:rPr>
                <w:rFonts w:ascii="Arial" w:cs="Arial" w:eastAsia="Arial" w:hAnsi="Arial"/>
                <w:sz w:val="16"/>
                <w:szCs w:val="16"/>
                <w:b w:val="1"/>
                <w:bCs w:val="1"/>
                <w:color w:val="auto"/>
              </w:rPr>
              <w:t>changes</w:t>
            </w:r>
          </w:p>
        </w:tc>
        <w:tc>
          <w:tcPr>
            <w:tcW w:w="1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2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Newly established prior service credit</w:t>
            </w:r>
          </w:p>
        </w:tc>
        <w:tc>
          <w:tcPr>
            <w:tcW w:w="15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280" w:type="dxa"/>
            <w:vAlign w:val="bottom"/>
          </w:tcPr>
          <w:p>
            <w:pPr>
              <w:ind w:left="200"/>
              <w:spacing w:after="0"/>
              <w:rPr>
                <w:sz w:val="20"/>
                <w:szCs w:val="20"/>
                <w:color w:val="auto"/>
              </w:rPr>
            </w:pPr>
            <w:r>
              <w:rPr>
                <w:rFonts w:ascii="Arial" w:cs="Arial" w:eastAsia="Arial" w:hAnsi="Arial"/>
                <w:sz w:val="16"/>
                <w:szCs w:val="16"/>
                <w:color w:val="auto"/>
              </w:rPr>
              <w:t>Newly established net actuarial gain (loss)</w:t>
            </w:r>
          </w:p>
        </w:tc>
        <w:tc>
          <w:tcPr>
            <w:tcW w:w="1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35</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(148)</w:t>
            </w:r>
          </w:p>
        </w:tc>
        <w:tc>
          <w:tcPr>
            <w:tcW w:w="300" w:type="dxa"/>
            <w:vAlign w:val="bottom"/>
          </w:tcPr>
          <w:p>
            <w:pPr>
              <w:spacing w:after="0"/>
              <w:rPr>
                <w:sz w:val="17"/>
                <w:szCs w:val="17"/>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6"/>
                <w:szCs w:val="16"/>
                <w:color w:val="auto"/>
              </w:rPr>
              <w:t>(88)</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2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Tax benefit (provision)</w:t>
            </w:r>
          </w:p>
        </w:tc>
        <w:tc>
          <w:tcPr>
            <w:tcW w:w="15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280" w:type="dxa"/>
            <w:vAlign w:val="bottom"/>
          </w:tcPr>
          <w:p>
            <w:pPr>
              <w:ind w:left="200"/>
              <w:spacing w:after="0"/>
              <w:rPr>
                <w:sz w:val="20"/>
                <w:szCs w:val="20"/>
                <w:color w:val="auto"/>
              </w:rPr>
            </w:pPr>
            <w:r>
              <w:rPr>
                <w:rFonts w:ascii="Arial" w:cs="Arial" w:eastAsia="Arial" w:hAnsi="Arial"/>
                <w:sz w:val="16"/>
                <w:szCs w:val="16"/>
                <w:color w:val="auto"/>
              </w:rPr>
              <w:t>Newly established prior service credit and net</w:t>
            </w:r>
          </w:p>
        </w:tc>
        <w:tc>
          <w:tcPr>
            <w:tcW w:w="152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280" w:type="dxa"/>
            <w:vAlign w:val="bottom"/>
          </w:tcPr>
          <w:p>
            <w:pPr>
              <w:ind w:left="320"/>
              <w:spacing w:after="0"/>
              <w:rPr>
                <w:sz w:val="20"/>
                <w:szCs w:val="20"/>
                <w:color w:val="auto"/>
              </w:rPr>
            </w:pPr>
            <w:r>
              <w:rPr>
                <w:rFonts w:ascii="Arial" w:cs="Arial" w:eastAsia="Arial" w:hAnsi="Arial"/>
                <w:sz w:val="16"/>
                <w:szCs w:val="16"/>
                <w:color w:val="auto"/>
              </w:rPr>
              <w:t>actuarial loss, net of tax</w:t>
            </w:r>
          </w:p>
        </w:tc>
        <w:tc>
          <w:tcPr>
            <w:tcW w:w="1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46</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(134)</w:t>
            </w:r>
          </w:p>
        </w:tc>
        <w:tc>
          <w:tcPr>
            <w:tcW w:w="300" w:type="dxa"/>
            <w:vAlign w:val="bottom"/>
          </w:tcPr>
          <w:p>
            <w:pPr>
              <w:spacing w:after="0"/>
              <w:rPr>
                <w:sz w:val="17"/>
                <w:szCs w:val="17"/>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280" w:type="dxa"/>
            <w:vAlign w:val="bottom"/>
            <w:tcBorders>
              <w:top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Reclassification adjustments:</w:t>
            </w:r>
          </w:p>
        </w:tc>
        <w:tc>
          <w:tcPr>
            <w:tcW w:w="152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280" w:type="dxa"/>
            <w:vAlign w:val="bottom"/>
          </w:tcPr>
          <w:p>
            <w:pPr>
              <w:ind w:left="420"/>
              <w:spacing w:after="0"/>
              <w:rPr>
                <w:sz w:val="20"/>
                <w:szCs w:val="20"/>
                <w:color w:val="auto"/>
              </w:rPr>
            </w:pPr>
            <w:r>
              <w:rPr>
                <w:rFonts w:ascii="Arial" w:cs="Arial" w:eastAsia="Arial" w:hAnsi="Arial"/>
                <w:sz w:val="16"/>
                <w:szCs w:val="16"/>
                <w:color w:val="auto"/>
              </w:rPr>
              <w:t>Amortization of prior service credit</w:t>
            </w:r>
          </w:p>
        </w:tc>
        <w:tc>
          <w:tcPr>
            <w:tcW w:w="1820" w:type="dxa"/>
            <w:vAlign w:val="bottom"/>
            <w:gridSpan w:val="2"/>
          </w:tcPr>
          <w:p>
            <w:pPr>
              <w:ind w:left="1220"/>
              <w:spacing w:after="0"/>
              <w:rPr>
                <w:sz w:val="20"/>
                <w:szCs w:val="20"/>
                <w:color w:val="auto"/>
              </w:rPr>
            </w:pPr>
            <w:r>
              <w:rPr>
                <w:rFonts w:ascii="Arial" w:cs="Arial" w:eastAsia="Arial" w:hAnsi="Arial"/>
                <w:sz w:val="14"/>
                <w:szCs w:val="14"/>
                <w:color w:val="auto"/>
              </w:rPr>
              <w:t>(a)</w:t>
            </w:r>
          </w:p>
        </w:tc>
        <w:tc>
          <w:tcPr>
            <w:tcW w:w="1160" w:type="dxa"/>
            <w:vAlign w:val="bottom"/>
            <w:gridSpan w:val="2"/>
          </w:tcPr>
          <w:p>
            <w:pPr>
              <w:jc w:val="right"/>
              <w:ind w:right="80"/>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(7)</w:t>
            </w:r>
          </w:p>
        </w:tc>
        <w:tc>
          <w:tcPr>
            <w:tcW w:w="300" w:type="dxa"/>
            <w:vAlign w:val="bottom"/>
          </w:tcPr>
          <w:p>
            <w:pPr>
              <w:spacing w:after="0"/>
              <w:rPr>
                <w:sz w:val="17"/>
                <w:szCs w:val="17"/>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280" w:type="dxa"/>
            <w:vAlign w:val="bottom"/>
            <w:shd w:val="clear" w:color="auto" w:fill="CFF0FC"/>
          </w:tcPr>
          <w:p>
            <w:pPr>
              <w:ind w:left="420"/>
              <w:spacing w:after="0"/>
              <w:rPr>
                <w:sz w:val="20"/>
                <w:szCs w:val="20"/>
                <w:color w:val="auto"/>
              </w:rPr>
            </w:pPr>
            <w:r>
              <w:rPr>
                <w:rFonts w:ascii="Arial" w:cs="Arial" w:eastAsia="Arial" w:hAnsi="Arial"/>
                <w:sz w:val="16"/>
                <w:szCs w:val="16"/>
                <w:color w:val="auto"/>
              </w:rPr>
              <w:t>Amortization of actuarial (gains) losses</w:t>
            </w:r>
          </w:p>
        </w:tc>
        <w:tc>
          <w:tcPr>
            <w:tcW w:w="1820" w:type="dxa"/>
            <w:vAlign w:val="bottom"/>
            <w:gridSpan w:val="2"/>
            <w:shd w:val="clear" w:color="auto" w:fill="CFF0FC"/>
          </w:tcPr>
          <w:p>
            <w:pPr>
              <w:ind w:left="1220"/>
              <w:spacing w:after="0"/>
              <w:rPr>
                <w:sz w:val="20"/>
                <w:szCs w:val="20"/>
                <w:color w:val="auto"/>
              </w:rPr>
            </w:pPr>
            <w:r>
              <w:rPr>
                <w:rFonts w:ascii="Arial" w:cs="Arial" w:eastAsia="Arial" w:hAnsi="Arial"/>
                <w:sz w:val="14"/>
                <w:szCs w:val="14"/>
                <w:color w:val="auto"/>
              </w:rPr>
              <w:t>(a)</w:t>
            </w: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(3)</w:t>
            </w: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280" w:type="dxa"/>
            <w:vAlign w:val="bottom"/>
          </w:tcPr>
          <w:p>
            <w:pPr>
              <w:ind w:left="420"/>
              <w:spacing w:after="0"/>
              <w:rPr>
                <w:sz w:val="20"/>
                <w:szCs w:val="20"/>
                <w:color w:val="auto"/>
              </w:rPr>
            </w:pPr>
            <w:r>
              <w:rPr>
                <w:rFonts w:ascii="Arial" w:cs="Arial" w:eastAsia="Arial" w:hAnsi="Arial"/>
                <w:sz w:val="16"/>
                <w:szCs w:val="16"/>
                <w:color w:val="auto"/>
              </w:rPr>
              <w:t>Recognition of (gains) losses due to</w:t>
            </w:r>
          </w:p>
        </w:tc>
        <w:tc>
          <w:tcPr>
            <w:tcW w:w="1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280" w:type="dxa"/>
            <w:vAlign w:val="bottom"/>
          </w:tcPr>
          <w:p>
            <w:pPr>
              <w:ind w:left="540"/>
              <w:spacing w:after="0"/>
              <w:rPr>
                <w:sz w:val="20"/>
                <w:szCs w:val="20"/>
                <w:color w:val="auto"/>
              </w:rPr>
            </w:pPr>
            <w:r>
              <w:rPr>
                <w:rFonts w:ascii="Arial" w:cs="Arial" w:eastAsia="Arial" w:hAnsi="Arial"/>
                <w:sz w:val="16"/>
                <w:szCs w:val="16"/>
                <w:color w:val="auto"/>
              </w:rPr>
              <w:t>settlements and curtailments</w:t>
            </w:r>
          </w:p>
        </w:tc>
        <w:tc>
          <w:tcPr>
            <w:tcW w:w="1520" w:type="dxa"/>
            <w:vAlign w:val="bottom"/>
          </w:tcPr>
          <w:p>
            <w:pPr>
              <w:ind w:left="1220"/>
              <w:spacing w:after="0"/>
              <w:rPr>
                <w:sz w:val="20"/>
                <w:szCs w:val="20"/>
                <w:color w:val="auto"/>
              </w:rPr>
            </w:pPr>
            <w:r>
              <w:rPr>
                <w:rFonts w:ascii="Arial" w:cs="Arial" w:eastAsia="Arial" w:hAnsi="Arial"/>
                <w:sz w:val="14"/>
                <w:szCs w:val="14"/>
                <w:color w:val="auto"/>
              </w:rPr>
              <w:t>(a)</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(1)</w:t>
            </w: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vMerge w:val="restart"/>
            <w:shd w:val="clear" w:color="auto" w:fill="CFF0FC"/>
          </w:tcPr>
          <w:p>
            <w:pPr>
              <w:ind w:left="200"/>
              <w:spacing w:after="0"/>
              <w:rPr>
                <w:sz w:val="20"/>
                <w:szCs w:val="20"/>
                <w:color w:val="auto"/>
              </w:rPr>
            </w:pPr>
            <w:r>
              <w:rPr>
                <w:rFonts w:ascii="Arial" w:cs="Arial" w:eastAsia="Arial" w:hAnsi="Arial"/>
                <w:sz w:val="16"/>
                <w:szCs w:val="16"/>
                <w:color w:val="auto"/>
              </w:rPr>
              <w:t>Total reclassification adjustments</w:t>
            </w:r>
          </w:p>
        </w:tc>
        <w:tc>
          <w:tcPr>
            <w:tcW w:w="15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5280" w:type="dxa"/>
            <w:vAlign w:val="bottom"/>
            <w:vMerge w:val="continue"/>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w:t>
            </w:r>
          </w:p>
        </w:tc>
        <w:tc>
          <w:tcPr>
            <w:tcW w:w="140" w:type="dxa"/>
            <w:vAlign w:val="bottom"/>
            <w:vMerge w:val="continue"/>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(7)</w:t>
            </w:r>
          </w:p>
        </w:tc>
        <w:tc>
          <w:tcPr>
            <w:tcW w:w="30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280" w:type="dxa"/>
            <w:vAlign w:val="bottom"/>
            <w:tcBorders>
              <w:bottom w:val="single" w:sz="8" w:color="CFF0FC"/>
            </w:tcBorders>
          </w:tcPr>
          <w:p>
            <w:pPr>
              <w:ind w:left="200"/>
              <w:spacing w:after="0"/>
              <w:rPr>
                <w:sz w:val="20"/>
                <w:szCs w:val="20"/>
                <w:color w:val="auto"/>
              </w:rPr>
            </w:pPr>
            <w:r>
              <w:rPr>
                <w:rFonts w:ascii="Arial" w:cs="Arial" w:eastAsia="Arial" w:hAnsi="Arial"/>
                <w:sz w:val="16"/>
                <w:szCs w:val="16"/>
                <w:color w:val="auto"/>
              </w:rPr>
              <w:t>Tax provision</w:t>
            </w:r>
          </w:p>
        </w:tc>
        <w:tc>
          <w:tcPr>
            <w:tcW w:w="152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4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26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2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Reclassification adjustments, net of tax</w:t>
            </w:r>
          </w:p>
        </w:tc>
        <w:tc>
          <w:tcPr>
            <w:tcW w:w="15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(6)</w:t>
            </w:r>
          </w:p>
        </w:tc>
        <w:tc>
          <w:tcPr>
            <w:tcW w:w="30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185"/>
        </w:trPr>
        <w:tc>
          <w:tcPr>
            <w:tcW w:w="5300" w:type="dxa"/>
            <w:vAlign w:val="bottom"/>
            <w:gridSpan w:val="2"/>
          </w:tcPr>
          <w:p>
            <w:pPr>
              <w:spacing w:after="0"/>
              <w:rPr>
                <w:sz w:val="20"/>
                <w:szCs w:val="20"/>
                <w:color w:val="auto"/>
              </w:rPr>
            </w:pPr>
            <w:r>
              <w:rPr>
                <w:rFonts w:ascii="Arial" w:cs="Arial" w:eastAsia="Arial" w:hAnsi="Arial"/>
                <w:sz w:val="16"/>
                <w:szCs w:val="16"/>
                <w:color w:val="auto"/>
              </w:rPr>
              <w:t>Pension and other postretirement benefit plan changes,</w:t>
            </w:r>
          </w:p>
        </w:tc>
        <w:tc>
          <w:tcPr>
            <w:tcW w:w="152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280" w:type="dxa"/>
            <w:vAlign w:val="bottom"/>
          </w:tcPr>
          <w:p>
            <w:pPr>
              <w:ind w:left="100"/>
              <w:spacing w:after="0"/>
              <w:rPr>
                <w:sz w:val="20"/>
                <w:szCs w:val="20"/>
                <w:color w:val="auto"/>
              </w:rPr>
            </w:pPr>
            <w:r>
              <w:rPr>
                <w:rFonts w:ascii="Arial" w:cs="Arial" w:eastAsia="Arial" w:hAnsi="Arial"/>
                <w:sz w:val="16"/>
                <w:szCs w:val="16"/>
                <w:color w:val="auto"/>
              </w:rPr>
              <w:t>net of tax</w:t>
            </w:r>
          </w:p>
        </w:tc>
        <w:tc>
          <w:tcPr>
            <w:tcW w:w="1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36</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(140)</w:t>
            </w:r>
          </w:p>
        </w:tc>
        <w:tc>
          <w:tcPr>
            <w:tcW w:w="300" w:type="dxa"/>
            <w:vAlign w:val="bottom"/>
          </w:tcPr>
          <w:p>
            <w:pPr>
              <w:spacing w:after="0"/>
              <w:rPr>
                <w:sz w:val="17"/>
                <w:szCs w:val="17"/>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2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Other comprehensive income (loss)</w:t>
            </w:r>
          </w:p>
        </w:tc>
        <w:tc>
          <w:tcPr>
            <w:tcW w:w="1520" w:type="dxa"/>
            <w:vAlign w:val="bottom"/>
            <w:tcBorders>
              <w:top w:val="single" w:sz="8" w:color="CFF0FC"/>
              <w:bottom w:val="single" w:sz="8" w:color="CFF0FC"/>
            </w:tcBorders>
            <w:shd w:val="clear" w:color="auto" w:fill="CFF0FC"/>
          </w:tcPr>
          <w:p>
            <w:pPr>
              <w:spacing w:after="0"/>
              <w:rPr>
                <w:sz w:val="17"/>
                <w:szCs w:val="17"/>
                <w:color w:val="auto"/>
              </w:rPr>
            </w:pPr>
          </w:p>
        </w:tc>
        <w:tc>
          <w:tcPr>
            <w:tcW w:w="300" w:type="dxa"/>
            <w:vAlign w:val="bottom"/>
            <w:tcBorders>
              <w:top w:val="single" w:sz="8" w:color="auto"/>
              <w:bottom w:val="single" w:sz="8" w:color="auto"/>
            </w:tcBorders>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47</w:t>
            </w:r>
          </w:p>
        </w:tc>
        <w:tc>
          <w:tcPr>
            <w:tcW w:w="14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300" w:type="dxa"/>
            <w:vAlign w:val="bottom"/>
            <w:tcBorders>
              <w:top w:val="single" w:sz="8" w:color="auto"/>
              <w:bottom w:val="single" w:sz="8" w:color="auto"/>
            </w:tcBorders>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(171)</w:t>
            </w:r>
          </w:p>
        </w:tc>
        <w:tc>
          <w:tcPr>
            <w:tcW w:w="260" w:type="dxa"/>
            <w:vAlign w:val="bottom"/>
            <w:tcBorders>
              <w:top w:val="single" w:sz="8" w:color="CFF0FC"/>
              <w:bottom w:val="single" w:sz="8" w:color="CFF0FC"/>
            </w:tcBorders>
            <w:shd w:val="clear" w:color="auto" w:fill="CFF0FC"/>
          </w:tcPr>
          <w:p>
            <w:pPr>
              <w:spacing w:after="0"/>
              <w:rPr>
                <w:sz w:val="17"/>
                <w:szCs w:val="17"/>
                <w:color w:val="auto"/>
              </w:rPr>
            </w:pPr>
          </w:p>
        </w:tc>
        <w:tc>
          <w:tcPr>
            <w:tcW w:w="300" w:type="dxa"/>
            <w:vAlign w:val="bottom"/>
            <w:tcBorders>
              <w:top w:val="single" w:sz="8" w:color="auto"/>
              <w:bottom w:val="single" w:sz="8" w:color="auto"/>
            </w:tcBorders>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(131)</w:t>
            </w: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ind w:left="383" w:hanging="383"/>
        <w:spacing w:after="0"/>
        <w:tabs>
          <w:tab w:leader="none" w:pos="383" w:val="left"/>
        </w:tabs>
        <w:numPr>
          <w:ilvl w:val="0"/>
          <w:numId w:val="39"/>
        </w:numPr>
        <w:rPr>
          <w:rFonts w:ascii="Arial" w:cs="Arial" w:eastAsia="Arial" w:hAnsi="Arial"/>
          <w:sz w:val="14"/>
          <w:szCs w:val="14"/>
          <w:color w:val="auto"/>
        </w:rPr>
      </w:pPr>
      <w:r>
        <w:rPr>
          <w:rFonts w:ascii="Arial" w:cs="Arial" w:eastAsia="Arial" w:hAnsi="Arial"/>
          <w:sz w:val="16"/>
          <w:szCs w:val="16"/>
          <w:color w:val="auto"/>
        </w:rPr>
        <w:t>Reclassified to Pension (income) expense - refer to Note 17, "Retirement Plans" and Note 18, "Other Postretirement Benefits" for additional information.</w:t>
      </w:r>
    </w:p>
    <w:p>
      <w:pPr>
        <w:spacing w:after="0" w:line="200" w:lineRule="exact"/>
        <w:rPr>
          <w:rFonts w:ascii="Arial" w:cs="Arial" w:eastAsia="Arial" w:hAnsi="Arial"/>
          <w:sz w:val="14"/>
          <w:szCs w:val="14"/>
          <w:color w:val="auto"/>
        </w:rPr>
      </w:pPr>
    </w:p>
    <w:p>
      <w:pPr>
        <w:spacing w:after="0" w:line="365" w:lineRule="exact"/>
        <w:rPr>
          <w:rFonts w:ascii="Arial" w:cs="Arial" w:eastAsia="Arial" w:hAnsi="Arial"/>
          <w:sz w:val="14"/>
          <w:szCs w:val="14"/>
          <w:color w:val="auto"/>
        </w:rPr>
      </w:pPr>
    </w:p>
    <w:p>
      <w:pPr>
        <w:ind w:left="5643"/>
        <w:spacing w:after="0"/>
        <w:rPr>
          <w:rFonts w:ascii="Arial" w:cs="Arial" w:eastAsia="Arial" w:hAnsi="Arial"/>
          <w:sz w:val="14"/>
          <w:szCs w:val="14"/>
          <w:color w:val="auto"/>
        </w:rPr>
      </w:pPr>
      <w:r>
        <w:rPr>
          <w:rFonts w:ascii="Arial" w:cs="Arial" w:eastAsia="Arial" w:hAnsi="Arial"/>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62865</wp:posOffset>
            </wp:positionV>
            <wp:extent cx="7301865" cy="406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301865" cy="40640"/>
                    </a:xfrm>
                    <a:prstGeom prst="rect">
                      <a:avLst/>
                    </a:prstGeom>
                    <a:noFill/>
                  </pic:spPr>
                </pic:pic>
              </a:graphicData>
            </a:graphic>
          </wp:anchor>
        </w:drawing>
      </w:r>
    </w:p>
    <w:p>
      <w:pPr>
        <w:sectPr>
          <w:pgSz w:w="11900" w:h="16838" w:orient="portrait"/>
          <w:cols w:equalWidth="0" w:num="1">
            <w:col w:w="11443"/>
          </w:cols>
          <w:pgMar w:left="237" w:top="224" w:right="219" w:bottom="1440" w:gutter="0" w:footer="0" w:header="0"/>
        </w:sectPr>
      </w:pPr>
    </w:p>
    <w:bookmarkStart w:id="96" w:name="page97"/>
    <w:bookmarkEnd w:id="96"/>
    <w:p>
      <w:pPr>
        <w:spacing w:after="0"/>
        <w:rPr>
          <w:sz w:val="20"/>
          <w:szCs w:val="20"/>
          <w:color w:val="auto"/>
        </w:rPr>
      </w:pPr>
      <w:r>
        <w:rPr>
          <w:rFonts w:ascii="Arial" w:cs="Arial" w:eastAsia="Arial" w:hAnsi="Arial"/>
          <w:sz w:val="16"/>
          <w:szCs w:val="16"/>
          <w:b w:val="1"/>
          <w:bCs w:val="1"/>
          <w:color w:val="auto"/>
        </w:rPr>
        <w:t>NOTE 23: ACCUMULATED OTHER COMPREHENSIVE LOSS</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Accumulated other comprehensive loss is composed of the following:</w:t>
      </w:r>
    </w:p>
    <w:p>
      <w:pPr>
        <w:spacing w:after="0" w:line="288"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5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80" w:type="dxa"/>
            <w:vAlign w:val="bottom"/>
            <w:gridSpan w:val="5"/>
          </w:tcPr>
          <w:p>
            <w:pPr>
              <w:jc w:val="right"/>
              <w:ind w:right="780"/>
              <w:spacing w:after="0"/>
              <w:rPr>
                <w:sz w:val="20"/>
                <w:szCs w:val="20"/>
                <w:color w:val="auto"/>
              </w:rPr>
            </w:pPr>
            <w:r>
              <w:rPr>
                <w:rFonts w:ascii="Arial" w:cs="Arial" w:eastAsia="Arial" w:hAnsi="Arial"/>
                <w:sz w:val="13"/>
                <w:szCs w:val="13"/>
                <w:b w:val="1"/>
                <w:bCs w:val="1"/>
                <w:color w:val="auto"/>
              </w:rPr>
              <w:t>As of December 31,</w:t>
            </w:r>
          </w:p>
        </w:tc>
      </w:tr>
      <w:tr>
        <w:trPr>
          <w:trHeight w:val="153"/>
        </w:trPr>
        <w:tc>
          <w:tcPr>
            <w:tcW w:w="5460" w:type="dxa"/>
            <w:vAlign w:val="bottom"/>
            <w:tcBorders>
              <w:bottom w:val="single" w:sz="8" w:color="CFF0FC"/>
            </w:tcBorders>
          </w:tcPr>
          <w:p>
            <w:pPr>
              <w:spacing w:after="0"/>
              <w:rPr>
                <w:sz w:val="20"/>
                <w:szCs w:val="20"/>
                <w:color w:val="auto"/>
              </w:rPr>
            </w:pPr>
            <w:r>
              <w:rPr>
                <w:rFonts w:ascii="Arial" w:cs="Arial" w:eastAsia="Arial" w:hAnsi="Arial"/>
                <w:sz w:val="13"/>
                <w:szCs w:val="13"/>
                <w:color w:val="auto"/>
              </w:rPr>
              <w:t>(in millions)</w:t>
            </w: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66"/>
              <w:spacing w:after="0"/>
              <w:rPr>
                <w:sz w:val="20"/>
                <w:szCs w:val="20"/>
                <w:color w:val="auto"/>
              </w:rPr>
            </w:pPr>
            <w:r>
              <w:rPr>
                <w:rFonts w:ascii="Arial" w:cs="Arial" w:eastAsia="Arial" w:hAnsi="Arial"/>
                <w:sz w:val="13"/>
                <w:szCs w:val="13"/>
                <w:b w:val="1"/>
                <w:bCs w:val="1"/>
                <w:color w:val="auto"/>
              </w:rPr>
              <w:t>2017</w:t>
            </w:r>
          </w:p>
        </w:tc>
        <w:tc>
          <w:tcPr>
            <w:tcW w:w="18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63"/>
              <w:spacing w:after="0"/>
              <w:rPr>
                <w:sz w:val="20"/>
                <w:szCs w:val="20"/>
                <w:color w:val="auto"/>
              </w:rPr>
            </w:pPr>
            <w:r>
              <w:rPr>
                <w:rFonts w:ascii="Arial" w:cs="Arial" w:eastAsia="Arial" w:hAnsi="Arial"/>
                <w:sz w:val="13"/>
                <w:szCs w:val="13"/>
                <w:b w:val="1"/>
                <w:bCs w:val="1"/>
                <w:color w:val="auto"/>
              </w:rPr>
              <w:t>2016</w:t>
            </w:r>
          </w:p>
        </w:tc>
        <w:tc>
          <w:tcPr>
            <w:tcW w:w="80" w:type="dxa"/>
            <w:vAlign w:val="bottom"/>
            <w:tcBorders>
              <w:bottom w:val="single" w:sz="8" w:color="CFF0FC"/>
            </w:tcBorders>
          </w:tcPr>
          <w:p>
            <w:pPr>
              <w:spacing w:after="0"/>
              <w:rPr>
                <w:sz w:val="13"/>
                <w:szCs w:val="13"/>
                <w:color w:val="auto"/>
              </w:rPr>
            </w:pPr>
          </w:p>
        </w:tc>
      </w:tr>
      <w:tr>
        <w:trPr>
          <w:trHeight w:val="198"/>
        </w:trPr>
        <w:tc>
          <w:tcPr>
            <w:tcW w:w="5460" w:type="dxa"/>
            <w:vAlign w:val="bottom"/>
            <w:shd w:val="clear" w:color="auto" w:fill="CFF0FC"/>
          </w:tcPr>
          <w:p>
            <w:pPr>
              <w:spacing w:after="0"/>
              <w:rPr>
                <w:sz w:val="20"/>
                <w:szCs w:val="20"/>
                <w:color w:val="auto"/>
              </w:rPr>
            </w:pPr>
            <w:r>
              <w:rPr>
                <w:rFonts w:ascii="Arial" w:cs="Arial" w:eastAsia="Arial" w:hAnsi="Arial"/>
                <w:sz w:val="16"/>
                <w:szCs w:val="16"/>
                <w:color w:val="auto"/>
              </w:rPr>
              <w:t>Currency translation adjustments</w:t>
            </w:r>
          </w:p>
        </w:tc>
        <w:tc>
          <w:tcPr>
            <w:tcW w:w="260" w:type="dxa"/>
            <w:vAlign w:val="bottom"/>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w:t>
            </w:r>
          </w:p>
        </w:tc>
        <w:tc>
          <w:tcPr>
            <w:tcW w:w="18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(96)</w:t>
            </w:r>
          </w:p>
        </w:tc>
        <w:tc>
          <w:tcPr>
            <w:tcW w:w="80" w:type="dxa"/>
            <w:vAlign w:val="bottom"/>
            <w:shd w:val="clear" w:color="auto" w:fill="CFF0FC"/>
          </w:tcPr>
          <w:p>
            <w:pPr>
              <w:spacing w:after="0"/>
              <w:rPr>
                <w:sz w:val="17"/>
                <w:szCs w:val="17"/>
                <w:color w:val="auto"/>
              </w:rPr>
            </w:pPr>
          </w:p>
        </w:tc>
      </w:tr>
      <w:tr>
        <w:trPr>
          <w:trHeight w:val="205"/>
        </w:trPr>
        <w:tc>
          <w:tcPr>
            <w:tcW w:w="5460" w:type="dxa"/>
            <w:vAlign w:val="bottom"/>
          </w:tcPr>
          <w:p>
            <w:pPr>
              <w:spacing w:after="0"/>
              <w:rPr>
                <w:sz w:val="20"/>
                <w:szCs w:val="20"/>
                <w:color w:val="auto"/>
              </w:rPr>
            </w:pPr>
            <w:r>
              <w:rPr>
                <w:rFonts w:ascii="Arial" w:cs="Arial" w:eastAsia="Arial" w:hAnsi="Arial"/>
                <w:sz w:val="16"/>
                <w:szCs w:val="16"/>
                <w:color w:val="auto"/>
              </w:rPr>
              <w:t>Pension and other postretirement benefit plan changes</w:t>
            </w:r>
          </w:p>
        </w:tc>
        <w:tc>
          <w:tcPr>
            <w:tcW w:w="26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(306)</w:t>
            </w:r>
          </w:p>
        </w:tc>
        <w:tc>
          <w:tcPr>
            <w:tcW w:w="260" w:type="dxa"/>
            <w:vAlign w:val="bottom"/>
          </w:tcPr>
          <w:p>
            <w:pPr>
              <w:spacing w:after="0"/>
              <w:rPr>
                <w:sz w:val="17"/>
                <w:szCs w:val="17"/>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6"/>
                <w:szCs w:val="16"/>
                <w:color w:val="auto"/>
              </w:rPr>
              <w:t>(342)</w:t>
            </w:r>
          </w:p>
        </w:tc>
      </w:tr>
      <w:tr>
        <w:trPr>
          <w:trHeight w:val="198"/>
        </w:trPr>
        <w:tc>
          <w:tcPr>
            <w:tcW w:w="54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Ending balance</w:t>
            </w:r>
          </w:p>
        </w:tc>
        <w:tc>
          <w:tcPr>
            <w:tcW w:w="260" w:type="dxa"/>
            <w:vAlign w:val="bottom"/>
            <w:tcBorders>
              <w:top w:val="single" w:sz="8" w:color="auto"/>
              <w:bottom w:val="single" w:sz="8" w:color="auto"/>
            </w:tcBorders>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(391)</w:t>
            </w:r>
          </w:p>
        </w:tc>
        <w:tc>
          <w:tcPr>
            <w:tcW w:w="180" w:type="dxa"/>
            <w:vAlign w:val="bottom"/>
            <w:tcBorders>
              <w:top w:val="single" w:sz="8" w:color="CFF0FC"/>
              <w:bottom w:val="single" w:sz="8" w:color="CFF0FC"/>
            </w:tcBorders>
            <w:shd w:val="clear" w:color="auto" w:fill="CFF0FC"/>
          </w:tcPr>
          <w:p>
            <w:pPr>
              <w:spacing w:after="0"/>
              <w:rPr>
                <w:sz w:val="17"/>
                <w:szCs w:val="17"/>
                <w:color w:val="auto"/>
              </w:rPr>
            </w:pPr>
          </w:p>
        </w:tc>
        <w:tc>
          <w:tcPr>
            <w:tcW w:w="260" w:type="dxa"/>
            <w:vAlign w:val="bottom"/>
            <w:tcBorders>
              <w:top w:val="single" w:sz="8" w:color="auto"/>
              <w:bottom w:val="single" w:sz="8" w:color="auto"/>
            </w:tcBorders>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(438)</w:t>
            </w: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r>
      <w:tr>
        <w:trPr>
          <w:trHeight w:val="20"/>
        </w:trPr>
        <w:tc>
          <w:tcPr>
            <w:tcW w:w="5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24: SEGMENT INFORMATION</w:t>
      </w:r>
    </w:p>
    <w:p>
      <w:pPr>
        <w:spacing w:after="0" w:line="26" w:lineRule="exact"/>
        <w:rPr>
          <w:sz w:val="20"/>
          <w:szCs w:val="20"/>
          <w:color w:val="auto"/>
        </w:rPr>
      </w:pPr>
    </w:p>
    <w:p>
      <w:pPr>
        <w:jc w:val="both"/>
        <w:ind w:right="40"/>
        <w:spacing w:after="0" w:line="258" w:lineRule="auto"/>
        <w:rPr>
          <w:sz w:val="20"/>
          <w:szCs w:val="20"/>
          <w:color w:val="auto"/>
        </w:rPr>
      </w:pPr>
      <w:r>
        <w:rPr>
          <w:rFonts w:ascii="Arial" w:cs="Arial" w:eastAsia="Arial" w:hAnsi="Arial"/>
          <w:sz w:val="16"/>
          <w:szCs w:val="16"/>
          <w:color w:val="auto"/>
        </w:rPr>
        <w:t>Effective January 1, 2017, Kodak changed its organizational structure. Micro 3D Printing, within the Micro 3D Printing and Packaging segment, was moved into the Intellectual Property Solutions segment, which has been renamed the Advanced Materials and 3D Printing Technology segment. The Flexographic Packaging business, formerly part of the Micro 3D Printing and Packaging segment, is now being reported as a dedicated segment.</w:t>
      </w:r>
    </w:p>
    <w:p>
      <w:pPr>
        <w:spacing w:after="0" w:line="168" w:lineRule="exact"/>
        <w:rPr>
          <w:sz w:val="20"/>
          <w:szCs w:val="20"/>
          <w:color w:val="auto"/>
        </w:rPr>
      </w:pPr>
    </w:p>
    <w:p>
      <w:pPr>
        <w:ind w:right="280"/>
        <w:spacing w:after="0" w:line="280" w:lineRule="auto"/>
        <w:rPr>
          <w:sz w:val="20"/>
          <w:szCs w:val="20"/>
          <w:color w:val="auto"/>
        </w:rPr>
      </w:pPr>
      <w:r>
        <w:rPr>
          <w:rFonts w:ascii="Arial" w:cs="Arial" w:eastAsia="Arial" w:hAnsi="Arial"/>
          <w:sz w:val="16"/>
          <w:szCs w:val="16"/>
          <w:color w:val="auto"/>
        </w:rPr>
        <w:t>Effective April 1, 2017, Kodak made another change to its organizational structure. Digital front-end controllers within the Prosper business in the Enterprise Inkjet Systems segment was moved to the Unified Workflow Solutions business within the Software and Solutions segment.</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Prior period segment results have been revised to conform to the current period segment reporting structure.</w:t>
      </w:r>
    </w:p>
    <w:p>
      <w:pPr>
        <w:spacing w:after="0" w:line="203" w:lineRule="exact"/>
        <w:rPr>
          <w:sz w:val="20"/>
          <w:szCs w:val="20"/>
          <w:color w:val="auto"/>
        </w:rPr>
      </w:pPr>
    </w:p>
    <w:p>
      <w:pPr>
        <w:spacing w:after="0" w:line="280" w:lineRule="auto"/>
        <w:rPr>
          <w:sz w:val="20"/>
          <w:szCs w:val="20"/>
          <w:color w:val="auto"/>
        </w:rPr>
      </w:pPr>
      <w:r>
        <w:rPr>
          <w:rFonts w:ascii="Arial" w:cs="Arial" w:eastAsia="Arial" w:hAnsi="Arial"/>
          <w:sz w:val="16"/>
          <w:szCs w:val="16"/>
          <w:color w:val="auto"/>
        </w:rPr>
        <w:t>Financial information is reported for seven reportable segments: Print Systems, Enterprise Inkjet Systems, Flexographic Packaging, Software and Solutions, Consumer and Film, Advanced Materials and 3D Printing Technology and Eastman Business Park. A description of the reportable segments follows.</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Print Systems</w:t>
      </w:r>
      <w:r>
        <w:rPr>
          <w:rFonts w:ascii="Arial" w:cs="Arial" w:eastAsia="Arial" w:hAnsi="Arial"/>
          <w:sz w:val="16"/>
          <w:szCs w:val="16"/>
          <w:color w:val="auto"/>
        </w:rPr>
        <w:t>: The Print Systems segment is comprised of two lines of business: Prepress Solutions and Electrophotographic Printing Solutions.</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Enterprise Inkjet Systems</w:t>
      </w:r>
      <w:r>
        <w:rPr>
          <w:rFonts w:ascii="Arial" w:cs="Arial" w:eastAsia="Arial" w:hAnsi="Arial"/>
          <w:sz w:val="16"/>
          <w:szCs w:val="16"/>
          <w:color w:val="auto"/>
        </w:rPr>
        <w:t>: The Enterprise Inkjet Systems segment is comprised of two lines of business: the Prosper business and the Versamark business.</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Flexographic Packaging</w:t>
      </w:r>
      <w:r>
        <w:rPr>
          <w:rFonts w:ascii="Arial" w:cs="Arial" w:eastAsia="Arial" w:hAnsi="Arial"/>
          <w:sz w:val="16"/>
          <w:szCs w:val="16"/>
          <w:color w:val="auto"/>
        </w:rPr>
        <w:t>: The Flexographic Packaging segment is comprised of the Packaging line of business.</w:t>
      </w:r>
    </w:p>
    <w:p>
      <w:pPr>
        <w:spacing w:after="0" w:line="20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Software and Solutions</w:t>
      </w:r>
      <w:r>
        <w:rPr>
          <w:rFonts w:ascii="Arial" w:cs="Arial" w:eastAsia="Arial" w:hAnsi="Arial"/>
          <w:sz w:val="15"/>
          <w:szCs w:val="15"/>
          <w:color w:val="auto"/>
        </w:rPr>
        <w:t>: The Software and Solutions segment is comprised of two lines of business: Unified Workflow Solutions and Kodak Technology Solutions.</w:t>
      </w:r>
    </w:p>
    <w:p>
      <w:pPr>
        <w:spacing w:after="0" w:line="214" w:lineRule="exact"/>
        <w:rPr>
          <w:sz w:val="20"/>
          <w:szCs w:val="20"/>
          <w:color w:val="auto"/>
        </w:rPr>
      </w:pPr>
    </w:p>
    <w:p>
      <w:pPr>
        <w:ind w:right="160"/>
        <w:spacing w:after="0" w:line="285" w:lineRule="auto"/>
        <w:rPr>
          <w:sz w:val="20"/>
          <w:szCs w:val="20"/>
          <w:color w:val="auto"/>
        </w:rPr>
      </w:pPr>
      <w:r>
        <w:rPr>
          <w:rFonts w:ascii="Arial" w:cs="Arial" w:eastAsia="Arial" w:hAnsi="Arial"/>
          <w:sz w:val="16"/>
          <w:szCs w:val="16"/>
          <w:b w:val="1"/>
          <w:bCs w:val="1"/>
          <w:color w:val="auto"/>
        </w:rPr>
        <w:t>Consumer and Film</w:t>
      </w:r>
      <w:r>
        <w:rPr>
          <w:rFonts w:ascii="Arial" w:cs="Arial" w:eastAsia="Arial" w:hAnsi="Arial"/>
          <w:sz w:val="16"/>
          <w:szCs w:val="16"/>
          <w:color w:val="auto"/>
        </w:rPr>
        <w:t>: The Consumer and Film segment is comprised of three lines of business: Industrial Film and Chemicals, Motion Picture and Consumer Products (which</w:t>
      </w:r>
      <w:r>
        <w:rPr>
          <w:rFonts w:ascii="Arial" w:cs="Arial" w:eastAsia="Arial" w:hAnsi="Arial"/>
          <w:sz w:val="16"/>
          <w:szCs w:val="16"/>
          <w:b w:val="1"/>
          <w:bCs w:val="1"/>
          <w:color w:val="auto"/>
        </w:rPr>
        <w:t xml:space="preserve"> </w:t>
      </w:r>
      <w:r>
        <w:rPr>
          <w:rFonts w:ascii="Arial" w:cs="Arial" w:eastAsia="Arial" w:hAnsi="Arial"/>
          <w:sz w:val="16"/>
          <w:szCs w:val="16"/>
          <w:color w:val="auto"/>
        </w:rPr>
        <w:t>includes Consumer Inkjet Solutions).</w:t>
      </w:r>
    </w:p>
    <w:p>
      <w:pPr>
        <w:spacing w:after="0" w:line="143" w:lineRule="exact"/>
        <w:rPr>
          <w:sz w:val="20"/>
          <w:szCs w:val="20"/>
          <w:color w:val="auto"/>
        </w:rPr>
      </w:pPr>
    </w:p>
    <w:p>
      <w:pPr>
        <w:ind w:right="200"/>
        <w:spacing w:after="0" w:line="285" w:lineRule="auto"/>
        <w:rPr>
          <w:sz w:val="20"/>
          <w:szCs w:val="20"/>
          <w:color w:val="auto"/>
        </w:rPr>
      </w:pPr>
      <w:r>
        <w:rPr>
          <w:rFonts w:ascii="Arial" w:cs="Arial" w:eastAsia="Arial" w:hAnsi="Arial"/>
          <w:sz w:val="16"/>
          <w:szCs w:val="16"/>
          <w:b w:val="1"/>
          <w:bCs w:val="1"/>
          <w:color w:val="auto"/>
        </w:rPr>
        <w:t>Advanced Materials and 3D Printing Technology</w:t>
      </w:r>
      <w:r>
        <w:rPr>
          <w:rFonts w:ascii="Arial" w:cs="Arial" w:eastAsia="Arial" w:hAnsi="Arial"/>
          <w:sz w:val="16"/>
          <w:szCs w:val="16"/>
          <w:color w:val="auto"/>
        </w:rPr>
        <w:t>: The Advanced Materials and 3D Printing Technology segment includes the Kodak Research Laboratories and associated</w:t>
      </w:r>
      <w:r>
        <w:rPr>
          <w:rFonts w:ascii="Arial" w:cs="Arial" w:eastAsia="Arial" w:hAnsi="Arial"/>
          <w:sz w:val="16"/>
          <w:szCs w:val="16"/>
          <w:b w:val="1"/>
          <w:bCs w:val="1"/>
          <w:color w:val="auto"/>
        </w:rPr>
        <w:t xml:space="preserve"> </w:t>
      </w:r>
      <w:r>
        <w:rPr>
          <w:rFonts w:ascii="Arial" w:cs="Arial" w:eastAsia="Arial" w:hAnsi="Arial"/>
          <w:sz w:val="16"/>
          <w:szCs w:val="16"/>
          <w:color w:val="auto"/>
        </w:rPr>
        <w:t>new business opportunities and intellectual property licensing not directly related to other business segments.</w:t>
      </w:r>
    </w:p>
    <w:p>
      <w:pPr>
        <w:spacing w:after="0" w:line="143" w:lineRule="exact"/>
        <w:rPr>
          <w:sz w:val="20"/>
          <w:szCs w:val="20"/>
          <w:color w:val="auto"/>
        </w:rPr>
      </w:pPr>
    </w:p>
    <w:p>
      <w:pPr>
        <w:ind w:right="200"/>
        <w:spacing w:after="0" w:line="285" w:lineRule="auto"/>
        <w:rPr>
          <w:sz w:val="20"/>
          <w:szCs w:val="20"/>
          <w:color w:val="auto"/>
        </w:rPr>
      </w:pPr>
      <w:r>
        <w:rPr>
          <w:rFonts w:ascii="Arial" w:cs="Arial" w:eastAsia="Arial" w:hAnsi="Arial"/>
          <w:sz w:val="16"/>
          <w:szCs w:val="16"/>
          <w:b w:val="1"/>
          <w:bCs w:val="1"/>
          <w:color w:val="auto"/>
        </w:rPr>
        <w:t>Eastman Business Park</w:t>
      </w:r>
      <w:r>
        <w:rPr>
          <w:rFonts w:ascii="Arial" w:cs="Arial" w:eastAsia="Arial" w:hAnsi="Arial"/>
          <w:sz w:val="16"/>
          <w:szCs w:val="16"/>
          <w:color w:val="auto"/>
        </w:rPr>
        <w:t>: The Eastman Business Park segment includes the operations of the Eastman Business Park, a more than 1,200 acre technology center and industrial</w:t>
      </w:r>
      <w:r>
        <w:rPr>
          <w:rFonts w:ascii="Arial" w:cs="Arial" w:eastAsia="Arial" w:hAnsi="Arial"/>
          <w:sz w:val="16"/>
          <w:szCs w:val="16"/>
          <w:b w:val="1"/>
          <w:bCs w:val="1"/>
          <w:color w:val="auto"/>
        </w:rPr>
        <w:t xml:space="preserve"> </w:t>
      </w:r>
      <w:r>
        <w:rPr>
          <w:rFonts w:ascii="Arial" w:cs="Arial" w:eastAsia="Arial" w:hAnsi="Arial"/>
          <w:sz w:val="16"/>
          <w:szCs w:val="16"/>
          <w:color w:val="auto"/>
        </w:rPr>
        <w:t>complex.</w:t>
      </w:r>
    </w:p>
    <w:p>
      <w:pPr>
        <w:spacing w:after="0" w:line="143" w:lineRule="exact"/>
        <w:rPr>
          <w:sz w:val="20"/>
          <w:szCs w:val="20"/>
          <w:color w:val="auto"/>
        </w:rPr>
      </w:pPr>
    </w:p>
    <w:p>
      <w:pPr>
        <w:ind w:right="300"/>
        <w:spacing w:after="0" w:line="285" w:lineRule="auto"/>
        <w:rPr>
          <w:sz w:val="20"/>
          <w:szCs w:val="20"/>
          <w:color w:val="auto"/>
        </w:rPr>
      </w:pPr>
      <w:r>
        <w:rPr>
          <w:rFonts w:ascii="Arial" w:cs="Arial" w:eastAsia="Arial" w:hAnsi="Arial"/>
          <w:sz w:val="16"/>
          <w:szCs w:val="16"/>
          <w:b w:val="1"/>
          <w:bCs w:val="1"/>
          <w:color w:val="auto"/>
        </w:rPr>
        <w:t>All Other</w:t>
      </w:r>
      <w:r>
        <w:rPr>
          <w:rFonts w:ascii="Arial" w:cs="Arial" w:eastAsia="Arial" w:hAnsi="Arial"/>
          <w:sz w:val="16"/>
          <w:szCs w:val="16"/>
          <w:color w:val="auto"/>
        </w:rPr>
        <w:t>: All Other was primarily composed of the RED utilities variable interest entity until deconsolidation in December 2016, (refer to Note 1 “Summary of Significant</w:t>
      </w:r>
      <w:r>
        <w:rPr>
          <w:rFonts w:ascii="Arial" w:cs="Arial" w:eastAsia="Arial" w:hAnsi="Arial"/>
          <w:sz w:val="16"/>
          <w:szCs w:val="16"/>
          <w:b w:val="1"/>
          <w:bCs w:val="1"/>
          <w:color w:val="auto"/>
        </w:rPr>
        <w:t xml:space="preserve"> </w:t>
      </w:r>
      <w:r>
        <w:rPr>
          <w:rFonts w:ascii="Arial" w:cs="Arial" w:eastAsia="Arial" w:hAnsi="Arial"/>
          <w:sz w:val="16"/>
          <w:szCs w:val="16"/>
          <w:color w:val="auto"/>
        </w:rPr>
        <w:t>Accounting Policies – Basis of Consolidation”).</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62865</wp:posOffset>
            </wp:positionV>
            <wp:extent cx="7301865" cy="406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301865" cy="40640"/>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97" w:name="page98"/>
    <w:bookmarkEnd w:id="97"/>
    <w:p>
      <w:pPr>
        <w:spacing w:after="0" w:line="280" w:lineRule="auto"/>
        <w:rPr>
          <w:sz w:val="20"/>
          <w:szCs w:val="20"/>
          <w:color w:val="auto"/>
        </w:rPr>
      </w:pPr>
      <w:r>
        <w:rPr>
          <w:rFonts w:ascii="Arial" w:cs="Arial" w:eastAsia="Arial" w:hAnsi="Arial"/>
          <w:sz w:val="16"/>
          <w:szCs w:val="16"/>
          <w:color w:val="auto"/>
        </w:rPr>
        <w:t>Segment financial information is shown below. Asset information by segment is not disclosed as this information is not separately identified and reported to the Chief Operating Decision Maker.</w:t>
      </w: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Revenues from Continuing Operations by Reportable Segment</w:t>
      </w:r>
    </w:p>
    <w:p>
      <w:pPr>
        <w:spacing w:after="0" w:line="267"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43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500" w:type="dxa"/>
            <w:vAlign w:val="bottom"/>
            <w:gridSpan w:val="4"/>
          </w:tcPr>
          <w:p>
            <w:pPr>
              <w:ind w:left="40"/>
              <w:spacing w:after="0"/>
              <w:rPr>
                <w:sz w:val="20"/>
                <w:szCs w:val="20"/>
                <w:color w:val="auto"/>
              </w:rPr>
            </w:pPr>
            <w:r>
              <w:rPr>
                <w:rFonts w:ascii="Arial" w:cs="Arial" w:eastAsia="Arial" w:hAnsi="Arial"/>
                <w:sz w:val="13"/>
                <w:szCs w:val="13"/>
                <w:b w:val="1"/>
                <w:bCs w:val="1"/>
                <w:color w:val="auto"/>
                <w:w w:val="90"/>
              </w:rPr>
              <w:t>Year Ended December 31,</w:t>
            </w: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300" w:type="dxa"/>
            <w:vAlign w:val="bottom"/>
            <w:vMerge w:val="restart"/>
          </w:tcPr>
          <w:p>
            <w:pPr>
              <w:spacing w:after="0"/>
              <w:rPr>
                <w:sz w:val="20"/>
                <w:szCs w:val="20"/>
                <w:color w:val="auto"/>
              </w:rPr>
            </w:pPr>
            <w:r>
              <w:rPr>
                <w:rFonts w:ascii="Arial" w:cs="Arial" w:eastAsia="Arial" w:hAnsi="Arial"/>
                <w:sz w:val="13"/>
                <w:szCs w:val="13"/>
                <w:color w:val="auto"/>
              </w:rPr>
              <w:t>(in millions)</w:t>
            </w:r>
          </w:p>
        </w:tc>
        <w:tc>
          <w:tcPr>
            <w:tcW w:w="1780" w:type="dxa"/>
            <w:vAlign w:val="bottom"/>
            <w:gridSpan w:val="2"/>
          </w:tcPr>
          <w:p>
            <w:pPr>
              <w:jc w:val="right"/>
              <w:spacing w:after="0"/>
              <w:rPr>
                <w:sz w:val="20"/>
                <w:szCs w:val="20"/>
                <w:color w:val="auto"/>
              </w:rPr>
            </w:pPr>
            <w:r>
              <w:rPr>
                <w:rFonts w:ascii="Arial" w:cs="Arial" w:eastAsia="Arial" w:hAnsi="Arial"/>
                <w:sz w:val="13"/>
                <w:szCs w:val="13"/>
                <w:b w:val="1"/>
                <w:bCs w:val="1"/>
                <w:color w:val="auto"/>
              </w:rPr>
              <w:t>2017</w:t>
            </w: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jc w:val="right"/>
              <w:ind w:right="321"/>
              <w:spacing w:after="0"/>
              <w:rPr>
                <w:sz w:val="20"/>
                <w:szCs w:val="20"/>
                <w:color w:val="auto"/>
              </w:rPr>
            </w:pPr>
            <w:r>
              <w:rPr>
                <w:rFonts w:ascii="Arial" w:cs="Arial" w:eastAsia="Arial" w:hAnsi="Arial"/>
                <w:sz w:val="13"/>
                <w:szCs w:val="13"/>
                <w:b w:val="1"/>
                <w:bCs w:val="1"/>
                <w:color w:val="auto"/>
              </w:rPr>
              <w:t>2016</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ind w:right="341"/>
              <w:spacing w:after="0"/>
              <w:rPr>
                <w:sz w:val="20"/>
                <w:szCs w:val="20"/>
                <w:color w:val="auto"/>
              </w:rPr>
            </w:pPr>
            <w:r>
              <w:rPr>
                <w:rFonts w:ascii="Arial" w:cs="Arial" w:eastAsia="Arial" w:hAnsi="Arial"/>
                <w:sz w:val="13"/>
                <w:szCs w:val="13"/>
                <w:b w:val="1"/>
                <w:bCs w:val="1"/>
                <w:color w:val="auto"/>
              </w:rPr>
              <w:t>2015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4300" w:type="dxa"/>
            <w:vAlign w:val="bottom"/>
            <w:vMerge w:val="continue"/>
          </w:tcPr>
          <w:p>
            <w:pPr>
              <w:spacing w:after="0"/>
              <w:rPr>
                <w:sz w:val="11"/>
                <w:szCs w:val="11"/>
                <w:color w:val="auto"/>
              </w:rPr>
            </w:pPr>
          </w:p>
        </w:tc>
        <w:tc>
          <w:tcPr>
            <w:tcW w:w="110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5"/>
        </w:trPr>
        <w:tc>
          <w:tcPr>
            <w:tcW w:w="4300" w:type="dxa"/>
            <w:vAlign w:val="bottom"/>
            <w:shd w:val="clear" w:color="auto" w:fill="CFF0FC"/>
          </w:tcPr>
          <w:p>
            <w:pPr>
              <w:spacing w:after="0"/>
              <w:rPr>
                <w:sz w:val="20"/>
                <w:szCs w:val="20"/>
                <w:color w:val="auto"/>
              </w:rPr>
            </w:pPr>
            <w:r>
              <w:rPr>
                <w:rFonts w:ascii="Arial" w:cs="Arial" w:eastAsia="Arial" w:hAnsi="Arial"/>
                <w:sz w:val="16"/>
                <w:szCs w:val="16"/>
                <w:color w:val="auto"/>
              </w:rPr>
              <w:t>Print Systems</w:t>
            </w:r>
          </w:p>
        </w:tc>
        <w:tc>
          <w:tcPr>
            <w:tcW w:w="1780" w:type="dxa"/>
            <w:vAlign w:val="bottom"/>
            <w:gridSpan w:val="2"/>
            <w:shd w:val="clear" w:color="auto" w:fill="CFF0FC"/>
          </w:tcPr>
          <w:p>
            <w:pPr>
              <w:jc w:val="right"/>
              <w:ind w:right="524"/>
              <w:spacing w:after="0"/>
              <w:rPr>
                <w:sz w:val="20"/>
                <w:szCs w:val="20"/>
                <w:color w:val="auto"/>
              </w:rPr>
            </w:pPr>
            <w:r>
              <w:rPr>
                <w:rFonts w:ascii="Arial" w:cs="Arial" w:eastAsia="Arial" w:hAnsi="Arial"/>
                <w:sz w:val="16"/>
                <w:szCs w:val="16"/>
                <w:color w:val="auto"/>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942</w:t>
            </w:r>
          </w:p>
        </w:tc>
        <w:tc>
          <w:tcPr>
            <w:tcW w:w="460" w:type="dxa"/>
            <w:vAlign w:val="bottom"/>
            <w:gridSpan w:val="2"/>
            <w:shd w:val="clear" w:color="auto" w:fill="CFF0FC"/>
          </w:tcPr>
          <w:p>
            <w:pPr>
              <w:jc w:val="right"/>
              <w:ind w:right="104"/>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1,018</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1,107</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300" w:type="dxa"/>
            <w:vAlign w:val="bottom"/>
          </w:tcPr>
          <w:p>
            <w:pPr>
              <w:spacing w:after="0"/>
              <w:rPr>
                <w:sz w:val="20"/>
                <w:szCs w:val="20"/>
                <w:color w:val="auto"/>
              </w:rPr>
            </w:pPr>
            <w:r>
              <w:rPr>
                <w:rFonts w:ascii="Arial" w:cs="Arial" w:eastAsia="Arial" w:hAnsi="Arial"/>
                <w:sz w:val="16"/>
                <w:szCs w:val="16"/>
                <w:color w:val="auto"/>
              </w:rPr>
              <w:t>Enterprise Inkjet Systems</w:t>
            </w:r>
          </w:p>
        </w:tc>
        <w:tc>
          <w:tcPr>
            <w:tcW w:w="1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144</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166</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165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300" w:type="dxa"/>
            <w:vAlign w:val="bottom"/>
            <w:shd w:val="clear" w:color="auto" w:fill="CFF0FC"/>
          </w:tcPr>
          <w:p>
            <w:pPr>
              <w:spacing w:after="0"/>
              <w:rPr>
                <w:sz w:val="20"/>
                <w:szCs w:val="20"/>
                <w:color w:val="auto"/>
              </w:rPr>
            </w:pPr>
            <w:r>
              <w:rPr>
                <w:rFonts w:ascii="Arial" w:cs="Arial" w:eastAsia="Arial" w:hAnsi="Arial"/>
                <w:sz w:val="16"/>
                <w:szCs w:val="16"/>
                <w:color w:val="auto"/>
              </w:rPr>
              <w:t>Flexographic Packaging</w:t>
            </w:r>
          </w:p>
        </w:tc>
        <w:tc>
          <w:tcPr>
            <w:tcW w:w="11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145</w:t>
            </w:r>
          </w:p>
        </w:tc>
        <w:tc>
          <w:tcPr>
            <w:tcW w:w="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132</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127</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300" w:type="dxa"/>
            <w:vAlign w:val="bottom"/>
          </w:tcPr>
          <w:p>
            <w:pPr>
              <w:spacing w:after="0"/>
              <w:rPr>
                <w:sz w:val="20"/>
                <w:szCs w:val="20"/>
                <w:color w:val="auto"/>
              </w:rPr>
            </w:pPr>
            <w:r>
              <w:rPr>
                <w:rFonts w:ascii="Arial" w:cs="Arial" w:eastAsia="Arial" w:hAnsi="Arial"/>
                <w:sz w:val="16"/>
                <w:szCs w:val="16"/>
                <w:color w:val="auto"/>
              </w:rPr>
              <w:t>Software and Solutions</w:t>
            </w:r>
          </w:p>
        </w:tc>
        <w:tc>
          <w:tcPr>
            <w:tcW w:w="1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85</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90</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300" w:type="dxa"/>
            <w:vAlign w:val="bottom"/>
            <w:shd w:val="clear" w:color="auto" w:fill="CFF0FC"/>
          </w:tcPr>
          <w:p>
            <w:pPr>
              <w:spacing w:after="0"/>
              <w:rPr>
                <w:sz w:val="20"/>
                <w:szCs w:val="20"/>
                <w:color w:val="auto"/>
              </w:rPr>
            </w:pPr>
            <w:r>
              <w:rPr>
                <w:rFonts w:ascii="Arial" w:cs="Arial" w:eastAsia="Arial" w:hAnsi="Arial"/>
                <w:sz w:val="16"/>
                <w:szCs w:val="16"/>
                <w:color w:val="auto"/>
              </w:rPr>
              <w:t>Consumer and Film</w:t>
            </w:r>
          </w:p>
        </w:tc>
        <w:tc>
          <w:tcPr>
            <w:tcW w:w="11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198</w:t>
            </w:r>
          </w:p>
        </w:tc>
        <w:tc>
          <w:tcPr>
            <w:tcW w:w="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221</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269</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300" w:type="dxa"/>
            <w:vAlign w:val="bottom"/>
          </w:tcPr>
          <w:p>
            <w:pPr>
              <w:spacing w:after="0"/>
              <w:rPr>
                <w:sz w:val="20"/>
                <w:szCs w:val="20"/>
                <w:color w:val="auto"/>
              </w:rPr>
            </w:pPr>
            <w:r>
              <w:rPr>
                <w:rFonts w:ascii="Arial" w:cs="Arial" w:eastAsia="Arial" w:hAnsi="Arial"/>
                <w:sz w:val="16"/>
                <w:szCs w:val="16"/>
                <w:color w:val="auto"/>
              </w:rPr>
              <w:t>Advanced Materials and 3D Printing Technology</w:t>
            </w:r>
          </w:p>
        </w:tc>
        <w:tc>
          <w:tcPr>
            <w:tcW w:w="1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1</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300" w:type="dxa"/>
            <w:vAlign w:val="bottom"/>
            <w:shd w:val="clear" w:color="auto" w:fill="CFF0FC"/>
          </w:tcPr>
          <w:p>
            <w:pPr>
              <w:spacing w:after="0"/>
              <w:rPr>
                <w:sz w:val="20"/>
                <w:szCs w:val="20"/>
                <w:color w:val="auto"/>
              </w:rPr>
            </w:pPr>
            <w:r>
              <w:rPr>
                <w:rFonts w:ascii="Arial" w:cs="Arial" w:eastAsia="Arial" w:hAnsi="Arial"/>
                <w:sz w:val="16"/>
                <w:szCs w:val="16"/>
                <w:color w:val="auto"/>
              </w:rPr>
              <w:t>Eastman Business Park</w:t>
            </w:r>
          </w:p>
        </w:tc>
        <w:tc>
          <w:tcPr>
            <w:tcW w:w="1100" w:type="dxa"/>
            <w:vAlign w:val="bottom"/>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w:t>
            </w:r>
          </w:p>
        </w:tc>
        <w:tc>
          <w:tcPr>
            <w:tcW w:w="200" w:type="dxa"/>
            <w:vAlign w:val="bottom"/>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w:t>
            </w:r>
          </w:p>
        </w:tc>
        <w:tc>
          <w:tcPr>
            <w:tcW w:w="220" w:type="dxa"/>
            <w:vAlign w:val="bottom"/>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300" w:type="dxa"/>
            <w:vAlign w:val="bottom"/>
          </w:tcPr>
          <w:p>
            <w:pPr>
              <w:ind w:left="220"/>
              <w:spacing w:after="0"/>
              <w:rPr>
                <w:sz w:val="20"/>
                <w:szCs w:val="20"/>
                <w:color w:val="auto"/>
              </w:rPr>
            </w:pPr>
            <w:r>
              <w:rPr>
                <w:rFonts w:ascii="Arial" w:cs="Arial" w:eastAsia="Arial" w:hAnsi="Arial"/>
                <w:sz w:val="16"/>
                <w:szCs w:val="16"/>
                <w:color w:val="auto"/>
              </w:rPr>
              <w:t>Consolidated total</w:t>
            </w:r>
          </w:p>
        </w:tc>
        <w:tc>
          <w:tcPr>
            <w:tcW w:w="1100" w:type="dxa"/>
            <w:vAlign w:val="bottom"/>
          </w:tcPr>
          <w:p>
            <w:pPr>
              <w:spacing w:after="0"/>
              <w:rPr>
                <w:sz w:val="17"/>
                <w:szCs w:val="17"/>
                <w:color w:val="auto"/>
              </w:rPr>
            </w:pPr>
          </w:p>
        </w:tc>
        <w:tc>
          <w:tcPr>
            <w:tcW w:w="680" w:type="dxa"/>
            <w:vAlign w:val="bottom"/>
            <w:tcBorders>
              <w:bottom w:val="single" w:sz="8" w:color="auto"/>
            </w:tcBorders>
          </w:tcPr>
          <w:p>
            <w:pPr>
              <w:jc w:val="right"/>
              <w:ind w:right="524"/>
              <w:spacing w:after="0"/>
              <w:rPr>
                <w:sz w:val="20"/>
                <w:szCs w:val="20"/>
                <w:color w:val="auto"/>
              </w:rPr>
            </w:pPr>
            <w:r>
              <w:rPr>
                <w:rFonts w:ascii="Arial" w:cs="Arial" w:eastAsia="Arial" w:hAnsi="Arial"/>
                <w:sz w:val="15"/>
                <w:szCs w:val="15"/>
                <w:color w:val="auto"/>
                <w:w w:val="71"/>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4"/>
              </w:rPr>
              <w:t>1,531</w:t>
            </w:r>
          </w:p>
        </w:tc>
        <w:tc>
          <w:tcPr>
            <w:tcW w:w="200" w:type="dxa"/>
            <w:vAlign w:val="bottom"/>
          </w:tcPr>
          <w:p>
            <w:pPr>
              <w:spacing w:after="0"/>
              <w:rPr>
                <w:sz w:val="17"/>
                <w:szCs w:val="17"/>
                <w:color w:val="auto"/>
              </w:rPr>
            </w:pPr>
          </w:p>
        </w:tc>
        <w:tc>
          <w:tcPr>
            <w:tcW w:w="26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1,643</w:t>
            </w:r>
          </w:p>
        </w:tc>
        <w:tc>
          <w:tcPr>
            <w:tcW w:w="220" w:type="dxa"/>
            <w:vAlign w:val="bottom"/>
          </w:tcPr>
          <w:p>
            <w:pPr>
              <w:spacing w:after="0"/>
              <w:rPr>
                <w:sz w:val="17"/>
                <w:szCs w:val="17"/>
                <w:color w:val="auto"/>
              </w:rPr>
            </w:pPr>
          </w:p>
        </w:tc>
        <w:tc>
          <w:tcPr>
            <w:tcW w:w="2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Segment Measure of Profit and Loss</w:t>
      </w:r>
    </w:p>
    <w:p>
      <w:pPr>
        <w:spacing w:after="0" w:line="110" w:lineRule="exact"/>
        <w:rPr>
          <w:sz w:val="20"/>
          <w:szCs w:val="20"/>
          <w:color w:val="auto"/>
        </w:rPr>
      </w:pPr>
    </w:p>
    <w:p>
      <w:pPr>
        <w:ind w:right="40"/>
        <w:spacing w:after="0" w:line="304" w:lineRule="auto"/>
        <w:rPr>
          <w:sz w:val="20"/>
          <w:szCs w:val="20"/>
          <w:color w:val="auto"/>
        </w:rPr>
      </w:pPr>
      <w:r>
        <w:rPr>
          <w:rFonts w:ascii="Arial" w:cs="Arial" w:eastAsia="Arial" w:hAnsi="Arial"/>
          <w:sz w:val="14"/>
          <w:szCs w:val="14"/>
          <w:color w:val="auto"/>
        </w:rPr>
        <w:t>Kodak’s segment measure of profit and loss is an adjusted earnings before interest, taxes, depreciation and amortization (“Operational EBITDA”). As demonstrated in the table below, Operational EBITDA represents the earnings (loss) from continuing operations excluding the provision (benefit) for income taxes; corporate components of pension and OPEB income; depreciation and amortization expense; restructuring costs; overhead costs no longer absorbed by discontinued operations; stock-based compensation expense; the 2015 changes in the U.S. vacation benefits; consulting and other costs; idle costs; manufacturing costs originally planned to be absorbed by silver metal mesh touch screen production; other operating expense, net (unless otherwise indicated); loss on early extinguishment of debt; interest expense; other charges, net and reorganization items, net.</w:t>
      </w:r>
    </w:p>
    <w:p>
      <w:pPr>
        <w:spacing w:after="0" w:line="141"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Kodak’s segments are measured using Operational EBITDA both before and after allocation of corporate selling, general and administrative expenses (“SG&amp;A”). The segment earnings measure reported is after allocation of corporate SG&amp;A as this most closely aligns with U.S. GAAP. Research and development activities not directly related to the other segments are reported within the Advanced Materials and 3D Printing Technology segment.</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 in Segment Measure of Profit and Loss</w:t>
      </w:r>
    </w:p>
    <w:p>
      <w:pPr>
        <w:spacing w:after="0" w:line="110" w:lineRule="exact"/>
        <w:rPr>
          <w:sz w:val="20"/>
          <w:szCs w:val="20"/>
          <w:color w:val="auto"/>
        </w:rPr>
      </w:pPr>
    </w:p>
    <w:p>
      <w:pPr>
        <w:ind w:right="520"/>
        <w:spacing w:after="0" w:line="354" w:lineRule="auto"/>
        <w:rPr>
          <w:sz w:val="20"/>
          <w:szCs w:val="20"/>
          <w:color w:val="auto"/>
        </w:rPr>
      </w:pPr>
      <w:r>
        <w:rPr>
          <w:rFonts w:ascii="Arial" w:cs="Arial" w:eastAsia="Arial" w:hAnsi="Arial"/>
          <w:sz w:val="14"/>
          <w:szCs w:val="14"/>
          <w:color w:val="auto"/>
        </w:rPr>
        <w:t>During the first quarter of 2017 the segment measure was changed to exclude internal costs associated with corporate strategic initiatives. The segment measure already excluded external costs associated with those initiatives. Additionally, third party costs associated with incremental idle building space has been added to idle costs.</w:t>
      </w:r>
    </w:p>
    <w:p>
      <w:pPr>
        <w:spacing w:after="0" w:line="29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62865</wp:posOffset>
            </wp:positionV>
            <wp:extent cx="7301865" cy="406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301865" cy="40640"/>
                    </a:xfrm>
                    <a:prstGeom prst="rect">
                      <a:avLst/>
                    </a:prstGeom>
                    <a:noFill/>
                  </pic:spPr>
                </pic:pic>
              </a:graphicData>
            </a:graphic>
          </wp:anchor>
        </w:drawing>
      </w:r>
    </w:p>
    <w:p>
      <w:pPr>
        <w:sectPr>
          <w:pgSz w:w="11900" w:h="16838" w:orient="portrait"/>
          <w:cols w:equalWidth="0" w:num="1">
            <w:col w:w="11380"/>
          </w:cols>
          <w:pgMar w:left="240" w:top="320" w:right="279" w:bottom="1440" w:gutter="0" w:footer="0" w:header="0"/>
        </w:sectPr>
      </w:pPr>
    </w:p>
    <w:bookmarkStart w:id="98" w:name="page99"/>
    <w:bookmarkEnd w:id="98"/>
    <w:p>
      <w:pPr>
        <w:ind w:left="3"/>
        <w:spacing w:after="0"/>
        <w:rPr>
          <w:sz w:val="20"/>
          <w:szCs w:val="20"/>
          <w:color w:val="auto"/>
        </w:rPr>
      </w:pPr>
      <w:r>
        <w:rPr>
          <w:rFonts w:ascii="Arial" w:cs="Arial" w:eastAsia="Arial" w:hAnsi="Arial"/>
          <w:sz w:val="16"/>
          <w:szCs w:val="16"/>
          <w:b w:val="1"/>
          <w:bCs w:val="1"/>
          <w:color w:val="auto"/>
        </w:rPr>
        <w:t>Segment Operational EBITDA and Consolidated Earnings (Loss) from Continuing Operations Before Income Taxes</w:t>
      </w:r>
    </w:p>
    <w:p>
      <w:pPr>
        <w:spacing w:after="0" w:line="292" w:lineRule="exact"/>
        <w:rPr>
          <w:sz w:val="20"/>
          <w:szCs w:val="20"/>
          <w:color w:val="auto"/>
        </w:rPr>
      </w:pPr>
    </w:p>
    <w:tbl>
      <w:tblPr>
        <w:tblLayout w:type="fixed"/>
        <w:tblInd w:w="3" w:type="dxa"/>
        <w:tblCellMar>
          <w:top w:w="0" w:type="dxa"/>
          <w:left w:w="0" w:type="dxa"/>
          <w:bottom w:w="0" w:type="dxa"/>
          <w:right w:w="0" w:type="dxa"/>
        </w:tblCellMar>
      </w:tblPr>
      <w:tr>
        <w:trPr>
          <w:trHeight w:val="149"/>
        </w:trPr>
        <w:tc>
          <w:tcPr>
            <w:tcW w:w="53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40" w:type="dxa"/>
            <w:vAlign w:val="bottom"/>
            <w:gridSpan w:val="4"/>
          </w:tcPr>
          <w:p>
            <w:pPr>
              <w:jc w:val="right"/>
              <w:ind w:right="120"/>
              <w:spacing w:after="0"/>
              <w:rPr>
                <w:sz w:val="20"/>
                <w:szCs w:val="20"/>
                <w:color w:val="auto"/>
              </w:rPr>
            </w:pPr>
            <w:r>
              <w:rPr>
                <w:rFonts w:ascii="Arial" w:cs="Arial" w:eastAsia="Arial" w:hAnsi="Arial"/>
                <w:sz w:val="13"/>
                <w:szCs w:val="13"/>
                <w:b w:val="1"/>
                <w:bCs w:val="1"/>
                <w:color w:val="auto"/>
                <w:w w:val="93"/>
              </w:rPr>
              <w:t>Year Ended December 31,</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3"/>
        </w:trPr>
        <w:tc>
          <w:tcPr>
            <w:tcW w:w="5360" w:type="dxa"/>
            <w:vAlign w:val="bottom"/>
            <w:tcBorders>
              <w:bottom w:val="single" w:sz="8" w:color="CFF0FC"/>
            </w:tcBorders>
          </w:tcPr>
          <w:p>
            <w:pPr>
              <w:spacing w:after="0"/>
              <w:rPr>
                <w:sz w:val="20"/>
                <w:szCs w:val="20"/>
                <w:color w:val="auto"/>
              </w:rPr>
            </w:pPr>
            <w:r>
              <w:rPr>
                <w:rFonts w:ascii="Arial" w:cs="Arial" w:eastAsia="Arial" w:hAnsi="Arial"/>
                <w:sz w:val="13"/>
                <w:szCs w:val="13"/>
                <w:color w:val="auto"/>
              </w:rPr>
              <w:t>(in millions)</w:t>
            </w:r>
          </w:p>
        </w:tc>
        <w:tc>
          <w:tcPr>
            <w:tcW w:w="142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60"/>
              <w:spacing w:after="0"/>
              <w:rPr>
                <w:sz w:val="20"/>
                <w:szCs w:val="20"/>
                <w:color w:val="auto"/>
              </w:rPr>
            </w:pPr>
            <w:r>
              <w:rPr>
                <w:rFonts w:ascii="Arial" w:cs="Arial" w:eastAsia="Arial" w:hAnsi="Arial"/>
                <w:sz w:val="13"/>
                <w:szCs w:val="13"/>
                <w:b w:val="1"/>
                <w:bCs w:val="1"/>
                <w:color w:val="auto"/>
              </w:rPr>
              <w:t>2017</w:t>
            </w:r>
          </w:p>
        </w:tc>
        <w:tc>
          <w:tcPr>
            <w:tcW w:w="14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80"/>
              <w:spacing w:after="0"/>
              <w:rPr>
                <w:sz w:val="20"/>
                <w:szCs w:val="20"/>
                <w:color w:val="auto"/>
              </w:rPr>
            </w:pPr>
            <w:r>
              <w:rPr>
                <w:rFonts w:ascii="Arial" w:cs="Arial" w:eastAsia="Arial" w:hAnsi="Arial"/>
                <w:sz w:val="13"/>
                <w:szCs w:val="13"/>
                <w:b w:val="1"/>
                <w:bCs w:val="1"/>
                <w:color w:val="auto"/>
              </w:rPr>
              <w:t>2016</w:t>
            </w:r>
          </w:p>
        </w:tc>
        <w:tc>
          <w:tcPr>
            <w:tcW w:w="1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60"/>
              <w:spacing w:after="0"/>
              <w:rPr>
                <w:sz w:val="20"/>
                <w:szCs w:val="20"/>
                <w:color w:val="auto"/>
              </w:rPr>
            </w:pPr>
            <w:r>
              <w:rPr>
                <w:rFonts w:ascii="Arial" w:cs="Arial" w:eastAsia="Arial" w:hAnsi="Arial"/>
                <w:sz w:val="13"/>
                <w:szCs w:val="13"/>
                <w:b w:val="1"/>
                <w:bCs w:val="1"/>
                <w:color w:val="auto"/>
              </w:rPr>
              <w:t>2015</w:t>
            </w:r>
          </w:p>
        </w:tc>
        <w:tc>
          <w:tcPr>
            <w:tcW w:w="120" w:type="dxa"/>
            <w:vAlign w:val="bottom"/>
            <w:tcBorders>
              <w:bottom w:val="single" w:sz="8" w:color="CFF0FC"/>
            </w:tcBorders>
          </w:tcPr>
          <w:p>
            <w:pPr>
              <w:spacing w:after="0"/>
              <w:rPr>
                <w:sz w:val="13"/>
                <w:szCs w:val="13"/>
                <w:color w:val="auto"/>
              </w:rPr>
            </w:pPr>
          </w:p>
        </w:tc>
      </w:tr>
      <w:tr>
        <w:trPr>
          <w:trHeight w:val="198"/>
        </w:trPr>
        <w:tc>
          <w:tcPr>
            <w:tcW w:w="5360" w:type="dxa"/>
            <w:vAlign w:val="bottom"/>
            <w:shd w:val="clear" w:color="auto" w:fill="CFF0FC"/>
          </w:tcPr>
          <w:p>
            <w:pPr>
              <w:spacing w:after="0"/>
              <w:rPr>
                <w:sz w:val="20"/>
                <w:szCs w:val="20"/>
                <w:color w:val="auto"/>
              </w:rPr>
            </w:pPr>
            <w:r>
              <w:rPr>
                <w:rFonts w:ascii="Arial" w:cs="Arial" w:eastAsia="Arial" w:hAnsi="Arial"/>
                <w:sz w:val="16"/>
                <w:szCs w:val="16"/>
                <w:color w:val="auto"/>
              </w:rPr>
              <w:t>Print Systems</w:t>
            </w:r>
          </w:p>
        </w:tc>
        <w:tc>
          <w:tcPr>
            <w:tcW w:w="142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w:t>
            </w: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106</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99</w:t>
            </w:r>
          </w:p>
        </w:tc>
        <w:tc>
          <w:tcPr>
            <w:tcW w:w="120" w:type="dxa"/>
            <w:vAlign w:val="bottom"/>
            <w:shd w:val="clear" w:color="auto" w:fill="CFF0FC"/>
          </w:tcPr>
          <w:p>
            <w:pPr>
              <w:spacing w:after="0"/>
              <w:rPr>
                <w:sz w:val="17"/>
                <w:szCs w:val="17"/>
                <w:color w:val="auto"/>
              </w:rPr>
            </w:pPr>
          </w:p>
        </w:tc>
      </w:tr>
      <w:tr>
        <w:trPr>
          <w:trHeight w:val="205"/>
        </w:trPr>
        <w:tc>
          <w:tcPr>
            <w:tcW w:w="5360" w:type="dxa"/>
            <w:vAlign w:val="bottom"/>
          </w:tcPr>
          <w:p>
            <w:pPr>
              <w:spacing w:after="0"/>
              <w:rPr>
                <w:sz w:val="20"/>
                <w:szCs w:val="20"/>
                <w:color w:val="auto"/>
              </w:rPr>
            </w:pPr>
            <w:r>
              <w:rPr>
                <w:rFonts w:ascii="Arial" w:cs="Arial" w:eastAsia="Arial" w:hAnsi="Arial"/>
                <w:sz w:val="16"/>
                <w:szCs w:val="16"/>
                <w:color w:val="auto"/>
              </w:rPr>
              <w:t>Enterprise Inkjet Systems</w:t>
            </w:r>
          </w:p>
        </w:tc>
        <w:tc>
          <w:tcPr>
            <w:tcW w:w="1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(27)</w:t>
            </w:r>
          </w:p>
        </w:tc>
      </w:tr>
      <w:tr>
        <w:trPr>
          <w:trHeight w:val="205"/>
        </w:trPr>
        <w:tc>
          <w:tcPr>
            <w:tcW w:w="5360" w:type="dxa"/>
            <w:vAlign w:val="bottom"/>
            <w:shd w:val="clear" w:color="auto" w:fill="CFF0FC"/>
          </w:tcPr>
          <w:p>
            <w:pPr>
              <w:spacing w:after="0"/>
              <w:rPr>
                <w:sz w:val="20"/>
                <w:szCs w:val="20"/>
                <w:color w:val="auto"/>
              </w:rPr>
            </w:pPr>
            <w:r>
              <w:rPr>
                <w:rFonts w:ascii="Arial" w:cs="Arial" w:eastAsia="Arial" w:hAnsi="Arial"/>
                <w:sz w:val="16"/>
                <w:szCs w:val="16"/>
                <w:color w:val="auto"/>
              </w:rPr>
              <w:t>Flexographic Packaging</w:t>
            </w:r>
          </w:p>
        </w:tc>
        <w:tc>
          <w:tcPr>
            <w:tcW w:w="14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w:t>
            </w: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w:t>
            </w:r>
          </w:p>
        </w:tc>
        <w:tc>
          <w:tcPr>
            <w:tcW w:w="120" w:type="dxa"/>
            <w:vAlign w:val="bottom"/>
            <w:shd w:val="clear" w:color="auto" w:fill="CFF0FC"/>
          </w:tcPr>
          <w:p>
            <w:pPr>
              <w:spacing w:after="0"/>
              <w:rPr>
                <w:sz w:val="17"/>
                <w:szCs w:val="17"/>
                <w:color w:val="auto"/>
              </w:rPr>
            </w:pPr>
          </w:p>
        </w:tc>
      </w:tr>
      <w:tr>
        <w:trPr>
          <w:trHeight w:val="205"/>
        </w:trPr>
        <w:tc>
          <w:tcPr>
            <w:tcW w:w="5360" w:type="dxa"/>
            <w:vAlign w:val="bottom"/>
          </w:tcPr>
          <w:p>
            <w:pPr>
              <w:spacing w:after="0"/>
              <w:rPr>
                <w:sz w:val="20"/>
                <w:szCs w:val="20"/>
                <w:color w:val="auto"/>
              </w:rPr>
            </w:pPr>
            <w:r>
              <w:rPr>
                <w:rFonts w:ascii="Arial" w:cs="Arial" w:eastAsia="Arial" w:hAnsi="Arial"/>
                <w:sz w:val="16"/>
                <w:szCs w:val="16"/>
                <w:color w:val="auto"/>
              </w:rPr>
              <w:t>Software and Solutions</w:t>
            </w:r>
          </w:p>
        </w:tc>
        <w:tc>
          <w:tcPr>
            <w:tcW w:w="1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7"/>
                <w:szCs w:val="17"/>
                <w:color w:val="auto"/>
              </w:rPr>
            </w:pPr>
          </w:p>
        </w:tc>
      </w:tr>
      <w:tr>
        <w:trPr>
          <w:trHeight w:val="205"/>
        </w:trPr>
        <w:tc>
          <w:tcPr>
            <w:tcW w:w="5360" w:type="dxa"/>
            <w:vAlign w:val="bottom"/>
            <w:shd w:val="clear" w:color="auto" w:fill="CFF0FC"/>
          </w:tcPr>
          <w:p>
            <w:pPr>
              <w:spacing w:after="0"/>
              <w:rPr>
                <w:sz w:val="20"/>
                <w:szCs w:val="20"/>
                <w:color w:val="auto"/>
              </w:rPr>
            </w:pPr>
            <w:r>
              <w:rPr>
                <w:rFonts w:ascii="Arial" w:cs="Arial" w:eastAsia="Arial" w:hAnsi="Arial"/>
                <w:sz w:val="16"/>
                <w:szCs w:val="16"/>
                <w:color w:val="auto"/>
              </w:rPr>
              <w:t>Consumer and Film</w:t>
            </w:r>
          </w:p>
        </w:tc>
        <w:tc>
          <w:tcPr>
            <w:tcW w:w="14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(16)</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w:t>
            </w:r>
          </w:p>
        </w:tc>
        <w:tc>
          <w:tcPr>
            <w:tcW w:w="120" w:type="dxa"/>
            <w:vAlign w:val="bottom"/>
            <w:shd w:val="clear" w:color="auto" w:fill="CFF0FC"/>
          </w:tcPr>
          <w:p>
            <w:pPr>
              <w:spacing w:after="0"/>
              <w:rPr>
                <w:sz w:val="17"/>
                <w:szCs w:val="17"/>
                <w:color w:val="auto"/>
              </w:rPr>
            </w:pPr>
          </w:p>
        </w:tc>
      </w:tr>
      <w:tr>
        <w:trPr>
          <w:trHeight w:val="205"/>
        </w:trPr>
        <w:tc>
          <w:tcPr>
            <w:tcW w:w="5360" w:type="dxa"/>
            <w:vAlign w:val="bottom"/>
          </w:tcPr>
          <w:p>
            <w:pPr>
              <w:spacing w:after="0"/>
              <w:rPr>
                <w:sz w:val="20"/>
                <w:szCs w:val="20"/>
                <w:color w:val="auto"/>
              </w:rPr>
            </w:pPr>
            <w:r>
              <w:rPr>
                <w:rFonts w:ascii="Arial" w:cs="Arial" w:eastAsia="Arial" w:hAnsi="Arial"/>
                <w:sz w:val="16"/>
                <w:szCs w:val="16"/>
                <w:color w:val="auto"/>
              </w:rPr>
              <w:t>Advanced Materials and 3D Printing Technology</w:t>
            </w:r>
          </w:p>
        </w:tc>
        <w:tc>
          <w:tcPr>
            <w:tcW w:w="1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6"/>
                <w:szCs w:val="16"/>
                <w:color w:val="auto"/>
              </w:rPr>
              <w:t>(26)</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(35)</w:t>
            </w:r>
          </w:p>
        </w:tc>
      </w:tr>
      <w:tr>
        <w:trPr>
          <w:trHeight w:val="205"/>
        </w:trPr>
        <w:tc>
          <w:tcPr>
            <w:tcW w:w="5360" w:type="dxa"/>
            <w:vAlign w:val="bottom"/>
            <w:shd w:val="clear" w:color="auto" w:fill="CFF0FC"/>
          </w:tcPr>
          <w:p>
            <w:pPr>
              <w:spacing w:after="0"/>
              <w:rPr>
                <w:sz w:val="20"/>
                <w:szCs w:val="20"/>
                <w:color w:val="auto"/>
              </w:rPr>
            </w:pPr>
            <w:r>
              <w:rPr>
                <w:rFonts w:ascii="Arial" w:cs="Arial" w:eastAsia="Arial" w:hAnsi="Arial"/>
                <w:sz w:val="16"/>
                <w:szCs w:val="16"/>
                <w:color w:val="auto"/>
              </w:rPr>
              <w:t>Eastman Business Park</w:t>
            </w:r>
          </w:p>
        </w:tc>
        <w:tc>
          <w:tcPr>
            <w:tcW w:w="1420" w:type="dxa"/>
            <w:vAlign w:val="bottom"/>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FF0FC"/>
          </w:tcPr>
          <w:p>
            <w:pPr>
              <w:spacing w:after="0"/>
              <w:rPr>
                <w:sz w:val="17"/>
                <w:szCs w:val="17"/>
                <w:color w:val="auto"/>
              </w:rPr>
            </w:pPr>
          </w:p>
        </w:tc>
      </w:tr>
      <w:tr>
        <w:trPr>
          <w:trHeight w:val="198"/>
        </w:trPr>
        <w:tc>
          <w:tcPr>
            <w:tcW w:w="5360" w:type="dxa"/>
            <w:vAlign w:val="bottom"/>
          </w:tcPr>
          <w:p>
            <w:pPr>
              <w:ind w:left="100"/>
              <w:spacing w:after="0"/>
              <w:rPr>
                <w:sz w:val="20"/>
                <w:szCs w:val="20"/>
                <w:color w:val="auto"/>
              </w:rPr>
            </w:pPr>
            <w:r>
              <w:rPr>
                <w:rFonts w:ascii="Arial" w:cs="Arial" w:eastAsia="Arial" w:hAnsi="Arial"/>
                <w:sz w:val="16"/>
                <w:szCs w:val="16"/>
                <w:color w:val="auto"/>
              </w:rPr>
              <w:t>Total of reportable segments</w:t>
            </w:r>
          </w:p>
        </w:tc>
        <w:tc>
          <w:tcPr>
            <w:tcW w:w="1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57</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107</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125</w:t>
            </w:r>
          </w:p>
        </w:tc>
        <w:tc>
          <w:tcPr>
            <w:tcW w:w="120" w:type="dxa"/>
            <w:vAlign w:val="bottom"/>
          </w:tcPr>
          <w:p>
            <w:pPr>
              <w:spacing w:after="0"/>
              <w:rPr>
                <w:sz w:val="17"/>
                <w:szCs w:val="17"/>
                <w:color w:val="auto"/>
              </w:rPr>
            </w:pPr>
          </w:p>
        </w:tc>
      </w:tr>
      <w:tr>
        <w:trPr>
          <w:trHeight w:val="205"/>
        </w:trPr>
        <w:tc>
          <w:tcPr>
            <w:tcW w:w="5360" w:type="dxa"/>
            <w:vAlign w:val="bottom"/>
            <w:shd w:val="clear" w:color="auto" w:fill="CFF0FC"/>
          </w:tcPr>
          <w:p>
            <w:pPr>
              <w:spacing w:after="0"/>
              <w:rPr>
                <w:sz w:val="20"/>
                <w:szCs w:val="20"/>
                <w:color w:val="auto"/>
              </w:rPr>
            </w:pPr>
            <w:r>
              <w:rPr>
                <w:rFonts w:ascii="Arial" w:cs="Arial" w:eastAsia="Arial" w:hAnsi="Arial"/>
                <w:sz w:val="16"/>
                <w:szCs w:val="16"/>
                <w:color w:val="auto"/>
              </w:rPr>
              <w:t xml:space="preserve">All Other </w:t>
            </w:r>
            <w:r>
              <w:rPr>
                <w:rFonts w:ascii="Arial" w:cs="Arial" w:eastAsia="Arial" w:hAnsi="Arial"/>
                <w:sz w:val="13"/>
                <w:szCs w:val="13"/>
                <w:color w:val="auto"/>
              </w:rPr>
              <w:t>(1)</w:t>
            </w:r>
          </w:p>
        </w:tc>
        <w:tc>
          <w:tcPr>
            <w:tcW w:w="14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120" w:type="dxa"/>
            <w:vAlign w:val="bottom"/>
            <w:shd w:val="clear" w:color="auto" w:fill="CFF0FC"/>
          </w:tcPr>
          <w:p>
            <w:pPr>
              <w:spacing w:after="0"/>
              <w:rPr>
                <w:sz w:val="17"/>
                <w:szCs w:val="17"/>
                <w:color w:val="auto"/>
              </w:rPr>
            </w:pPr>
          </w:p>
        </w:tc>
      </w:tr>
      <w:tr>
        <w:trPr>
          <w:trHeight w:val="205"/>
        </w:trPr>
        <w:tc>
          <w:tcPr>
            <w:tcW w:w="5360" w:type="dxa"/>
            <w:vAlign w:val="bottom"/>
          </w:tcPr>
          <w:p>
            <w:pPr>
              <w:spacing w:after="0"/>
              <w:rPr>
                <w:sz w:val="20"/>
                <w:szCs w:val="20"/>
                <w:color w:val="auto"/>
              </w:rPr>
            </w:pPr>
            <w:r>
              <w:rPr>
                <w:rFonts w:ascii="Arial" w:cs="Arial" w:eastAsia="Arial" w:hAnsi="Arial"/>
                <w:sz w:val="16"/>
                <w:szCs w:val="16"/>
                <w:color w:val="auto"/>
              </w:rPr>
              <w:t xml:space="preserve">Corporate components of pension and OPEB income </w:t>
            </w:r>
            <w:r>
              <w:rPr>
                <w:rFonts w:ascii="Arial" w:cs="Arial" w:eastAsia="Arial" w:hAnsi="Arial"/>
                <w:sz w:val="13"/>
                <w:szCs w:val="13"/>
                <w:color w:val="auto"/>
              </w:rPr>
              <w:t>(2)</w:t>
            </w:r>
          </w:p>
        </w:tc>
        <w:tc>
          <w:tcPr>
            <w:tcW w:w="1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144</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133</w:t>
            </w:r>
          </w:p>
        </w:tc>
        <w:tc>
          <w:tcPr>
            <w:tcW w:w="120" w:type="dxa"/>
            <w:vAlign w:val="bottom"/>
          </w:tcPr>
          <w:p>
            <w:pPr>
              <w:spacing w:after="0"/>
              <w:rPr>
                <w:sz w:val="17"/>
                <w:szCs w:val="17"/>
                <w:color w:val="auto"/>
              </w:rPr>
            </w:pPr>
          </w:p>
        </w:tc>
      </w:tr>
      <w:tr>
        <w:trPr>
          <w:trHeight w:val="205"/>
        </w:trPr>
        <w:tc>
          <w:tcPr>
            <w:tcW w:w="5360" w:type="dxa"/>
            <w:vAlign w:val="bottom"/>
            <w:shd w:val="clear" w:color="auto" w:fill="CFF0FC"/>
          </w:tcPr>
          <w:p>
            <w:pPr>
              <w:spacing w:after="0"/>
              <w:rPr>
                <w:sz w:val="20"/>
                <w:szCs w:val="20"/>
                <w:color w:val="auto"/>
              </w:rPr>
            </w:pPr>
            <w:r>
              <w:rPr>
                <w:rFonts w:ascii="Arial" w:cs="Arial" w:eastAsia="Arial" w:hAnsi="Arial"/>
                <w:sz w:val="16"/>
                <w:szCs w:val="16"/>
                <w:color w:val="auto"/>
              </w:rPr>
              <w:t>Depreciation and amortization</w:t>
            </w:r>
          </w:p>
        </w:tc>
        <w:tc>
          <w:tcPr>
            <w:tcW w:w="14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(80)</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(105)</w:t>
            </w: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(145)</w:t>
            </w:r>
          </w:p>
        </w:tc>
      </w:tr>
      <w:tr>
        <w:trPr>
          <w:trHeight w:val="205"/>
        </w:trPr>
        <w:tc>
          <w:tcPr>
            <w:tcW w:w="5360" w:type="dxa"/>
            <w:vAlign w:val="bottom"/>
          </w:tcPr>
          <w:p>
            <w:pPr>
              <w:spacing w:after="0"/>
              <w:rPr>
                <w:sz w:val="20"/>
                <w:szCs w:val="20"/>
                <w:color w:val="auto"/>
              </w:rPr>
            </w:pPr>
            <w:r>
              <w:rPr>
                <w:rFonts w:ascii="Arial" w:cs="Arial" w:eastAsia="Arial" w:hAnsi="Arial"/>
                <w:sz w:val="16"/>
                <w:szCs w:val="16"/>
                <w:color w:val="auto"/>
              </w:rPr>
              <w:t>Restructuring costs and other</w:t>
            </w:r>
          </w:p>
        </w:tc>
        <w:tc>
          <w:tcPr>
            <w:tcW w:w="1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6"/>
                <w:szCs w:val="16"/>
                <w:color w:val="auto"/>
              </w:rPr>
              <w:t>(38)</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(38)</w:t>
            </w:r>
          </w:p>
        </w:tc>
      </w:tr>
      <w:tr>
        <w:trPr>
          <w:trHeight w:val="205"/>
        </w:trPr>
        <w:tc>
          <w:tcPr>
            <w:tcW w:w="5360" w:type="dxa"/>
            <w:vAlign w:val="bottom"/>
            <w:shd w:val="clear" w:color="auto" w:fill="CFF0FC"/>
          </w:tcPr>
          <w:p>
            <w:pPr>
              <w:spacing w:after="0"/>
              <w:rPr>
                <w:sz w:val="20"/>
                <w:szCs w:val="20"/>
                <w:color w:val="auto"/>
              </w:rPr>
            </w:pPr>
            <w:r>
              <w:rPr>
                <w:rFonts w:ascii="Arial" w:cs="Arial" w:eastAsia="Arial" w:hAnsi="Arial"/>
                <w:sz w:val="16"/>
                <w:szCs w:val="16"/>
                <w:color w:val="auto"/>
              </w:rPr>
              <w:t>Stock-based compensation</w:t>
            </w:r>
          </w:p>
        </w:tc>
        <w:tc>
          <w:tcPr>
            <w:tcW w:w="14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(9)</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(8)</w:t>
            </w: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(18)</w:t>
            </w:r>
          </w:p>
        </w:tc>
      </w:tr>
      <w:tr>
        <w:trPr>
          <w:trHeight w:val="205"/>
        </w:trPr>
        <w:tc>
          <w:tcPr>
            <w:tcW w:w="5360" w:type="dxa"/>
            <w:vAlign w:val="bottom"/>
          </w:tcPr>
          <w:p>
            <w:pPr>
              <w:spacing w:after="0" w:line="205" w:lineRule="exact"/>
              <w:rPr>
                <w:sz w:val="20"/>
                <w:szCs w:val="20"/>
                <w:color w:val="auto"/>
              </w:rPr>
            </w:pPr>
            <w:r>
              <w:rPr>
                <w:rFonts w:ascii="Arial" w:cs="Arial" w:eastAsia="Arial" w:hAnsi="Arial"/>
                <w:sz w:val="16"/>
                <w:szCs w:val="16"/>
                <w:color w:val="auto"/>
              </w:rPr>
              <w:t xml:space="preserve">Consulting and other costs </w:t>
            </w:r>
            <w:r>
              <w:rPr>
                <w:rFonts w:ascii="Arial" w:cs="Arial" w:eastAsia="Arial" w:hAnsi="Arial"/>
                <w:sz w:val="23"/>
                <w:szCs w:val="23"/>
                <w:color w:val="auto"/>
                <w:vertAlign w:val="superscript"/>
              </w:rPr>
              <w:t>(3)</w:t>
            </w:r>
          </w:p>
        </w:tc>
        <w:tc>
          <w:tcPr>
            <w:tcW w:w="1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6"/>
                <w:szCs w:val="16"/>
                <w:color w:val="auto"/>
              </w:rPr>
              <w:t>(5)</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(14)</w:t>
            </w:r>
          </w:p>
        </w:tc>
      </w:tr>
      <w:tr>
        <w:trPr>
          <w:trHeight w:val="205"/>
        </w:trPr>
        <w:tc>
          <w:tcPr>
            <w:tcW w:w="5360" w:type="dxa"/>
            <w:vAlign w:val="bottom"/>
            <w:shd w:val="clear" w:color="auto" w:fill="CFF0FC"/>
          </w:tcPr>
          <w:p>
            <w:pPr>
              <w:spacing w:after="0"/>
              <w:rPr>
                <w:sz w:val="20"/>
                <w:szCs w:val="20"/>
                <w:color w:val="auto"/>
              </w:rPr>
            </w:pPr>
            <w:r>
              <w:rPr>
                <w:rFonts w:ascii="Arial" w:cs="Arial" w:eastAsia="Arial" w:hAnsi="Arial"/>
                <w:sz w:val="16"/>
                <w:szCs w:val="16"/>
                <w:color w:val="auto"/>
              </w:rPr>
              <w:t xml:space="preserve">Idle costs </w:t>
            </w:r>
            <w:r>
              <w:rPr>
                <w:rFonts w:ascii="Arial" w:cs="Arial" w:eastAsia="Arial" w:hAnsi="Arial"/>
                <w:sz w:val="13"/>
                <w:szCs w:val="13"/>
                <w:color w:val="auto"/>
              </w:rPr>
              <w:t>(5)</w:t>
            </w:r>
          </w:p>
        </w:tc>
        <w:tc>
          <w:tcPr>
            <w:tcW w:w="14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(3)</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(3)</w:t>
            </w: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w:t>
            </w:r>
          </w:p>
        </w:tc>
      </w:tr>
      <w:tr>
        <w:trPr>
          <w:trHeight w:val="205"/>
        </w:trPr>
        <w:tc>
          <w:tcPr>
            <w:tcW w:w="5360" w:type="dxa"/>
            <w:vAlign w:val="bottom"/>
          </w:tcPr>
          <w:p>
            <w:pPr>
              <w:spacing w:after="0" w:line="205" w:lineRule="exact"/>
              <w:rPr>
                <w:sz w:val="20"/>
                <w:szCs w:val="20"/>
                <w:color w:val="auto"/>
              </w:rPr>
            </w:pPr>
            <w:r>
              <w:rPr>
                <w:rFonts w:ascii="Arial" w:cs="Arial" w:eastAsia="Arial" w:hAnsi="Arial"/>
                <w:sz w:val="16"/>
                <w:szCs w:val="16"/>
                <w:color w:val="auto"/>
              </w:rPr>
              <w:t xml:space="preserve">Change in U.S. vacation benefits </w:t>
            </w:r>
            <w:r>
              <w:rPr>
                <w:rFonts w:ascii="Arial" w:cs="Arial" w:eastAsia="Arial" w:hAnsi="Arial"/>
                <w:sz w:val="23"/>
                <w:szCs w:val="23"/>
                <w:color w:val="auto"/>
                <w:vertAlign w:val="superscript"/>
              </w:rPr>
              <w:t>(4)</w:t>
            </w:r>
          </w:p>
        </w:tc>
        <w:tc>
          <w:tcPr>
            <w:tcW w:w="1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17"/>
                <w:szCs w:val="17"/>
                <w:color w:val="auto"/>
              </w:rPr>
            </w:pPr>
          </w:p>
        </w:tc>
      </w:tr>
      <w:tr>
        <w:trPr>
          <w:trHeight w:val="192"/>
        </w:trPr>
        <w:tc>
          <w:tcPr>
            <w:tcW w:w="5360" w:type="dxa"/>
            <w:vAlign w:val="bottom"/>
            <w:shd w:val="clear" w:color="auto" w:fill="CFF0FC"/>
          </w:tcPr>
          <w:p>
            <w:pPr>
              <w:spacing w:after="0"/>
              <w:rPr>
                <w:sz w:val="20"/>
                <w:szCs w:val="20"/>
                <w:color w:val="auto"/>
              </w:rPr>
            </w:pPr>
            <w:r>
              <w:rPr>
                <w:rFonts w:ascii="Arial" w:cs="Arial" w:eastAsia="Arial" w:hAnsi="Arial"/>
                <w:sz w:val="16"/>
                <w:szCs w:val="16"/>
                <w:color w:val="auto"/>
              </w:rPr>
              <w:t>Manufacturing costs originally planned to be absorbed by</w:t>
            </w:r>
          </w:p>
        </w:tc>
        <w:tc>
          <w:tcPr>
            <w:tcW w:w="14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207"/>
        </w:trPr>
        <w:tc>
          <w:tcPr>
            <w:tcW w:w="53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 xml:space="preserve">silver halide touch screen production </w:t>
            </w:r>
            <w:r>
              <w:rPr>
                <w:rFonts w:ascii="Arial" w:cs="Arial" w:eastAsia="Arial" w:hAnsi="Arial"/>
                <w:sz w:val="13"/>
                <w:szCs w:val="13"/>
                <w:color w:val="auto"/>
              </w:rPr>
              <w:t>(6)</w:t>
            </w:r>
          </w:p>
        </w:tc>
        <w:tc>
          <w:tcPr>
            <w:tcW w:w="14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(3)</w:t>
            </w: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w:t>
            </w:r>
          </w:p>
        </w:tc>
      </w:tr>
      <w:tr>
        <w:trPr>
          <w:trHeight w:val="205"/>
        </w:trPr>
        <w:tc>
          <w:tcPr>
            <w:tcW w:w="5360" w:type="dxa"/>
            <w:vAlign w:val="bottom"/>
          </w:tcPr>
          <w:p>
            <w:pPr>
              <w:spacing w:after="0"/>
              <w:rPr>
                <w:sz w:val="20"/>
                <w:szCs w:val="20"/>
                <w:color w:val="auto"/>
              </w:rPr>
            </w:pPr>
            <w:r>
              <w:rPr>
                <w:rFonts w:ascii="Arial" w:cs="Arial" w:eastAsia="Arial" w:hAnsi="Arial"/>
                <w:sz w:val="16"/>
                <w:szCs w:val="16"/>
                <w:color w:val="auto"/>
              </w:rPr>
              <w:t xml:space="preserve">Costs previously allocated to discontinued operations </w:t>
            </w:r>
            <w:r>
              <w:rPr>
                <w:rFonts w:ascii="Arial" w:cs="Arial" w:eastAsia="Arial" w:hAnsi="Arial"/>
                <w:sz w:val="13"/>
                <w:szCs w:val="13"/>
                <w:color w:val="auto"/>
              </w:rPr>
              <w:t>(7)</w:t>
            </w:r>
          </w:p>
        </w:tc>
        <w:tc>
          <w:tcPr>
            <w:tcW w:w="1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(1)</w:t>
            </w:r>
          </w:p>
        </w:tc>
      </w:tr>
      <w:tr>
        <w:trPr>
          <w:trHeight w:val="192"/>
        </w:trPr>
        <w:tc>
          <w:tcPr>
            <w:tcW w:w="5360" w:type="dxa"/>
            <w:vAlign w:val="bottom"/>
            <w:shd w:val="clear" w:color="auto" w:fill="CFF0FC"/>
          </w:tcPr>
          <w:p>
            <w:pPr>
              <w:spacing w:after="0"/>
              <w:rPr>
                <w:sz w:val="20"/>
                <w:szCs w:val="20"/>
                <w:color w:val="auto"/>
              </w:rPr>
            </w:pPr>
            <w:r>
              <w:rPr>
                <w:rFonts w:ascii="Arial" w:cs="Arial" w:eastAsia="Arial" w:hAnsi="Arial"/>
                <w:sz w:val="16"/>
                <w:szCs w:val="16"/>
                <w:color w:val="auto"/>
              </w:rPr>
              <w:t>Other operating (expense) income, net excluding gain related</w:t>
            </w:r>
          </w:p>
        </w:tc>
        <w:tc>
          <w:tcPr>
            <w:tcW w:w="14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207"/>
        </w:trPr>
        <w:tc>
          <w:tcPr>
            <w:tcW w:w="53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 xml:space="preserve">to Unipixel termination </w:t>
            </w:r>
            <w:r>
              <w:rPr>
                <w:rFonts w:ascii="Arial" w:cs="Arial" w:eastAsia="Arial" w:hAnsi="Arial"/>
                <w:sz w:val="13"/>
                <w:szCs w:val="13"/>
                <w:color w:val="auto"/>
              </w:rPr>
              <w:t>(8)</w:t>
            </w:r>
          </w:p>
        </w:tc>
        <w:tc>
          <w:tcPr>
            <w:tcW w:w="14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(28)</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120" w:type="dxa"/>
            <w:vAlign w:val="bottom"/>
            <w:shd w:val="clear" w:color="auto" w:fill="CFF0FC"/>
          </w:tcPr>
          <w:p>
            <w:pPr>
              <w:spacing w:after="0"/>
              <w:rPr>
                <w:sz w:val="17"/>
                <w:szCs w:val="17"/>
                <w:color w:val="auto"/>
              </w:rPr>
            </w:pPr>
          </w:p>
        </w:tc>
      </w:tr>
      <w:tr>
        <w:trPr>
          <w:trHeight w:val="205"/>
        </w:trPr>
        <w:tc>
          <w:tcPr>
            <w:tcW w:w="5360" w:type="dxa"/>
            <w:vAlign w:val="bottom"/>
          </w:tcPr>
          <w:p>
            <w:pPr>
              <w:spacing w:after="0"/>
              <w:rPr>
                <w:sz w:val="20"/>
                <w:szCs w:val="20"/>
                <w:color w:val="auto"/>
              </w:rPr>
            </w:pPr>
            <w:r>
              <w:rPr>
                <w:rFonts w:ascii="Arial" w:cs="Arial" w:eastAsia="Arial" w:hAnsi="Arial"/>
                <w:sz w:val="16"/>
                <w:szCs w:val="16"/>
                <w:color w:val="auto"/>
              </w:rPr>
              <w:t xml:space="preserve">Goodwill impairment loss </w:t>
            </w:r>
            <w:r>
              <w:rPr>
                <w:rFonts w:ascii="Arial" w:cs="Arial" w:eastAsia="Arial" w:hAnsi="Arial"/>
                <w:sz w:val="13"/>
                <w:szCs w:val="13"/>
                <w:color w:val="auto"/>
              </w:rPr>
              <w:t>(9)</w:t>
            </w:r>
          </w:p>
        </w:tc>
        <w:tc>
          <w:tcPr>
            <w:tcW w:w="1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6"/>
                <w:szCs w:val="16"/>
                <w:color w:val="auto"/>
              </w:rPr>
              <w:t>(56)</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(8)</w:t>
            </w:r>
          </w:p>
        </w:tc>
      </w:tr>
      <w:tr>
        <w:trPr>
          <w:trHeight w:val="205"/>
        </w:trPr>
        <w:tc>
          <w:tcPr>
            <w:tcW w:w="5360" w:type="dxa"/>
            <w:vAlign w:val="bottom"/>
            <w:shd w:val="clear" w:color="auto" w:fill="CFF0FC"/>
          </w:tcPr>
          <w:p>
            <w:pPr>
              <w:spacing w:after="0"/>
              <w:rPr>
                <w:sz w:val="20"/>
                <w:szCs w:val="20"/>
                <w:color w:val="auto"/>
              </w:rPr>
            </w:pPr>
            <w:r>
              <w:rPr>
                <w:rFonts w:ascii="Arial" w:cs="Arial" w:eastAsia="Arial" w:hAnsi="Arial"/>
                <w:sz w:val="16"/>
                <w:szCs w:val="16"/>
                <w:color w:val="auto"/>
              </w:rPr>
              <w:t xml:space="preserve">Interest expense </w:t>
            </w:r>
            <w:r>
              <w:rPr>
                <w:rFonts w:ascii="Arial" w:cs="Arial" w:eastAsia="Arial" w:hAnsi="Arial"/>
                <w:sz w:val="13"/>
                <w:szCs w:val="13"/>
                <w:color w:val="auto"/>
              </w:rPr>
              <w:t>(9)</w:t>
            </w:r>
          </w:p>
        </w:tc>
        <w:tc>
          <w:tcPr>
            <w:tcW w:w="14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(32)</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(60)</w:t>
            </w: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(63)</w:t>
            </w:r>
          </w:p>
        </w:tc>
      </w:tr>
      <w:tr>
        <w:trPr>
          <w:trHeight w:val="205"/>
        </w:trPr>
        <w:tc>
          <w:tcPr>
            <w:tcW w:w="5360" w:type="dxa"/>
            <w:vAlign w:val="bottom"/>
          </w:tcPr>
          <w:p>
            <w:pPr>
              <w:spacing w:after="0"/>
              <w:rPr>
                <w:sz w:val="20"/>
                <w:szCs w:val="20"/>
                <w:color w:val="auto"/>
              </w:rPr>
            </w:pPr>
            <w:r>
              <w:rPr>
                <w:rFonts w:ascii="Arial" w:cs="Arial" w:eastAsia="Arial" w:hAnsi="Arial"/>
                <w:sz w:val="16"/>
                <w:szCs w:val="16"/>
                <w:color w:val="auto"/>
              </w:rPr>
              <w:t xml:space="preserve">Loss on early extinguishment of debt, net </w:t>
            </w:r>
            <w:r>
              <w:rPr>
                <w:rFonts w:ascii="Arial" w:cs="Arial" w:eastAsia="Arial" w:hAnsi="Arial"/>
                <w:sz w:val="13"/>
                <w:szCs w:val="13"/>
                <w:color w:val="auto"/>
              </w:rPr>
              <w:t>(9)</w:t>
            </w:r>
          </w:p>
        </w:tc>
        <w:tc>
          <w:tcPr>
            <w:tcW w:w="1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05"/>
        </w:trPr>
        <w:tc>
          <w:tcPr>
            <w:tcW w:w="5360" w:type="dxa"/>
            <w:vAlign w:val="bottom"/>
            <w:shd w:val="clear" w:color="auto" w:fill="CFF0FC"/>
          </w:tcPr>
          <w:p>
            <w:pPr>
              <w:spacing w:after="0"/>
              <w:rPr>
                <w:sz w:val="20"/>
                <w:szCs w:val="20"/>
                <w:color w:val="auto"/>
              </w:rPr>
            </w:pPr>
            <w:r>
              <w:rPr>
                <w:rFonts w:ascii="Arial" w:cs="Arial" w:eastAsia="Arial" w:hAnsi="Arial"/>
                <w:sz w:val="16"/>
                <w:szCs w:val="16"/>
                <w:color w:val="auto"/>
              </w:rPr>
              <w:t xml:space="preserve">Other income (charges), net </w:t>
            </w:r>
            <w:r>
              <w:rPr>
                <w:rFonts w:ascii="Arial" w:cs="Arial" w:eastAsia="Arial" w:hAnsi="Arial"/>
                <w:sz w:val="13"/>
                <w:szCs w:val="13"/>
                <w:color w:val="auto"/>
              </w:rPr>
              <w:t>(9)</w:t>
            </w:r>
          </w:p>
        </w:tc>
        <w:tc>
          <w:tcPr>
            <w:tcW w:w="14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w:t>
            </w: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(4)</w:t>
            </w: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(21)</w:t>
            </w:r>
          </w:p>
        </w:tc>
      </w:tr>
      <w:tr>
        <w:trPr>
          <w:trHeight w:val="205"/>
        </w:trPr>
        <w:tc>
          <w:tcPr>
            <w:tcW w:w="5360" w:type="dxa"/>
            <w:vAlign w:val="bottom"/>
          </w:tcPr>
          <w:p>
            <w:pPr>
              <w:spacing w:after="0"/>
              <w:rPr>
                <w:sz w:val="20"/>
                <w:szCs w:val="20"/>
                <w:color w:val="auto"/>
              </w:rPr>
            </w:pPr>
            <w:r>
              <w:rPr>
                <w:rFonts w:ascii="Arial" w:cs="Arial" w:eastAsia="Arial" w:hAnsi="Arial"/>
                <w:sz w:val="16"/>
                <w:szCs w:val="16"/>
                <w:color w:val="auto"/>
              </w:rPr>
              <w:t xml:space="preserve">Reorganization items, net </w:t>
            </w:r>
            <w:r>
              <w:rPr>
                <w:rFonts w:ascii="Arial" w:cs="Arial" w:eastAsia="Arial" w:hAnsi="Arial"/>
                <w:sz w:val="13"/>
                <w:szCs w:val="13"/>
                <w:color w:val="auto"/>
              </w:rPr>
              <w:t>(9)</w:t>
            </w:r>
          </w:p>
        </w:tc>
        <w:tc>
          <w:tcPr>
            <w:tcW w:w="1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(5)</w:t>
            </w:r>
          </w:p>
        </w:tc>
      </w:tr>
      <w:tr>
        <w:trPr>
          <w:trHeight w:val="185"/>
        </w:trPr>
        <w:tc>
          <w:tcPr>
            <w:tcW w:w="5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Consolidated (loss) earnings from continuing operations</w:t>
            </w:r>
          </w:p>
        </w:tc>
        <w:tc>
          <w:tcPr>
            <w:tcW w:w="1420" w:type="dxa"/>
            <w:vAlign w:val="bottom"/>
            <w:tcBorders>
              <w:top w:val="single" w:sz="8" w:color="CFF0FC"/>
            </w:tcBorders>
            <w:shd w:val="clear" w:color="auto" w:fill="CFF0FC"/>
          </w:tcPr>
          <w:p>
            <w:pPr>
              <w:spacing w:after="0"/>
              <w:rPr>
                <w:sz w:val="16"/>
                <w:szCs w:val="16"/>
                <w:color w:val="auto"/>
              </w:rPr>
            </w:pPr>
          </w:p>
        </w:tc>
        <w:tc>
          <w:tcPr>
            <w:tcW w:w="300" w:type="dxa"/>
            <w:vAlign w:val="bottom"/>
            <w:tcBorders>
              <w:top w:val="single" w:sz="8" w:color="auto"/>
            </w:tcBorders>
            <w:shd w:val="clear" w:color="auto" w:fill="CFF0FC"/>
          </w:tcPr>
          <w:p>
            <w:pPr>
              <w:spacing w:after="0"/>
              <w:rPr>
                <w:sz w:val="16"/>
                <w:szCs w:val="16"/>
                <w:color w:val="auto"/>
              </w:rPr>
            </w:pPr>
          </w:p>
        </w:tc>
        <w:tc>
          <w:tcPr>
            <w:tcW w:w="1020" w:type="dxa"/>
            <w:vAlign w:val="bottom"/>
            <w:tcBorders>
              <w:top w:val="single" w:sz="8" w:color="auto"/>
            </w:tcBorders>
            <w:shd w:val="clear" w:color="auto" w:fill="CFF0FC"/>
          </w:tcPr>
          <w:p>
            <w:pPr>
              <w:spacing w:after="0"/>
              <w:rPr>
                <w:sz w:val="16"/>
                <w:szCs w:val="16"/>
                <w:color w:val="auto"/>
              </w:rPr>
            </w:pPr>
          </w:p>
        </w:tc>
        <w:tc>
          <w:tcPr>
            <w:tcW w:w="140" w:type="dxa"/>
            <w:vAlign w:val="bottom"/>
            <w:tcBorders>
              <w:top w:val="single" w:sz="8" w:color="CFF0FC"/>
            </w:tcBorders>
            <w:shd w:val="clear" w:color="auto" w:fill="CFF0FC"/>
          </w:tcPr>
          <w:p>
            <w:pPr>
              <w:spacing w:after="0"/>
              <w:rPr>
                <w:sz w:val="16"/>
                <w:szCs w:val="16"/>
                <w:color w:val="auto"/>
              </w:rPr>
            </w:pPr>
          </w:p>
        </w:tc>
        <w:tc>
          <w:tcPr>
            <w:tcW w:w="140" w:type="dxa"/>
            <w:vAlign w:val="bottom"/>
            <w:tcBorders>
              <w:top w:val="single" w:sz="8" w:color="CFF0FC"/>
            </w:tcBorders>
            <w:shd w:val="clear" w:color="auto" w:fill="CFF0FC"/>
          </w:tcPr>
          <w:p>
            <w:pPr>
              <w:spacing w:after="0"/>
              <w:rPr>
                <w:sz w:val="16"/>
                <w:szCs w:val="16"/>
                <w:color w:val="auto"/>
              </w:rPr>
            </w:pPr>
          </w:p>
        </w:tc>
        <w:tc>
          <w:tcPr>
            <w:tcW w:w="300" w:type="dxa"/>
            <w:vAlign w:val="bottom"/>
            <w:tcBorders>
              <w:top w:val="single" w:sz="8" w:color="auto"/>
            </w:tcBorders>
            <w:shd w:val="clear" w:color="auto" w:fill="CFF0FC"/>
          </w:tcPr>
          <w:p>
            <w:pPr>
              <w:spacing w:after="0"/>
              <w:rPr>
                <w:sz w:val="16"/>
                <w:szCs w:val="16"/>
                <w:color w:val="auto"/>
              </w:rPr>
            </w:pPr>
          </w:p>
        </w:tc>
        <w:tc>
          <w:tcPr>
            <w:tcW w:w="1040" w:type="dxa"/>
            <w:vAlign w:val="bottom"/>
            <w:tcBorders>
              <w:top w:val="single" w:sz="8" w:color="auto"/>
            </w:tcBorders>
            <w:shd w:val="clear" w:color="auto" w:fill="CFF0FC"/>
          </w:tcPr>
          <w:p>
            <w:pPr>
              <w:spacing w:after="0"/>
              <w:rPr>
                <w:sz w:val="16"/>
                <w:szCs w:val="16"/>
                <w:color w:val="auto"/>
              </w:rPr>
            </w:pPr>
          </w:p>
        </w:tc>
        <w:tc>
          <w:tcPr>
            <w:tcW w:w="16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300" w:type="dxa"/>
            <w:vAlign w:val="bottom"/>
            <w:tcBorders>
              <w:top w:val="single" w:sz="8" w:color="auto"/>
            </w:tcBorders>
            <w:shd w:val="clear" w:color="auto" w:fill="CFF0FC"/>
          </w:tcPr>
          <w:p>
            <w:pPr>
              <w:spacing w:after="0"/>
              <w:rPr>
                <w:sz w:val="16"/>
                <w:szCs w:val="16"/>
                <w:color w:val="auto"/>
              </w:rPr>
            </w:pPr>
          </w:p>
        </w:tc>
        <w:tc>
          <w:tcPr>
            <w:tcW w:w="104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r>
      <w:tr>
        <w:trPr>
          <w:trHeight w:val="206"/>
        </w:trPr>
        <w:tc>
          <w:tcPr>
            <w:tcW w:w="53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before income taxes</w:t>
            </w:r>
          </w:p>
        </w:tc>
        <w:tc>
          <w:tcPr>
            <w:tcW w:w="1720" w:type="dxa"/>
            <w:vAlign w:val="bottom"/>
            <w:gridSpan w:val="2"/>
            <w:shd w:val="clear" w:color="auto" w:fill="CFF0FC"/>
          </w:tcPr>
          <w:p>
            <w:pPr>
              <w:jc w:val="right"/>
              <w:ind w:right="144"/>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(13)</w:t>
            </w:r>
          </w:p>
        </w:tc>
        <w:tc>
          <w:tcPr>
            <w:tcW w:w="440" w:type="dxa"/>
            <w:vAlign w:val="bottom"/>
            <w:gridSpan w:val="2"/>
            <w:shd w:val="clear" w:color="auto" w:fill="CFF0FC"/>
          </w:tcPr>
          <w:p>
            <w:pPr>
              <w:jc w:val="right"/>
              <w:ind w:right="144"/>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w:t>
            </w:r>
          </w:p>
        </w:tc>
        <w:tc>
          <w:tcPr>
            <w:tcW w:w="160" w:type="dxa"/>
            <w:vAlign w:val="bottom"/>
            <w:shd w:val="clear" w:color="auto" w:fill="CFF0FC"/>
          </w:tcPr>
          <w:p>
            <w:pPr>
              <w:spacing w:after="0"/>
              <w:rPr>
                <w:sz w:val="17"/>
                <w:szCs w:val="17"/>
                <w:color w:val="auto"/>
              </w:rPr>
            </w:pPr>
          </w:p>
        </w:tc>
        <w:tc>
          <w:tcPr>
            <w:tcW w:w="400" w:type="dxa"/>
            <w:vAlign w:val="bottom"/>
            <w:gridSpan w:val="2"/>
            <w:shd w:val="clear" w:color="auto" w:fill="CFF0FC"/>
          </w:tcPr>
          <w:p>
            <w:pPr>
              <w:jc w:val="right"/>
              <w:ind w:right="144"/>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(35)</w:t>
            </w:r>
          </w:p>
        </w:tc>
      </w:tr>
      <w:tr>
        <w:trPr>
          <w:trHeight w:val="20"/>
        </w:trPr>
        <w:tc>
          <w:tcPr>
            <w:tcW w:w="5360" w:type="dxa"/>
            <w:vAlign w:val="bottom"/>
            <w:tcBorders>
              <w:top w:val="single" w:sz="8" w:color="CFF0FC"/>
            </w:tcBorders>
          </w:tcPr>
          <w:p>
            <w:pPr>
              <w:spacing w:after="0" w:line="20" w:lineRule="exact"/>
              <w:rPr>
                <w:sz w:val="1"/>
                <w:szCs w:val="1"/>
                <w:color w:val="auto"/>
              </w:rPr>
            </w:pPr>
          </w:p>
        </w:tc>
        <w:tc>
          <w:tcPr>
            <w:tcW w:w="142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205" w:lineRule="exact"/>
        <w:rPr>
          <w:sz w:val="20"/>
          <w:szCs w:val="20"/>
          <w:color w:val="auto"/>
        </w:rPr>
      </w:pPr>
    </w:p>
    <w:p>
      <w:pPr>
        <w:ind w:left="383" w:hanging="383"/>
        <w:spacing w:after="0"/>
        <w:tabs>
          <w:tab w:leader="none" w:pos="383" w:val="left"/>
        </w:tabs>
        <w:numPr>
          <w:ilvl w:val="0"/>
          <w:numId w:val="40"/>
        </w:numPr>
        <w:rPr>
          <w:rFonts w:ascii="Arial" w:cs="Arial" w:eastAsia="Arial" w:hAnsi="Arial"/>
          <w:sz w:val="13"/>
          <w:szCs w:val="13"/>
          <w:color w:val="auto"/>
        </w:rPr>
      </w:pPr>
      <w:r>
        <w:rPr>
          <w:rFonts w:ascii="Arial" w:cs="Arial" w:eastAsia="Arial" w:hAnsi="Arial"/>
          <w:sz w:val="15"/>
          <w:szCs w:val="15"/>
          <w:color w:val="auto"/>
        </w:rPr>
        <w:t>RED utilities variable interest entity which was deconsolidated as of December 31, 2016 (interest and depreciation of RED are included in the respective lines below).</w:t>
      </w:r>
    </w:p>
    <w:p>
      <w:pPr>
        <w:spacing w:after="0" w:line="117" w:lineRule="exact"/>
        <w:rPr>
          <w:rFonts w:ascii="Arial" w:cs="Arial" w:eastAsia="Arial" w:hAnsi="Arial"/>
          <w:sz w:val="13"/>
          <w:szCs w:val="13"/>
          <w:color w:val="auto"/>
        </w:rPr>
      </w:pPr>
    </w:p>
    <w:p>
      <w:pPr>
        <w:ind w:left="383" w:right="340" w:hanging="383"/>
        <w:spacing w:after="0" w:line="280" w:lineRule="auto"/>
        <w:tabs>
          <w:tab w:leader="none" w:pos="383" w:val="left"/>
        </w:tabs>
        <w:numPr>
          <w:ilvl w:val="0"/>
          <w:numId w:val="40"/>
        </w:numPr>
        <w:rPr>
          <w:rFonts w:ascii="Arial" w:cs="Arial" w:eastAsia="Arial" w:hAnsi="Arial"/>
          <w:sz w:val="14"/>
          <w:szCs w:val="14"/>
          <w:color w:val="auto"/>
        </w:rPr>
      </w:pPr>
      <w:r>
        <w:rPr>
          <w:rFonts w:ascii="Arial" w:cs="Arial" w:eastAsia="Arial" w:hAnsi="Arial"/>
          <w:sz w:val="16"/>
          <w:szCs w:val="16"/>
          <w:color w:val="auto"/>
        </w:rPr>
        <w:t>Composed of interest cost, expected return on plan assets, amortization of actuarial gains and losses, and curtailments and settlement components of pension and other postretirement benefit expenses.</w:t>
      </w:r>
    </w:p>
    <w:p>
      <w:pPr>
        <w:spacing w:after="0" w:line="54" w:lineRule="exact"/>
        <w:rPr>
          <w:rFonts w:ascii="Arial" w:cs="Arial" w:eastAsia="Arial" w:hAnsi="Arial"/>
          <w:sz w:val="14"/>
          <w:szCs w:val="14"/>
          <w:color w:val="auto"/>
        </w:rPr>
      </w:pPr>
    </w:p>
    <w:p>
      <w:pPr>
        <w:ind w:left="383" w:hanging="383"/>
        <w:spacing w:after="0"/>
        <w:tabs>
          <w:tab w:leader="none" w:pos="383" w:val="left"/>
        </w:tabs>
        <w:numPr>
          <w:ilvl w:val="0"/>
          <w:numId w:val="40"/>
        </w:numPr>
        <w:rPr>
          <w:rFonts w:ascii="Arial" w:cs="Arial" w:eastAsia="Arial" w:hAnsi="Arial"/>
          <w:sz w:val="14"/>
          <w:szCs w:val="14"/>
          <w:color w:val="auto"/>
        </w:rPr>
      </w:pPr>
      <w:r>
        <w:rPr>
          <w:rFonts w:ascii="Arial" w:cs="Arial" w:eastAsia="Arial" w:hAnsi="Arial"/>
          <w:sz w:val="16"/>
          <w:szCs w:val="16"/>
          <w:color w:val="auto"/>
        </w:rPr>
        <w:t>Consulting and other costs are professional services and internal costs associated with certain corporate strategic initiatives.</w:t>
      </w:r>
    </w:p>
    <w:p>
      <w:pPr>
        <w:spacing w:after="0" w:line="106" w:lineRule="exact"/>
        <w:rPr>
          <w:rFonts w:ascii="Arial" w:cs="Arial" w:eastAsia="Arial" w:hAnsi="Arial"/>
          <w:sz w:val="14"/>
          <w:szCs w:val="14"/>
          <w:color w:val="auto"/>
        </w:rPr>
      </w:pPr>
    </w:p>
    <w:p>
      <w:pPr>
        <w:ind w:left="383" w:right="20" w:hanging="383"/>
        <w:spacing w:after="0" w:line="266" w:lineRule="auto"/>
        <w:tabs>
          <w:tab w:leader="none" w:pos="383" w:val="left"/>
        </w:tabs>
        <w:numPr>
          <w:ilvl w:val="0"/>
          <w:numId w:val="40"/>
        </w:numPr>
        <w:rPr>
          <w:rFonts w:ascii="Arial" w:cs="Arial" w:eastAsia="Arial" w:hAnsi="Arial"/>
          <w:sz w:val="14"/>
          <w:szCs w:val="14"/>
          <w:color w:val="auto"/>
        </w:rPr>
      </w:pPr>
      <w:r>
        <w:rPr>
          <w:rFonts w:ascii="Arial" w:cs="Arial" w:eastAsia="Arial" w:hAnsi="Arial"/>
          <w:sz w:val="16"/>
          <w:szCs w:val="16"/>
          <w:color w:val="auto"/>
        </w:rPr>
        <w:t>In the fourth quarter of 2015, Kodak changed the timing of when affected U.S. employees earn their vacation benefits, which reduced Kodak’s obligation to employees and the related accrual by $17 million as of December 31, 2015. The reduction in the accrual impacted gross profit by approximately $9 million, SG&amp;A by approximately $5 million and R&amp;D by approximately $3 million.</w:t>
      </w:r>
    </w:p>
    <w:p>
      <w:pPr>
        <w:spacing w:after="0" w:line="65" w:lineRule="exact"/>
        <w:rPr>
          <w:rFonts w:ascii="Arial" w:cs="Arial" w:eastAsia="Arial" w:hAnsi="Arial"/>
          <w:sz w:val="14"/>
          <w:szCs w:val="14"/>
          <w:color w:val="auto"/>
        </w:rPr>
      </w:pPr>
    </w:p>
    <w:p>
      <w:pPr>
        <w:ind w:left="383" w:hanging="383"/>
        <w:spacing w:after="0"/>
        <w:tabs>
          <w:tab w:leader="none" w:pos="383" w:val="left"/>
        </w:tabs>
        <w:numPr>
          <w:ilvl w:val="0"/>
          <w:numId w:val="40"/>
        </w:numPr>
        <w:rPr>
          <w:rFonts w:ascii="Arial" w:cs="Arial" w:eastAsia="Arial" w:hAnsi="Arial"/>
          <w:sz w:val="13"/>
          <w:szCs w:val="13"/>
          <w:color w:val="auto"/>
        </w:rPr>
      </w:pPr>
      <w:r>
        <w:rPr>
          <w:rFonts w:ascii="Arial" w:cs="Arial" w:eastAsia="Arial" w:hAnsi="Arial"/>
          <w:sz w:val="15"/>
          <w:szCs w:val="15"/>
          <w:color w:val="auto"/>
        </w:rPr>
        <w:t>Consists of third party costs such as security, maintenance, and utilities required to maintain land and buildings in certain locations not used in any Kodak operations.</w:t>
      </w:r>
    </w:p>
    <w:p>
      <w:pPr>
        <w:spacing w:after="0" w:line="117" w:lineRule="exact"/>
        <w:rPr>
          <w:rFonts w:ascii="Arial" w:cs="Arial" w:eastAsia="Arial" w:hAnsi="Arial"/>
          <w:sz w:val="13"/>
          <w:szCs w:val="13"/>
          <w:color w:val="auto"/>
        </w:rPr>
      </w:pPr>
    </w:p>
    <w:p>
      <w:pPr>
        <w:ind w:left="383" w:right="60" w:hanging="383"/>
        <w:spacing w:after="0" w:line="280" w:lineRule="auto"/>
        <w:tabs>
          <w:tab w:leader="none" w:pos="383" w:val="left"/>
        </w:tabs>
        <w:numPr>
          <w:ilvl w:val="0"/>
          <w:numId w:val="40"/>
        </w:numPr>
        <w:rPr>
          <w:rFonts w:ascii="Arial" w:cs="Arial" w:eastAsia="Arial" w:hAnsi="Arial"/>
          <w:sz w:val="14"/>
          <w:szCs w:val="14"/>
          <w:color w:val="auto"/>
        </w:rPr>
      </w:pPr>
      <w:r>
        <w:rPr>
          <w:rFonts w:ascii="Arial" w:cs="Arial" w:eastAsia="Arial" w:hAnsi="Arial"/>
          <w:sz w:val="16"/>
          <w:szCs w:val="16"/>
          <w:color w:val="auto"/>
        </w:rPr>
        <w:t>Consists of manufacturing costs originally planned to be absorbed by silver metal mesh touch screen production that are now excluded from the measure of segment profit and loss.</w:t>
      </w:r>
    </w:p>
    <w:p>
      <w:pPr>
        <w:spacing w:after="0" w:line="175" w:lineRule="exact"/>
        <w:rPr>
          <w:rFonts w:ascii="Arial" w:cs="Arial" w:eastAsia="Arial" w:hAnsi="Arial"/>
          <w:sz w:val="14"/>
          <w:szCs w:val="14"/>
          <w:color w:val="auto"/>
        </w:rPr>
      </w:pPr>
    </w:p>
    <w:p>
      <w:pPr>
        <w:ind w:left="383" w:right="500" w:hanging="383"/>
        <w:spacing w:after="0" w:line="280" w:lineRule="auto"/>
        <w:tabs>
          <w:tab w:leader="none" w:pos="383" w:val="left"/>
        </w:tabs>
        <w:numPr>
          <w:ilvl w:val="0"/>
          <w:numId w:val="40"/>
        </w:numPr>
        <w:rPr>
          <w:rFonts w:ascii="Arial" w:cs="Arial" w:eastAsia="Arial" w:hAnsi="Arial"/>
          <w:sz w:val="14"/>
          <w:szCs w:val="14"/>
          <w:color w:val="auto"/>
        </w:rPr>
      </w:pPr>
      <w:r>
        <w:rPr>
          <w:rFonts w:ascii="Arial" w:cs="Arial" w:eastAsia="Arial" w:hAnsi="Arial"/>
          <w:sz w:val="16"/>
          <w:szCs w:val="16"/>
          <w:color w:val="auto"/>
        </w:rPr>
        <w:t>Includes indirect costs originally associated with businesses that are now included in discontinued operations. When the businesses met the criteria to be reported as discontinued operations, the allocated indirect costs were removed and recorded in continuing operations.</w:t>
      </w:r>
    </w:p>
    <w:p>
      <w:pPr>
        <w:spacing w:after="0" w:line="175" w:lineRule="exact"/>
        <w:rPr>
          <w:rFonts w:ascii="Arial" w:cs="Arial" w:eastAsia="Arial" w:hAnsi="Arial"/>
          <w:sz w:val="14"/>
          <w:szCs w:val="14"/>
          <w:color w:val="auto"/>
        </w:rPr>
      </w:pPr>
    </w:p>
    <w:p>
      <w:pPr>
        <w:ind w:left="383" w:hanging="383"/>
        <w:spacing w:after="0"/>
        <w:tabs>
          <w:tab w:leader="none" w:pos="383" w:val="left"/>
        </w:tabs>
        <w:numPr>
          <w:ilvl w:val="0"/>
          <w:numId w:val="40"/>
        </w:numPr>
        <w:rPr>
          <w:rFonts w:ascii="Arial" w:cs="Arial" w:eastAsia="Arial" w:hAnsi="Arial"/>
          <w:sz w:val="13"/>
          <w:szCs w:val="13"/>
          <w:color w:val="auto"/>
        </w:rPr>
      </w:pPr>
      <w:r>
        <w:rPr>
          <w:rFonts w:ascii="Arial" w:cs="Arial" w:eastAsia="Arial" w:hAnsi="Arial"/>
          <w:sz w:val="15"/>
          <w:szCs w:val="15"/>
          <w:color w:val="auto"/>
        </w:rPr>
        <w:t>In 2015 a $3 million gain was recognized related to assets that were acquired for no monetary consideration as a part of the termination of the relationship with</w:t>
      </w:r>
    </w:p>
    <w:p>
      <w:pPr>
        <w:spacing w:after="0" w:line="33" w:lineRule="exact"/>
        <w:rPr>
          <w:rFonts w:ascii="Arial" w:cs="Arial" w:eastAsia="Arial" w:hAnsi="Arial"/>
          <w:sz w:val="13"/>
          <w:szCs w:val="13"/>
          <w:color w:val="auto"/>
        </w:rPr>
      </w:pPr>
    </w:p>
    <w:p>
      <w:pPr>
        <w:ind w:left="383" w:right="20"/>
        <w:spacing w:after="0" w:line="336" w:lineRule="auto"/>
        <w:rPr>
          <w:rFonts w:ascii="Arial" w:cs="Arial" w:eastAsia="Arial" w:hAnsi="Arial"/>
          <w:sz w:val="13"/>
          <w:szCs w:val="13"/>
          <w:color w:val="auto"/>
        </w:rPr>
      </w:pPr>
      <w:r>
        <w:rPr>
          <w:rFonts w:ascii="Arial" w:cs="Arial" w:eastAsia="Arial" w:hAnsi="Arial"/>
          <w:sz w:val="14"/>
          <w:szCs w:val="14"/>
          <w:color w:val="auto"/>
        </w:rPr>
        <w:t>Unipixel. The gain was reported in Other operating expense (income), net in the Consolidated Statement of Operations. Other operating expense (income), net is typically excluded from the segment measure. However, this particular gain was included in the Advanced Materials and 3D Printing Technology segment’s earnings in 2015.</w:t>
      </w:r>
    </w:p>
    <w:p>
      <w:pPr>
        <w:spacing w:after="0" w:line="141" w:lineRule="exact"/>
        <w:rPr>
          <w:rFonts w:ascii="Arial" w:cs="Arial" w:eastAsia="Arial" w:hAnsi="Arial"/>
          <w:sz w:val="13"/>
          <w:szCs w:val="13"/>
          <w:color w:val="auto"/>
        </w:rPr>
      </w:pPr>
    </w:p>
    <w:p>
      <w:pPr>
        <w:ind w:left="383" w:hanging="383"/>
        <w:spacing w:after="0"/>
        <w:tabs>
          <w:tab w:leader="none" w:pos="383" w:val="left"/>
        </w:tabs>
        <w:numPr>
          <w:ilvl w:val="0"/>
          <w:numId w:val="40"/>
        </w:numPr>
        <w:rPr>
          <w:rFonts w:ascii="Arial" w:cs="Arial" w:eastAsia="Arial" w:hAnsi="Arial"/>
          <w:sz w:val="14"/>
          <w:szCs w:val="14"/>
          <w:color w:val="auto"/>
        </w:rPr>
      </w:pPr>
      <w:r>
        <w:rPr>
          <w:rFonts w:ascii="Arial" w:cs="Arial" w:eastAsia="Arial" w:hAnsi="Arial"/>
          <w:sz w:val="16"/>
          <w:szCs w:val="16"/>
          <w:color w:val="auto"/>
        </w:rPr>
        <w:t>As reported in the Consolidated Statement of Operations.</w:t>
      </w:r>
    </w:p>
    <w:p>
      <w:pPr>
        <w:spacing w:after="0" w:line="203"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62865</wp:posOffset>
            </wp:positionV>
            <wp:extent cx="7301865" cy="406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301865" cy="40640"/>
                    </a:xfrm>
                    <a:prstGeom prst="rect">
                      <a:avLst/>
                    </a:prstGeom>
                    <a:noFill/>
                  </pic:spPr>
                </pic:pic>
              </a:graphicData>
            </a:graphic>
          </wp:anchor>
        </w:drawing>
      </w:r>
    </w:p>
    <w:p>
      <w:pPr>
        <w:sectPr>
          <w:pgSz w:w="11900" w:h="16838" w:orient="portrait"/>
          <w:cols w:equalWidth="0" w:num="1">
            <w:col w:w="11443"/>
          </w:cols>
          <w:pgMar w:left="237" w:top="220" w:right="219" w:bottom="1440" w:gutter="0" w:footer="0" w:header="0"/>
        </w:sectPr>
      </w:pPr>
    </w:p>
    <w:bookmarkStart w:id="99" w:name="page100"/>
    <w:bookmarkEnd w:id="99"/>
    <w:p>
      <w:pPr>
        <w:ind w:left="3" w:right="220"/>
        <w:spacing w:after="0" w:line="280" w:lineRule="auto"/>
        <w:rPr>
          <w:sz w:val="20"/>
          <w:szCs w:val="20"/>
          <w:color w:val="auto"/>
        </w:rPr>
      </w:pPr>
      <w:r>
        <w:rPr>
          <w:rFonts w:ascii="Arial" w:cs="Arial" w:eastAsia="Arial" w:hAnsi="Arial"/>
          <w:sz w:val="16"/>
          <w:szCs w:val="16"/>
          <w:color w:val="auto"/>
        </w:rPr>
        <w:t>Kodak reduced workers’ compensation reserves by approximately $8 million in both 2016 and 2015, primarily driven by changes in discount rates. The reduction in reserves impacted gross profit by approximately $4 million, SG&amp;A by approximately $3 million and R&amp;D by approximately $1 million in both years.</w:t>
      </w:r>
    </w:p>
    <w:p>
      <w:pPr>
        <w:spacing w:after="0" w:line="54" w:lineRule="exact"/>
        <w:rPr>
          <w:sz w:val="20"/>
          <w:szCs w:val="20"/>
          <w:color w:val="auto"/>
        </w:rPr>
      </w:pPr>
    </w:p>
    <w:p>
      <w:pPr>
        <w:ind w:left="3"/>
        <w:spacing w:after="0"/>
        <w:rPr>
          <w:sz w:val="20"/>
          <w:szCs w:val="20"/>
          <w:color w:val="auto"/>
        </w:rPr>
      </w:pPr>
      <w:r>
        <w:rPr>
          <w:rFonts w:ascii="Arial" w:cs="Arial" w:eastAsia="Arial" w:hAnsi="Arial"/>
          <w:sz w:val="16"/>
          <w:szCs w:val="16"/>
          <w:color w:val="auto"/>
        </w:rPr>
        <w:t>Amortization and depreciation expense by segment are not included in the segment measure of profit and loss but are regularly provided to the CODM.</w:t>
      </w:r>
    </w:p>
    <w:p>
      <w:pPr>
        <w:spacing w:after="0" w:line="235" w:lineRule="exact"/>
        <w:rPr>
          <w:sz w:val="20"/>
          <w:szCs w:val="20"/>
          <w:color w:val="auto"/>
        </w:rPr>
      </w:pPr>
    </w:p>
    <w:tbl>
      <w:tblPr>
        <w:tblLayout w:type="fixed"/>
        <w:tblInd w:w="1143" w:type="dxa"/>
        <w:tblCellMar>
          <w:top w:w="0" w:type="dxa"/>
          <w:left w:w="0" w:type="dxa"/>
          <w:bottom w:w="0" w:type="dxa"/>
          <w:right w:w="0" w:type="dxa"/>
        </w:tblCellMar>
      </w:tblPr>
      <w:tr>
        <w:trPr>
          <w:trHeight w:val="205"/>
        </w:trPr>
        <w:tc>
          <w:tcPr>
            <w:tcW w:w="5400" w:type="dxa"/>
            <w:vAlign w:val="bottom"/>
          </w:tcPr>
          <w:p>
            <w:pPr>
              <w:spacing w:after="0"/>
              <w:rPr>
                <w:sz w:val="20"/>
                <w:szCs w:val="20"/>
                <w:color w:val="auto"/>
              </w:rPr>
            </w:pPr>
            <w:r>
              <w:rPr>
                <w:rFonts w:ascii="Arial" w:cs="Arial" w:eastAsia="Arial" w:hAnsi="Arial"/>
                <w:sz w:val="13"/>
                <w:szCs w:val="13"/>
                <w:b w:val="1"/>
                <w:bCs w:val="1"/>
                <w:color w:val="auto"/>
              </w:rPr>
              <w:t>(in millions)</w:t>
            </w:r>
          </w:p>
        </w:tc>
        <w:tc>
          <w:tcPr>
            <w:tcW w:w="240" w:type="dxa"/>
            <w:vAlign w:val="bottom"/>
          </w:tcPr>
          <w:p>
            <w:pPr>
              <w:spacing w:after="0"/>
              <w:rPr>
                <w:sz w:val="17"/>
                <w:szCs w:val="17"/>
                <w:color w:val="auto"/>
              </w:rPr>
            </w:pPr>
          </w:p>
        </w:tc>
        <w:tc>
          <w:tcPr>
            <w:tcW w:w="2600" w:type="dxa"/>
            <w:vAlign w:val="bottom"/>
            <w:gridSpan w:val="6"/>
          </w:tcPr>
          <w:p>
            <w:pPr>
              <w:jc w:val="right"/>
              <w:ind w:right="44"/>
              <w:spacing w:after="0"/>
              <w:rPr>
                <w:sz w:val="20"/>
                <w:szCs w:val="20"/>
                <w:color w:val="auto"/>
              </w:rPr>
            </w:pPr>
            <w:r>
              <w:rPr>
                <w:rFonts w:ascii="Arial" w:cs="Arial" w:eastAsia="Arial" w:hAnsi="Arial"/>
                <w:sz w:val="16"/>
                <w:szCs w:val="16"/>
                <w:b w:val="1"/>
                <w:bCs w:val="1"/>
                <w:color w:val="auto"/>
              </w:rPr>
              <w:t>Year Ended December 31,</w:t>
            </w: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0"/>
        </w:trPr>
        <w:tc>
          <w:tcPr>
            <w:tcW w:w="5400" w:type="dxa"/>
            <w:vAlign w:val="bottom"/>
            <w:tcBorders>
              <w:bottom w:val="single" w:sz="8" w:color="CFF0FC"/>
            </w:tcBorders>
          </w:tcPr>
          <w:p>
            <w:pPr>
              <w:spacing w:after="0"/>
              <w:rPr>
                <w:sz w:val="20"/>
                <w:szCs w:val="20"/>
                <w:color w:val="auto"/>
              </w:rPr>
            </w:pPr>
            <w:r>
              <w:rPr>
                <w:rFonts w:ascii="Arial" w:cs="Arial" w:eastAsia="Arial" w:hAnsi="Arial"/>
                <w:sz w:val="13"/>
                <w:szCs w:val="13"/>
                <w:b w:val="1"/>
                <w:bCs w:val="1"/>
                <w:color w:val="auto"/>
              </w:rPr>
              <w:t>Intangible asset amortization expense from continuing operations:</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2017</w:t>
            </w:r>
          </w:p>
        </w:tc>
        <w:tc>
          <w:tcPr>
            <w:tcW w:w="20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2016</w:t>
            </w:r>
          </w:p>
        </w:tc>
        <w:tc>
          <w:tcPr>
            <w:tcW w:w="22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2015</w:t>
            </w:r>
          </w:p>
        </w:tc>
        <w:tc>
          <w:tcPr>
            <w:tcW w:w="80" w:type="dxa"/>
            <w:vAlign w:val="bottom"/>
            <w:tcBorders>
              <w:bottom w:val="single" w:sz="8" w:color="CFF0FC"/>
            </w:tcBorders>
          </w:tcPr>
          <w:p>
            <w:pPr>
              <w:spacing w:after="0"/>
              <w:rPr>
                <w:sz w:val="18"/>
                <w:szCs w:val="18"/>
                <w:color w:val="auto"/>
              </w:rPr>
            </w:pPr>
          </w:p>
        </w:tc>
      </w:tr>
      <w:tr>
        <w:trPr>
          <w:trHeight w:val="198"/>
        </w:trPr>
        <w:tc>
          <w:tcPr>
            <w:tcW w:w="5400" w:type="dxa"/>
            <w:vAlign w:val="bottom"/>
            <w:shd w:val="clear" w:color="auto" w:fill="CFF0FC"/>
          </w:tcPr>
          <w:p>
            <w:pPr>
              <w:spacing w:after="0"/>
              <w:rPr>
                <w:sz w:val="20"/>
                <w:szCs w:val="20"/>
                <w:color w:val="auto"/>
              </w:rPr>
            </w:pPr>
            <w:r>
              <w:rPr>
                <w:rFonts w:ascii="Arial" w:cs="Arial" w:eastAsia="Arial" w:hAnsi="Arial"/>
                <w:sz w:val="16"/>
                <w:szCs w:val="16"/>
                <w:color w:val="auto"/>
              </w:rPr>
              <w:t>Print Systems</w:t>
            </w: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w:t>
            </w: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w:t>
            </w: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w:t>
            </w:r>
          </w:p>
        </w:tc>
        <w:tc>
          <w:tcPr>
            <w:tcW w:w="80" w:type="dxa"/>
            <w:vAlign w:val="bottom"/>
            <w:shd w:val="clear" w:color="auto" w:fill="CFF0FC"/>
          </w:tcPr>
          <w:p>
            <w:pPr>
              <w:spacing w:after="0"/>
              <w:rPr>
                <w:sz w:val="17"/>
                <w:szCs w:val="17"/>
                <w:color w:val="auto"/>
              </w:rPr>
            </w:pPr>
          </w:p>
        </w:tc>
      </w:tr>
      <w:tr>
        <w:trPr>
          <w:trHeight w:val="205"/>
        </w:trPr>
        <w:tc>
          <w:tcPr>
            <w:tcW w:w="5400" w:type="dxa"/>
            <w:vAlign w:val="bottom"/>
          </w:tcPr>
          <w:p>
            <w:pPr>
              <w:spacing w:after="0"/>
              <w:rPr>
                <w:sz w:val="20"/>
                <w:szCs w:val="20"/>
                <w:color w:val="auto"/>
              </w:rPr>
            </w:pPr>
            <w:r>
              <w:rPr>
                <w:rFonts w:ascii="Arial" w:cs="Arial" w:eastAsia="Arial" w:hAnsi="Arial"/>
                <w:sz w:val="16"/>
                <w:szCs w:val="16"/>
                <w:color w:val="auto"/>
              </w:rPr>
              <w:t>Enterprise Inkjet Systems</w:t>
            </w: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w:t>
            </w:r>
          </w:p>
        </w:tc>
        <w:tc>
          <w:tcPr>
            <w:tcW w:w="80" w:type="dxa"/>
            <w:vAlign w:val="bottom"/>
          </w:tcPr>
          <w:p>
            <w:pPr>
              <w:spacing w:after="0"/>
              <w:rPr>
                <w:sz w:val="17"/>
                <w:szCs w:val="17"/>
                <w:color w:val="auto"/>
              </w:rPr>
            </w:pPr>
          </w:p>
        </w:tc>
      </w:tr>
      <w:tr>
        <w:trPr>
          <w:trHeight w:val="205"/>
        </w:trPr>
        <w:tc>
          <w:tcPr>
            <w:tcW w:w="5400" w:type="dxa"/>
            <w:vAlign w:val="bottom"/>
            <w:shd w:val="clear" w:color="auto" w:fill="CFF0FC"/>
          </w:tcPr>
          <w:p>
            <w:pPr>
              <w:spacing w:after="0"/>
              <w:rPr>
                <w:sz w:val="20"/>
                <w:szCs w:val="20"/>
                <w:color w:val="auto"/>
              </w:rPr>
            </w:pPr>
            <w:r>
              <w:rPr>
                <w:rFonts w:ascii="Arial" w:cs="Arial" w:eastAsia="Arial" w:hAnsi="Arial"/>
                <w:sz w:val="16"/>
                <w:szCs w:val="16"/>
                <w:color w:val="auto"/>
              </w:rPr>
              <w:t>Flexographic Packaging Division</w:t>
            </w:r>
          </w:p>
        </w:tc>
        <w:tc>
          <w:tcPr>
            <w:tcW w:w="24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FF0FC"/>
          </w:tcPr>
          <w:p>
            <w:pPr>
              <w:spacing w:after="0"/>
              <w:rPr>
                <w:sz w:val="17"/>
                <w:szCs w:val="17"/>
                <w:color w:val="auto"/>
              </w:rPr>
            </w:pPr>
          </w:p>
        </w:tc>
      </w:tr>
      <w:tr>
        <w:trPr>
          <w:trHeight w:val="205"/>
        </w:trPr>
        <w:tc>
          <w:tcPr>
            <w:tcW w:w="5400" w:type="dxa"/>
            <w:vAlign w:val="bottom"/>
          </w:tcPr>
          <w:p>
            <w:pPr>
              <w:spacing w:after="0"/>
              <w:rPr>
                <w:sz w:val="20"/>
                <w:szCs w:val="20"/>
                <w:color w:val="auto"/>
              </w:rPr>
            </w:pPr>
            <w:r>
              <w:rPr>
                <w:rFonts w:ascii="Arial" w:cs="Arial" w:eastAsia="Arial" w:hAnsi="Arial"/>
                <w:sz w:val="16"/>
                <w:szCs w:val="16"/>
                <w:color w:val="auto"/>
              </w:rPr>
              <w:t>Software &amp; Solutions</w:t>
            </w: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7"/>
                <w:szCs w:val="17"/>
                <w:color w:val="auto"/>
              </w:rPr>
            </w:pPr>
          </w:p>
        </w:tc>
      </w:tr>
      <w:tr>
        <w:trPr>
          <w:trHeight w:val="205"/>
        </w:trPr>
        <w:tc>
          <w:tcPr>
            <w:tcW w:w="5400" w:type="dxa"/>
            <w:vAlign w:val="bottom"/>
            <w:shd w:val="clear" w:color="auto" w:fill="CFF0FC"/>
          </w:tcPr>
          <w:p>
            <w:pPr>
              <w:spacing w:after="0"/>
              <w:rPr>
                <w:sz w:val="20"/>
                <w:szCs w:val="20"/>
                <w:color w:val="auto"/>
              </w:rPr>
            </w:pPr>
            <w:r>
              <w:rPr>
                <w:rFonts w:ascii="Arial" w:cs="Arial" w:eastAsia="Arial" w:hAnsi="Arial"/>
                <w:sz w:val="16"/>
                <w:szCs w:val="16"/>
                <w:color w:val="auto"/>
              </w:rPr>
              <w:t>Consumer &amp; Film</w:t>
            </w:r>
          </w:p>
        </w:tc>
        <w:tc>
          <w:tcPr>
            <w:tcW w:w="24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FF0FC"/>
          </w:tcPr>
          <w:p>
            <w:pPr>
              <w:spacing w:after="0"/>
              <w:rPr>
                <w:sz w:val="17"/>
                <w:szCs w:val="17"/>
                <w:color w:val="auto"/>
              </w:rPr>
            </w:pPr>
          </w:p>
        </w:tc>
      </w:tr>
      <w:tr>
        <w:trPr>
          <w:trHeight w:val="205"/>
        </w:trPr>
        <w:tc>
          <w:tcPr>
            <w:tcW w:w="540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Advanced Materials and 3D Printing</w:t>
            </w: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200" w:type="dxa"/>
            <w:vAlign w:val="bottom"/>
            <w:tcBorders>
              <w:bottom w:val="single" w:sz="8" w:color="CFF0FC"/>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220" w:type="dxa"/>
            <w:vAlign w:val="bottom"/>
            <w:tcBorders>
              <w:bottom w:val="single" w:sz="8" w:color="CFF0FC"/>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80" w:type="dxa"/>
            <w:vAlign w:val="bottom"/>
            <w:tcBorders>
              <w:bottom w:val="single" w:sz="8" w:color="CFF0FC"/>
            </w:tcBorders>
          </w:tcPr>
          <w:p>
            <w:pPr>
              <w:spacing w:after="0"/>
              <w:rPr>
                <w:sz w:val="17"/>
                <w:szCs w:val="17"/>
                <w:color w:val="auto"/>
              </w:rPr>
            </w:pPr>
          </w:p>
        </w:tc>
      </w:tr>
      <w:tr>
        <w:trPr>
          <w:trHeight w:val="198"/>
        </w:trPr>
        <w:tc>
          <w:tcPr>
            <w:tcW w:w="540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16"/>
                <w:szCs w:val="16"/>
                <w:color w:val="auto"/>
              </w:rPr>
              <w:t>Consolidated total</w:t>
            </w:r>
          </w:p>
        </w:tc>
        <w:tc>
          <w:tcPr>
            <w:tcW w:w="240" w:type="dxa"/>
            <w:vAlign w:val="bottom"/>
            <w:tcBorders>
              <w:bottom w:val="single" w:sz="8" w:color="auto"/>
            </w:tcBorders>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w:t>
            </w:r>
          </w:p>
        </w:tc>
        <w:tc>
          <w:tcPr>
            <w:tcW w:w="2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w:t>
            </w:r>
          </w:p>
        </w:tc>
        <w:tc>
          <w:tcPr>
            <w:tcW w:w="22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w:t>
            </w:r>
          </w:p>
        </w:tc>
        <w:tc>
          <w:tcPr>
            <w:tcW w:w="80" w:type="dxa"/>
            <w:vAlign w:val="bottom"/>
            <w:tcBorders>
              <w:bottom w:val="single" w:sz="8" w:color="CFF0FC"/>
            </w:tcBorders>
            <w:shd w:val="clear" w:color="auto" w:fill="CFF0FC"/>
          </w:tcPr>
          <w:p>
            <w:pPr>
              <w:spacing w:after="0"/>
              <w:rPr>
                <w:sz w:val="17"/>
                <w:szCs w:val="17"/>
                <w:color w:val="auto"/>
              </w:rPr>
            </w:pPr>
          </w:p>
        </w:tc>
      </w:tr>
      <w:tr>
        <w:trPr>
          <w:trHeight w:val="20"/>
        </w:trPr>
        <w:tc>
          <w:tcPr>
            <w:tcW w:w="5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3" w:lineRule="exact"/>
        <w:rPr>
          <w:sz w:val="20"/>
          <w:szCs w:val="20"/>
          <w:color w:val="auto"/>
        </w:rPr>
      </w:pPr>
    </w:p>
    <w:tbl>
      <w:tblPr>
        <w:tblLayout w:type="fixed"/>
        <w:tblInd w:w="3" w:type="dxa"/>
        <w:tblCellMar>
          <w:top w:w="0" w:type="dxa"/>
          <w:left w:w="0" w:type="dxa"/>
          <w:bottom w:w="0" w:type="dxa"/>
          <w:right w:w="0" w:type="dxa"/>
        </w:tblCellMar>
      </w:tblPr>
      <w:tr>
        <w:trPr>
          <w:trHeight w:val="205"/>
        </w:trPr>
        <w:tc>
          <w:tcPr>
            <w:tcW w:w="1140" w:type="dxa"/>
            <w:vAlign w:val="bottom"/>
          </w:tcPr>
          <w:p>
            <w:pPr>
              <w:spacing w:after="0"/>
              <w:rPr>
                <w:sz w:val="17"/>
                <w:szCs w:val="17"/>
                <w:color w:val="auto"/>
              </w:rPr>
            </w:pPr>
          </w:p>
        </w:tc>
        <w:tc>
          <w:tcPr>
            <w:tcW w:w="4340" w:type="dxa"/>
            <w:vAlign w:val="bottom"/>
          </w:tcPr>
          <w:p>
            <w:pPr>
              <w:spacing w:after="0"/>
              <w:rPr>
                <w:sz w:val="20"/>
                <w:szCs w:val="20"/>
                <w:color w:val="auto"/>
              </w:rPr>
            </w:pPr>
            <w:r>
              <w:rPr>
                <w:rFonts w:ascii="Arial" w:cs="Arial" w:eastAsia="Arial" w:hAnsi="Arial"/>
                <w:sz w:val="13"/>
                <w:szCs w:val="13"/>
                <w:b w:val="1"/>
                <w:bCs w:val="1"/>
                <w:color w:val="auto"/>
              </w:rPr>
              <w:t>(in millions)</w:t>
            </w: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0" w:type="dxa"/>
            <w:vAlign w:val="bottom"/>
            <w:gridSpan w:val="6"/>
          </w:tcPr>
          <w:p>
            <w:pPr>
              <w:jc w:val="center"/>
              <w:ind w:left="499"/>
              <w:spacing w:after="0"/>
              <w:rPr>
                <w:sz w:val="20"/>
                <w:szCs w:val="20"/>
                <w:color w:val="auto"/>
              </w:rPr>
            </w:pPr>
            <w:r>
              <w:rPr>
                <w:rFonts w:ascii="Arial" w:cs="Arial" w:eastAsia="Arial" w:hAnsi="Arial"/>
                <w:sz w:val="16"/>
                <w:szCs w:val="16"/>
                <w:b w:val="1"/>
                <w:bCs w:val="1"/>
                <w:color w:val="auto"/>
                <w:w w:val="90"/>
              </w:rPr>
              <w:t>Year Ended December 31,</w:t>
            </w: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4340" w:type="dxa"/>
            <w:vAlign w:val="bottom"/>
            <w:tcBorders>
              <w:bottom w:val="single" w:sz="8" w:color="CFF0FC"/>
            </w:tcBorders>
          </w:tcPr>
          <w:p>
            <w:pPr>
              <w:spacing w:after="0"/>
              <w:rPr>
                <w:sz w:val="20"/>
                <w:szCs w:val="20"/>
                <w:color w:val="auto"/>
              </w:rPr>
            </w:pPr>
            <w:r>
              <w:rPr>
                <w:rFonts w:ascii="Arial" w:cs="Arial" w:eastAsia="Arial" w:hAnsi="Arial"/>
                <w:sz w:val="13"/>
                <w:szCs w:val="13"/>
                <w:b w:val="1"/>
                <w:bCs w:val="1"/>
                <w:color w:val="auto"/>
              </w:rPr>
              <w:t>Depreciation expense from continuing operations:</w:t>
            </w:r>
          </w:p>
        </w:tc>
        <w:tc>
          <w:tcPr>
            <w:tcW w:w="106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2017</w:t>
            </w:r>
          </w:p>
        </w:tc>
        <w:tc>
          <w:tcPr>
            <w:tcW w:w="20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w w:val="89"/>
              </w:rPr>
              <w:t>2016</w:t>
            </w:r>
          </w:p>
        </w:tc>
        <w:tc>
          <w:tcPr>
            <w:tcW w:w="22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2015</w:t>
            </w:r>
          </w:p>
        </w:tc>
        <w:tc>
          <w:tcPr>
            <w:tcW w:w="8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140" w:type="dxa"/>
            <w:vAlign w:val="bottom"/>
          </w:tcPr>
          <w:p>
            <w:pPr>
              <w:spacing w:after="0"/>
              <w:rPr>
                <w:sz w:val="17"/>
                <w:szCs w:val="17"/>
                <w:color w:val="auto"/>
              </w:rPr>
            </w:pPr>
          </w:p>
        </w:tc>
        <w:tc>
          <w:tcPr>
            <w:tcW w:w="4340" w:type="dxa"/>
            <w:vAlign w:val="bottom"/>
            <w:shd w:val="clear" w:color="auto" w:fill="CFF0FC"/>
          </w:tcPr>
          <w:p>
            <w:pPr>
              <w:spacing w:after="0"/>
              <w:rPr>
                <w:sz w:val="20"/>
                <w:szCs w:val="20"/>
                <w:color w:val="auto"/>
              </w:rPr>
            </w:pPr>
            <w:r>
              <w:rPr>
                <w:rFonts w:ascii="Arial" w:cs="Arial" w:eastAsia="Arial" w:hAnsi="Arial"/>
                <w:sz w:val="16"/>
                <w:szCs w:val="16"/>
                <w:color w:val="auto"/>
              </w:rPr>
              <w:t>Print Systems</w:t>
            </w:r>
          </w:p>
        </w:tc>
        <w:tc>
          <w:tcPr>
            <w:tcW w:w="106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w:t>
            </w: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w:t>
            </w: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40" w:type="dxa"/>
            <w:vAlign w:val="bottom"/>
          </w:tcPr>
          <w:p>
            <w:pPr>
              <w:spacing w:after="0"/>
              <w:rPr>
                <w:sz w:val="17"/>
                <w:szCs w:val="17"/>
                <w:color w:val="auto"/>
              </w:rPr>
            </w:pPr>
          </w:p>
        </w:tc>
        <w:tc>
          <w:tcPr>
            <w:tcW w:w="4340" w:type="dxa"/>
            <w:vAlign w:val="bottom"/>
          </w:tcPr>
          <w:p>
            <w:pPr>
              <w:spacing w:after="0"/>
              <w:rPr>
                <w:sz w:val="20"/>
                <w:szCs w:val="20"/>
                <w:color w:val="auto"/>
              </w:rPr>
            </w:pPr>
            <w:r>
              <w:rPr>
                <w:rFonts w:ascii="Arial" w:cs="Arial" w:eastAsia="Arial" w:hAnsi="Arial"/>
                <w:sz w:val="16"/>
                <w:szCs w:val="16"/>
                <w:color w:val="auto"/>
              </w:rPr>
              <w:t>Enterprise Inkjet Systems</w:t>
            </w: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40" w:type="dxa"/>
            <w:vAlign w:val="bottom"/>
          </w:tcPr>
          <w:p>
            <w:pPr>
              <w:spacing w:after="0"/>
              <w:rPr>
                <w:sz w:val="17"/>
                <w:szCs w:val="17"/>
                <w:color w:val="auto"/>
              </w:rPr>
            </w:pPr>
          </w:p>
        </w:tc>
        <w:tc>
          <w:tcPr>
            <w:tcW w:w="4340" w:type="dxa"/>
            <w:vAlign w:val="bottom"/>
            <w:shd w:val="clear" w:color="auto" w:fill="CFF0FC"/>
          </w:tcPr>
          <w:p>
            <w:pPr>
              <w:spacing w:after="0"/>
              <w:rPr>
                <w:sz w:val="20"/>
                <w:szCs w:val="20"/>
                <w:color w:val="auto"/>
              </w:rPr>
            </w:pPr>
            <w:r>
              <w:rPr>
                <w:rFonts w:ascii="Arial" w:cs="Arial" w:eastAsia="Arial" w:hAnsi="Arial"/>
                <w:sz w:val="16"/>
                <w:szCs w:val="16"/>
                <w:color w:val="auto"/>
              </w:rPr>
              <w:t>Flexographic Packaging Division</w:t>
            </w:r>
          </w:p>
        </w:tc>
        <w:tc>
          <w:tcPr>
            <w:tcW w:w="10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40" w:type="dxa"/>
            <w:vAlign w:val="bottom"/>
          </w:tcPr>
          <w:p>
            <w:pPr>
              <w:spacing w:after="0"/>
              <w:rPr>
                <w:sz w:val="17"/>
                <w:szCs w:val="17"/>
                <w:color w:val="auto"/>
              </w:rPr>
            </w:pPr>
          </w:p>
        </w:tc>
        <w:tc>
          <w:tcPr>
            <w:tcW w:w="4340" w:type="dxa"/>
            <w:vAlign w:val="bottom"/>
          </w:tcPr>
          <w:p>
            <w:pPr>
              <w:spacing w:after="0"/>
              <w:rPr>
                <w:sz w:val="20"/>
                <w:szCs w:val="20"/>
                <w:color w:val="auto"/>
              </w:rPr>
            </w:pPr>
            <w:r>
              <w:rPr>
                <w:rFonts w:ascii="Arial" w:cs="Arial" w:eastAsia="Arial" w:hAnsi="Arial"/>
                <w:sz w:val="16"/>
                <w:szCs w:val="16"/>
                <w:color w:val="auto"/>
              </w:rPr>
              <w:t>Software &amp; Solutions</w:t>
            </w: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40" w:type="dxa"/>
            <w:vAlign w:val="bottom"/>
          </w:tcPr>
          <w:p>
            <w:pPr>
              <w:spacing w:after="0"/>
              <w:rPr>
                <w:sz w:val="17"/>
                <w:szCs w:val="17"/>
                <w:color w:val="auto"/>
              </w:rPr>
            </w:pPr>
          </w:p>
        </w:tc>
        <w:tc>
          <w:tcPr>
            <w:tcW w:w="4340" w:type="dxa"/>
            <w:vAlign w:val="bottom"/>
            <w:shd w:val="clear" w:color="auto" w:fill="CFF0FC"/>
          </w:tcPr>
          <w:p>
            <w:pPr>
              <w:spacing w:after="0"/>
              <w:rPr>
                <w:sz w:val="20"/>
                <w:szCs w:val="20"/>
                <w:color w:val="auto"/>
              </w:rPr>
            </w:pPr>
            <w:r>
              <w:rPr>
                <w:rFonts w:ascii="Arial" w:cs="Arial" w:eastAsia="Arial" w:hAnsi="Arial"/>
                <w:sz w:val="16"/>
                <w:szCs w:val="16"/>
                <w:color w:val="auto"/>
              </w:rPr>
              <w:t>Consumer &amp; Film</w:t>
            </w:r>
          </w:p>
        </w:tc>
        <w:tc>
          <w:tcPr>
            <w:tcW w:w="10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w:t>
            </w: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w:t>
            </w: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40" w:type="dxa"/>
            <w:vAlign w:val="bottom"/>
          </w:tcPr>
          <w:p>
            <w:pPr>
              <w:spacing w:after="0"/>
              <w:rPr>
                <w:sz w:val="17"/>
                <w:szCs w:val="17"/>
                <w:color w:val="auto"/>
              </w:rPr>
            </w:pPr>
          </w:p>
        </w:tc>
        <w:tc>
          <w:tcPr>
            <w:tcW w:w="4340" w:type="dxa"/>
            <w:vAlign w:val="bottom"/>
          </w:tcPr>
          <w:p>
            <w:pPr>
              <w:spacing w:after="0"/>
              <w:rPr>
                <w:sz w:val="20"/>
                <w:szCs w:val="20"/>
                <w:color w:val="auto"/>
              </w:rPr>
            </w:pPr>
            <w:r>
              <w:rPr>
                <w:rFonts w:ascii="Arial" w:cs="Arial" w:eastAsia="Arial" w:hAnsi="Arial"/>
                <w:sz w:val="16"/>
                <w:szCs w:val="16"/>
                <w:color w:val="auto"/>
              </w:rPr>
              <w:t>Advanced Materials and 3D Printing</w:t>
            </w: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40" w:type="dxa"/>
            <w:vAlign w:val="bottom"/>
          </w:tcPr>
          <w:p>
            <w:pPr>
              <w:spacing w:after="0"/>
              <w:rPr>
                <w:sz w:val="17"/>
                <w:szCs w:val="17"/>
                <w:color w:val="auto"/>
              </w:rPr>
            </w:pPr>
          </w:p>
        </w:tc>
        <w:tc>
          <w:tcPr>
            <w:tcW w:w="4340" w:type="dxa"/>
            <w:vAlign w:val="bottom"/>
            <w:shd w:val="clear" w:color="auto" w:fill="CFF0FC"/>
          </w:tcPr>
          <w:p>
            <w:pPr>
              <w:spacing w:after="0"/>
              <w:rPr>
                <w:sz w:val="20"/>
                <w:szCs w:val="20"/>
                <w:color w:val="auto"/>
              </w:rPr>
            </w:pPr>
            <w:r>
              <w:rPr>
                <w:rFonts w:ascii="Arial" w:cs="Arial" w:eastAsia="Arial" w:hAnsi="Arial"/>
                <w:sz w:val="16"/>
                <w:szCs w:val="16"/>
                <w:color w:val="auto"/>
              </w:rPr>
              <w:t>Eastman Business Park</w:t>
            </w:r>
          </w:p>
        </w:tc>
        <w:tc>
          <w:tcPr>
            <w:tcW w:w="1060" w:type="dxa"/>
            <w:vAlign w:val="bottom"/>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200" w:type="dxa"/>
            <w:vAlign w:val="bottom"/>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220" w:type="dxa"/>
            <w:vAlign w:val="bottom"/>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140" w:type="dxa"/>
            <w:vAlign w:val="bottom"/>
          </w:tcPr>
          <w:p>
            <w:pPr>
              <w:spacing w:after="0"/>
              <w:rPr>
                <w:sz w:val="17"/>
                <w:szCs w:val="17"/>
                <w:color w:val="auto"/>
              </w:rPr>
            </w:pPr>
          </w:p>
        </w:tc>
        <w:tc>
          <w:tcPr>
            <w:tcW w:w="4340" w:type="dxa"/>
            <w:vAlign w:val="bottom"/>
            <w:tcBorders>
              <w:bottom w:val="single" w:sz="8" w:color="CFF0FC"/>
            </w:tcBorders>
          </w:tcPr>
          <w:p>
            <w:pPr>
              <w:ind w:left="220"/>
              <w:spacing w:after="0"/>
              <w:rPr>
                <w:sz w:val="20"/>
                <w:szCs w:val="20"/>
                <w:color w:val="auto"/>
              </w:rPr>
            </w:pPr>
            <w:r>
              <w:rPr>
                <w:rFonts w:ascii="Arial" w:cs="Arial" w:eastAsia="Arial" w:hAnsi="Arial"/>
                <w:sz w:val="16"/>
                <w:szCs w:val="16"/>
                <w:color w:val="auto"/>
              </w:rPr>
              <w:t>Sub-total</w:t>
            </w:r>
          </w:p>
        </w:tc>
        <w:tc>
          <w:tcPr>
            <w:tcW w:w="1060" w:type="dxa"/>
            <w:vAlign w:val="bottom"/>
            <w:tcBorders>
              <w:bottom w:val="single" w:sz="8" w:color="CFF0FC"/>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w:t>
            </w:r>
          </w:p>
        </w:tc>
        <w:tc>
          <w:tcPr>
            <w:tcW w:w="200" w:type="dxa"/>
            <w:vAlign w:val="bottom"/>
            <w:tcBorders>
              <w:bottom w:val="single" w:sz="8" w:color="CFF0FC"/>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w:t>
            </w:r>
          </w:p>
        </w:tc>
        <w:tc>
          <w:tcPr>
            <w:tcW w:w="220" w:type="dxa"/>
            <w:vAlign w:val="bottom"/>
            <w:tcBorders>
              <w:bottom w:val="single" w:sz="8" w:color="CFF0FC"/>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w:t>
            </w:r>
          </w:p>
        </w:tc>
        <w:tc>
          <w:tcPr>
            <w:tcW w:w="8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140" w:type="dxa"/>
            <w:vAlign w:val="bottom"/>
          </w:tcPr>
          <w:p>
            <w:pPr>
              <w:spacing w:after="0"/>
              <w:rPr>
                <w:sz w:val="17"/>
                <w:szCs w:val="17"/>
                <w:color w:val="auto"/>
              </w:rPr>
            </w:pPr>
          </w:p>
        </w:tc>
        <w:tc>
          <w:tcPr>
            <w:tcW w:w="4340" w:type="dxa"/>
            <w:vAlign w:val="bottom"/>
            <w:shd w:val="clear" w:color="auto" w:fill="CFF0FC"/>
          </w:tcPr>
          <w:p>
            <w:pPr>
              <w:ind w:left="220"/>
              <w:spacing w:after="0"/>
              <w:rPr>
                <w:sz w:val="20"/>
                <w:szCs w:val="20"/>
                <w:color w:val="auto"/>
              </w:rPr>
            </w:pPr>
            <w:r>
              <w:rPr>
                <w:rFonts w:ascii="Arial" w:cs="Arial" w:eastAsia="Arial" w:hAnsi="Arial"/>
                <w:sz w:val="16"/>
                <w:szCs w:val="16"/>
                <w:color w:val="auto"/>
              </w:rPr>
              <w:t>Other</w:t>
            </w:r>
          </w:p>
        </w:tc>
        <w:tc>
          <w:tcPr>
            <w:tcW w:w="10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w:t>
            </w: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40" w:type="dxa"/>
            <w:vAlign w:val="bottom"/>
          </w:tcPr>
          <w:p>
            <w:pPr>
              <w:spacing w:after="0"/>
              <w:rPr>
                <w:sz w:val="17"/>
                <w:szCs w:val="17"/>
                <w:color w:val="auto"/>
              </w:rPr>
            </w:pPr>
          </w:p>
        </w:tc>
        <w:tc>
          <w:tcPr>
            <w:tcW w:w="4340" w:type="dxa"/>
            <w:vAlign w:val="bottom"/>
          </w:tcPr>
          <w:p>
            <w:pPr>
              <w:ind w:left="220"/>
              <w:spacing w:after="0"/>
              <w:rPr>
                <w:sz w:val="20"/>
                <w:szCs w:val="20"/>
                <w:color w:val="auto"/>
              </w:rPr>
            </w:pPr>
            <w:r>
              <w:rPr>
                <w:rFonts w:ascii="Arial" w:cs="Arial" w:eastAsia="Arial" w:hAnsi="Arial"/>
                <w:sz w:val="16"/>
                <w:szCs w:val="16"/>
                <w:color w:val="auto"/>
              </w:rPr>
              <w:t>Restructuring-related depreciation</w:t>
            </w: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140" w:type="dxa"/>
            <w:vAlign w:val="bottom"/>
          </w:tcPr>
          <w:p>
            <w:pPr>
              <w:spacing w:after="0"/>
              <w:rPr>
                <w:sz w:val="17"/>
                <w:szCs w:val="17"/>
                <w:color w:val="auto"/>
              </w:rPr>
            </w:pPr>
          </w:p>
        </w:tc>
        <w:tc>
          <w:tcPr>
            <w:tcW w:w="4340" w:type="dxa"/>
            <w:vAlign w:val="bottom"/>
            <w:tcBorders>
              <w:top w:val="single" w:sz="8" w:color="CFF0FC"/>
              <w:bottom w:val="single" w:sz="8" w:color="CFF0FC"/>
            </w:tcBorders>
            <w:shd w:val="clear" w:color="auto" w:fill="CFF0FC"/>
          </w:tcPr>
          <w:p>
            <w:pPr>
              <w:ind w:left="220"/>
              <w:spacing w:after="0"/>
              <w:rPr>
                <w:sz w:val="20"/>
                <w:szCs w:val="20"/>
                <w:color w:val="auto"/>
              </w:rPr>
            </w:pPr>
            <w:r>
              <w:rPr>
                <w:rFonts w:ascii="Arial" w:cs="Arial" w:eastAsia="Arial" w:hAnsi="Arial"/>
                <w:sz w:val="16"/>
                <w:szCs w:val="16"/>
                <w:color w:val="auto"/>
              </w:rPr>
              <w:t>Consolidated total</w:t>
            </w:r>
          </w:p>
        </w:tc>
        <w:tc>
          <w:tcPr>
            <w:tcW w:w="1060" w:type="dxa"/>
            <w:vAlign w:val="bottom"/>
            <w:tcBorders>
              <w:top w:val="single" w:sz="8" w:color="CFF0FC"/>
              <w:bottom w:val="single" w:sz="8" w:color="CFF0FC"/>
            </w:tcBorders>
            <w:shd w:val="clear" w:color="auto" w:fill="CFF0FC"/>
          </w:tcPr>
          <w:p>
            <w:pPr>
              <w:spacing w:after="0"/>
              <w:rPr>
                <w:sz w:val="17"/>
                <w:szCs w:val="17"/>
                <w:color w:val="auto"/>
              </w:rPr>
            </w:pPr>
          </w:p>
        </w:tc>
        <w:tc>
          <w:tcPr>
            <w:tcW w:w="240" w:type="dxa"/>
            <w:vAlign w:val="bottom"/>
            <w:tcBorders>
              <w:top w:val="single" w:sz="8" w:color="auto"/>
              <w:bottom w:val="single" w:sz="8" w:color="auto"/>
            </w:tcBorders>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62</w:t>
            </w:r>
          </w:p>
        </w:tc>
        <w:tc>
          <w:tcPr>
            <w:tcW w:w="200" w:type="dxa"/>
            <w:vAlign w:val="bottom"/>
            <w:tcBorders>
              <w:top w:val="single" w:sz="8" w:color="CFF0FC"/>
              <w:bottom w:val="single" w:sz="8" w:color="CFF0FC"/>
            </w:tcBorders>
            <w:shd w:val="clear" w:color="auto" w:fill="CFF0FC"/>
          </w:tcPr>
          <w:p>
            <w:pPr>
              <w:spacing w:after="0"/>
              <w:rPr>
                <w:sz w:val="17"/>
                <w:szCs w:val="17"/>
                <w:color w:val="auto"/>
              </w:rPr>
            </w:pPr>
          </w:p>
        </w:tc>
        <w:tc>
          <w:tcPr>
            <w:tcW w:w="240" w:type="dxa"/>
            <w:vAlign w:val="bottom"/>
            <w:tcBorders>
              <w:top w:val="single" w:sz="8" w:color="auto"/>
              <w:bottom w:val="single" w:sz="8" w:color="auto"/>
            </w:tcBorders>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86</w:t>
            </w:r>
          </w:p>
        </w:tc>
        <w:tc>
          <w:tcPr>
            <w:tcW w:w="220" w:type="dxa"/>
            <w:vAlign w:val="bottom"/>
            <w:tcBorders>
              <w:top w:val="single" w:sz="8" w:color="CFF0FC"/>
              <w:bottom w:val="single" w:sz="8" w:color="CFF0FC"/>
            </w:tcBorders>
            <w:shd w:val="clear" w:color="auto" w:fill="CFF0FC"/>
          </w:tcPr>
          <w:p>
            <w:pPr>
              <w:spacing w:after="0"/>
              <w:rPr>
                <w:sz w:val="17"/>
                <w:szCs w:val="17"/>
                <w:color w:val="auto"/>
              </w:rPr>
            </w:pPr>
          </w:p>
        </w:tc>
        <w:tc>
          <w:tcPr>
            <w:tcW w:w="260" w:type="dxa"/>
            <w:vAlign w:val="bottom"/>
            <w:tcBorders>
              <w:top w:val="single" w:sz="8" w:color="auto"/>
              <w:bottom w:val="single" w:sz="8" w:color="auto"/>
            </w:tcBorders>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120</w:t>
            </w: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8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Geographic Information</w:t>
            </w:r>
          </w:p>
        </w:tc>
        <w:tc>
          <w:tcPr>
            <w:tcW w:w="1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7"/>
        </w:trPr>
        <w:tc>
          <w:tcPr>
            <w:tcW w:w="5480" w:type="dxa"/>
            <w:vAlign w:val="bottom"/>
            <w:gridSpan w:val="2"/>
            <w:vMerge w:val="continue"/>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140" w:type="dxa"/>
            <w:vAlign w:val="bottom"/>
          </w:tcPr>
          <w:p>
            <w:pPr>
              <w:spacing w:after="0"/>
              <w:rPr>
                <w:sz w:val="24"/>
                <w:szCs w:val="24"/>
                <w:color w:val="auto"/>
              </w:rPr>
            </w:pPr>
          </w:p>
        </w:tc>
        <w:tc>
          <w:tcPr>
            <w:tcW w:w="4340" w:type="dxa"/>
            <w:vAlign w:val="bottom"/>
          </w:tcPr>
          <w:p>
            <w:pPr>
              <w:spacing w:after="0"/>
              <w:rPr>
                <w:sz w:val="20"/>
                <w:szCs w:val="20"/>
                <w:color w:val="auto"/>
              </w:rPr>
            </w:pPr>
            <w:r>
              <w:rPr>
                <w:rFonts w:ascii="Arial" w:cs="Arial" w:eastAsia="Arial" w:hAnsi="Arial"/>
                <w:sz w:val="16"/>
                <w:szCs w:val="16"/>
                <w:b w:val="1"/>
                <w:bCs w:val="1"/>
                <w:color w:val="auto"/>
              </w:rPr>
              <w:t>(in millions)</w:t>
            </w: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0" w:type="dxa"/>
            <w:vAlign w:val="bottom"/>
            <w:gridSpan w:val="6"/>
          </w:tcPr>
          <w:p>
            <w:pPr>
              <w:jc w:val="center"/>
              <w:ind w:left="499"/>
              <w:spacing w:after="0"/>
              <w:rPr>
                <w:sz w:val="20"/>
                <w:szCs w:val="20"/>
                <w:color w:val="auto"/>
              </w:rPr>
            </w:pPr>
            <w:r>
              <w:rPr>
                <w:rFonts w:ascii="Arial" w:cs="Arial" w:eastAsia="Arial" w:hAnsi="Arial"/>
                <w:sz w:val="16"/>
                <w:szCs w:val="16"/>
                <w:b w:val="1"/>
                <w:bCs w:val="1"/>
                <w:color w:val="auto"/>
                <w:w w:val="90"/>
              </w:rPr>
              <w:t>Year Ended December 31,</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6"/>
                <w:szCs w:val="16"/>
                <w:b w:val="1"/>
                <w:bCs w:val="1"/>
                <w:color w:val="auto"/>
              </w:rPr>
              <w:t xml:space="preserve">Net sales to external customers attributed to </w:t>
            </w:r>
            <w:r>
              <w:rPr>
                <w:rFonts w:ascii="Arial" w:cs="Arial" w:eastAsia="Arial" w:hAnsi="Arial"/>
                <w:sz w:val="13"/>
                <w:szCs w:val="13"/>
                <w:b w:val="1"/>
                <w:bCs w:val="1"/>
                <w:color w:val="auto"/>
              </w:rPr>
              <w:t>(1)</w:t>
            </w:r>
            <w:r>
              <w:rPr>
                <w:rFonts w:ascii="Arial" w:cs="Arial" w:eastAsia="Arial" w:hAnsi="Arial"/>
                <w:sz w:val="16"/>
                <w:szCs w:val="16"/>
                <w:b w:val="1"/>
                <w:bCs w:val="1"/>
                <w:color w:val="auto"/>
              </w:rPr>
              <w:t>:</w:t>
            </w:r>
          </w:p>
        </w:tc>
        <w:tc>
          <w:tcPr>
            <w:tcW w:w="10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2017</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w w:val="89"/>
              </w:rPr>
              <w:t>2016</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140" w:type="dxa"/>
            <w:vAlign w:val="bottom"/>
          </w:tcPr>
          <w:p>
            <w:pPr>
              <w:spacing w:after="0"/>
              <w:rPr>
                <w:sz w:val="17"/>
                <w:szCs w:val="17"/>
                <w:color w:val="auto"/>
              </w:rPr>
            </w:pPr>
          </w:p>
        </w:tc>
        <w:tc>
          <w:tcPr>
            <w:tcW w:w="43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The United States</w:t>
            </w:r>
          </w:p>
        </w:tc>
        <w:tc>
          <w:tcPr>
            <w:tcW w:w="1060" w:type="dxa"/>
            <w:vAlign w:val="bottom"/>
            <w:tcBorders>
              <w:bottom w:val="single" w:sz="8" w:color="CFF0FC"/>
            </w:tcBorders>
          </w:tcPr>
          <w:p>
            <w:pPr>
              <w:spacing w:after="0"/>
              <w:rPr>
                <w:sz w:val="17"/>
                <w:szCs w:val="17"/>
                <w:color w:val="auto"/>
              </w:rPr>
            </w:pPr>
          </w:p>
        </w:tc>
        <w:tc>
          <w:tcPr>
            <w:tcW w:w="2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504</w:t>
            </w:r>
          </w:p>
        </w:tc>
        <w:tc>
          <w:tcPr>
            <w:tcW w:w="200" w:type="dxa"/>
            <w:vAlign w:val="bottom"/>
            <w:tcBorders>
              <w:bottom w:val="single" w:sz="8" w:color="CFF0FC"/>
            </w:tcBorders>
          </w:tcPr>
          <w:p>
            <w:pPr>
              <w:spacing w:after="0"/>
              <w:rPr>
                <w:sz w:val="17"/>
                <w:szCs w:val="17"/>
                <w:color w:val="auto"/>
              </w:rPr>
            </w:pPr>
          </w:p>
        </w:tc>
        <w:tc>
          <w:tcPr>
            <w:tcW w:w="2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559</w:t>
            </w:r>
          </w:p>
        </w:tc>
        <w:tc>
          <w:tcPr>
            <w:tcW w:w="220" w:type="dxa"/>
            <w:vAlign w:val="bottom"/>
            <w:tcBorders>
              <w:bottom w:val="single" w:sz="8" w:color="CFF0FC"/>
            </w:tcBorders>
          </w:tcPr>
          <w:p>
            <w:pPr>
              <w:spacing w:after="0"/>
              <w:rPr>
                <w:sz w:val="17"/>
                <w:szCs w:val="17"/>
                <w:color w:val="auto"/>
              </w:rPr>
            </w:pPr>
          </w:p>
        </w:tc>
        <w:tc>
          <w:tcPr>
            <w:tcW w:w="26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627</w:t>
            </w:r>
          </w:p>
        </w:tc>
        <w:tc>
          <w:tcPr>
            <w:tcW w:w="8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140" w:type="dxa"/>
            <w:vAlign w:val="bottom"/>
          </w:tcPr>
          <w:p>
            <w:pPr>
              <w:spacing w:after="0"/>
              <w:rPr>
                <w:sz w:val="17"/>
                <w:szCs w:val="17"/>
                <w:color w:val="auto"/>
              </w:rPr>
            </w:pPr>
          </w:p>
        </w:tc>
        <w:tc>
          <w:tcPr>
            <w:tcW w:w="4340" w:type="dxa"/>
            <w:vAlign w:val="bottom"/>
            <w:shd w:val="clear" w:color="auto" w:fill="CFF0FC"/>
          </w:tcPr>
          <w:p>
            <w:pPr>
              <w:spacing w:after="0"/>
              <w:rPr>
                <w:sz w:val="20"/>
                <w:szCs w:val="20"/>
                <w:color w:val="auto"/>
              </w:rPr>
            </w:pPr>
            <w:r>
              <w:rPr>
                <w:rFonts w:ascii="Arial" w:cs="Arial" w:eastAsia="Arial" w:hAnsi="Arial"/>
                <w:sz w:val="16"/>
                <w:szCs w:val="16"/>
                <w:color w:val="auto"/>
              </w:rPr>
              <w:t>Europe, Middle East and Africa</w:t>
            </w:r>
          </w:p>
        </w:tc>
        <w:tc>
          <w:tcPr>
            <w:tcW w:w="10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527</w:t>
            </w: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555</w:t>
            </w: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597</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40" w:type="dxa"/>
            <w:vAlign w:val="bottom"/>
          </w:tcPr>
          <w:p>
            <w:pPr>
              <w:spacing w:after="0"/>
              <w:rPr>
                <w:sz w:val="17"/>
                <w:szCs w:val="17"/>
                <w:color w:val="auto"/>
              </w:rPr>
            </w:pPr>
          </w:p>
        </w:tc>
        <w:tc>
          <w:tcPr>
            <w:tcW w:w="4340" w:type="dxa"/>
            <w:vAlign w:val="bottom"/>
          </w:tcPr>
          <w:p>
            <w:pPr>
              <w:spacing w:after="0"/>
              <w:rPr>
                <w:sz w:val="20"/>
                <w:szCs w:val="20"/>
                <w:color w:val="auto"/>
              </w:rPr>
            </w:pPr>
            <w:r>
              <w:rPr>
                <w:rFonts w:ascii="Arial" w:cs="Arial" w:eastAsia="Arial" w:hAnsi="Arial"/>
                <w:sz w:val="16"/>
                <w:szCs w:val="16"/>
                <w:color w:val="auto"/>
              </w:rPr>
              <w:t>Asia Pacific</w:t>
            </w: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369</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397</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402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40" w:type="dxa"/>
            <w:vAlign w:val="bottom"/>
          </w:tcPr>
          <w:p>
            <w:pPr>
              <w:spacing w:after="0"/>
              <w:rPr>
                <w:sz w:val="17"/>
                <w:szCs w:val="17"/>
                <w:color w:val="auto"/>
              </w:rPr>
            </w:pPr>
          </w:p>
        </w:tc>
        <w:tc>
          <w:tcPr>
            <w:tcW w:w="4340" w:type="dxa"/>
            <w:vAlign w:val="bottom"/>
            <w:shd w:val="clear" w:color="auto" w:fill="CFF0FC"/>
          </w:tcPr>
          <w:p>
            <w:pPr>
              <w:spacing w:after="0"/>
              <w:rPr>
                <w:sz w:val="20"/>
                <w:szCs w:val="20"/>
                <w:color w:val="auto"/>
              </w:rPr>
            </w:pPr>
            <w:r>
              <w:rPr>
                <w:rFonts w:ascii="Arial" w:cs="Arial" w:eastAsia="Arial" w:hAnsi="Arial"/>
                <w:sz w:val="16"/>
                <w:szCs w:val="16"/>
                <w:color w:val="auto"/>
              </w:rPr>
              <w:t>Canada and Latin America</w:t>
            </w:r>
          </w:p>
        </w:tc>
        <w:tc>
          <w:tcPr>
            <w:tcW w:w="1060" w:type="dxa"/>
            <w:vAlign w:val="bottom"/>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131</w:t>
            </w:r>
          </w:p>
        </w:tc>
        <w:tc>
          <w:tcPr>
            <w:tcW w:w="200" w:type="dxa"/>
            <w:vAlign w:val="bottom"/>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132</w:t>
            </w:r>
          </w:p>
        </w:tc>
        <w:tc>
          <w:tcPr>
            <w:tcW w:w="220" w:type="dxa"/>
            <w:vAlign w:val="bottom"/>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177</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140" w:type="dxa"/>
            <w:vAlign w:val="bottom"/>
          </w:tcPr>
          <w:p>
            <w:pPr>
              <w:spacing w:after="0"/>
              <w:rPr>
                <w:sz w:val="17"/>
                <w:szCs w:val="17"/>
                <w:color w:val="auto"/>
              </w:rPr>
            </w:pPr>
          </w:p>
        </w:tc>
        <w:tc>
          <w:tcPr>
            <w:tcW w:w="4340" w:type="dxa"/>
            <w:vAlign w:val="bottom"/>
            <w:tcBorders>
              <w:bottom w:val="single" w:sz="8" w:color="CFF0FC"/>
            </w:tcBorders>
          </w:tcPr>
          <w:p>
            <w:pPr>
              <w:ind w:left="220"/>
              <w:spacing w:after="0"/>
              <w:rPr>
                <w:sz w:val="20"/>
                <w:szCs w:val="20"/>
                <w:color w:val="auto"/>
              </w:rPr>
            </w:pPr>
            <w:r>
              <w:rPr>
                <w:rFonts w:ascii="Arial" w:cs="Arial" w:eastAsia="Arial" w:hAnsi="Arial"/>
                <w:sz w:val="16"/>
                <w:szCs w:val="16"/>
                <w:color w:val="auto"/>
              </w:rPr>
              <w:t>Non U.S. countries total</w:t>
            </w:r>
          </w:p>
        </w:tc>
        <w:tc>
          <w:tcPr>
            <w:tcW w:w="1060" w:type="dxa"/>
            <w:vAlign w:val="bottom"/>
            <w:tcBorders>
              <w:bottom w:val="single" w:sz="8" w:color="CFF0FC"/>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1,027</w:t>
            </w:r>
          </w:p>
        </w:tc>
        <w:tc>
          <w:tcPr>
            <w:tcW w:w="200" w:type="dxa"/>
            <w:vAlign w:val="bottom"/>
            <w:tcBorders>
              <w:bottom w:val="single" w:sz="8" w:color="CFF0FC"/>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1,084</w:t>
            </w:r>
          </w:p>
        </w:tc>
        <w:tc>
          <w:tcPr>
            <w:tcW w:w="220" w:type="dxa"/>
            <w:vAlign w:val="bottom"/>
            <w:tcBorders>
              <w:bottom w:val="single" w:sz="8" w:color="CFF0FC"/>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1,176</w:t>
            </w:r>
          </w:p>
        </w:tc>
        <w:tc>
          <w:tcPr>
            <w:tcW w:w="8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140" w:type="dxa"/>
            <w:vAlign w:val="bottom"/>
          </w:tcPr>
          <w:p>
            <w:pPr>
              <w:spacing w:after="0"/>
              <w:rPr>
                <w:sz w:val="17"/>
                <w:szCs w:val="17"/>
                <w:color w:val="auto"/>
              </w:rPr>
            </w:pPr>
          </w:p>
        </w:tc>
        <w:tc>
          <w:tcPr>
            <w:tcW w:w="434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16"/>
                <w:szCs w:val="16"/>
                <w:color w:val="auto"/>
              </w:rPr>
              <w:t>Consolidated total</w:t>
            </w:r>
          </w:p>
        </w:tc>
        <w:tc>
          <w:tcPr>
            <w:tcW w:w="106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1,531</w:t>
            </w:r>
          </w:p>
        </w:tc>
        <w:tc>
          <w:tcPr>
            <w:tcW w:w="2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1,643</w:t>
            </w:r>
          </w:p>
        </w:tc>
        <w:tc>
          <w:tcPr>
            <w:tcW w:w="22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1,803</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ind w:left="743" w:hanging="369"/>
        <w:spacing w:after="0" w:line="280" w:lineRule="auto"/>
        <w:tabs>
          <w:tab w:leader="none" w:pos="784" w:val="left"/>
        </w:tabs>
        <w:numPr>
          <w:ilvl w:val="0"/>
          <w:numId w:val="41"/>
        </w:numPr>
        <w:rPr>
          <w:rFonts w:ascii="Arial" w:cs="Arial" w:eastAsia="Arial" w:hAnsi="Arial"/>
          <w:sz w:val="14"/>
          <w:szCs w:val="14"/>
          <w:color w:val="auto"/>
        </w:rPr>
      </w:pPr>
      <w:r>
        <w:rPr>
          <w:rFonts w:ascii="Arial" w:cs="Arial" w:eastAsia="Arial" w:hAnsi="Arial"/>
          <w:sz w:val="16"/>
          <w:szCs w:val="16"/>
          <w:color w:val="auto"/>
        </w:rPr>
        <w:t>Sales are reported in the geographic area in which they originate. No non-U.S. country generated more than 10% of net sales in the years ended December 31, 2017, 2016 and 2015.</w:t>
      </w:r>
    </w:p>
    <w:p>
      <w:pPr>
        <w:spacing w:after="0" w:line="183" w:lineRule="exact"/>
        <w:rPr>
          <w:sz w:val="20"/>
          <w:szCs w:val="20"/>
          <w:color w:val="auto"/>
        </w:rPr>
      </w:pPr>
    </w:p>
    <w:tbl>
      <w:tblPr>
        <w:tblLayout w:type="fixed"/>
        <w:tblInd w:w="1143" w:type="dxa"/>
        <w:tblCellMar>
          <w:top w:w="0" w:type="dxa"/>
          <w:left w:w="0" w:type="dxa"/>
          <w:bottom w:w="0" w:type="dxa"/>
          <w:right w:w="0" w:type="dxa"/>
        </w:tblCellMar>
      </w:tblPr>
      <w:tr>
        <w:trPr>
          <w:trHeight w:val="205"/>
        </w:trPr>
        <w:tc>
          <w:tcPr>
            <w:tcW w:w="3760" w:type="dxa"/>
            <w:vAlign w:val="bottom"/>
          </w:tcPr>
          <w:p>
            <w:pPr>
              <w:spacing w:after="0"/>
              <w:rPr>
                <w:sz w:val="20"/>
                <w:szCs w:val="20"/>
                <w:color w:val="auto"/>
              </w:rPr>
            </w:pPr>
            <w:r>
              <w:rPr>
                <w:rFonts w:ascii="Arial" w:cs="Arial" w:eastAsia="Arial" w:hAnsi="Arial"/>
                <w:sz w:val="13"/>
                <w:szCs w:val="13"/>
                <w:b w:val="1"/>
                <w:bCs w:val="1"/>
                <w:color w:val="auto"/>
              </w:rPr>
              <w:t>(in millions)</w:t>
            </w:r>
          </w:p>
        </w:tc>
        <w:tc>
          <w:tcPr>
            <w:tcW w:w="1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20" w:type="dxa"/>
            <w:vAlign w:val="bottom"/>
            <w:gridSpan w:val="7"/>
          </w:tcPr>
          <w:p>
            <w:pPr>
              <w:jc w:val="right"/>
              <w:ind w:right="64"/>
              <w:spacing w:after="0"/>
              <w:rPr>
                <w:sz w:val="20"/>
                <w:szCs w:val="20"/>
                <w:color w:val="auto"/>
              </w:rPr>
            </w:pPr>
            <w:r>
              <w:rPr>
                <w:rFonts w:ascii="Arial" w:cs="Arial" w:eastAsia="Arial" w:hAnsi="Arial"/>
                <w:sz w:val="16"/>
                <w:szCs w:val="16"/>
                <w:b w:val="1"/>
                <w:bCs w:val="1"/>
                <w:color w:val="auto"/>
              </w:rPr>
              <w:t>Year Ended December 31,</w:t>
            </w: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1"/>
        </w:trPr>
        <w:tc>
          <w:tcPr>
            <w:tcW w:w="3760" w:type="dxa"/>
            <w:vAlign w:val="bottom"/>
          </w:tcPr>
          <w:p>
            <w:pPr>
              <w:spacing w:after="0"/>
              <w:rPr>
                <w:sz w:val="20"/>
                <w:szCs w:val="20"/>
                <w:color w:val="auto"/>
              </w:rPr>
            </w:pPr>
            <w:r>
              <w:rPr>
                <w:rFonts w:ascii="Arial" w:cs="Arial" w:eastAsia="Arial" w:hAnsi="Arial"/>
                <w:sz w:val="16"/>
                <w:szCs w:val="16"/>
                <w:b w:val="1"/>
                <w:bCs w:val="1"/>
                <w:color w:val="auto"/>
              </w:rPr>
              <w:t xml:space="preserve">Long-lived assets </w:t>
            </w:r>
            <w:r>
              <w:rPr>
                <w:rFonts w:ascii="Arial" w:cs="Arial" w:eastAsia="Arial" w:hAnsi="Arial"/>
                <w:sz w:val="13"/>
                <w:szCs w:val="13"/>
                <w:b w:val="1"/>
                <w:bCs w:val="1"/>
                <w:color w:val="auto"/>
              </w:rPr>
              <w:t>(1)</w:t>
            </w:r>
            <w:r>
              <w:rPr>
                <w:rFonts w:ascii="Arial" w:cs="Arial" w:eastAsia="Arial" w:hAnsi="Arial"/>
                <w:sz w:val="16"/>
                <w:szCs w:val="16"/>
                <w:b w:val="1"/>
                <w:bCs w:val="1"/>
                <w:color w:val="auto"/>
              </w:rPr>
              <w:t xml:space="preserve"> located in:</w:t>
            </w:r>
          </w:p>
        </w:tc>
        <w:tc>
          <w:tcPr>
            <w:tcW w:w="16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61"/>
              <w:spacing w:after="0"/>
              <w:rPr>
                <w:sz w:val="20"/>
                <w:szCs w:val="20"/>
                <w:color w:val="auto"/>
              </w:rPr>
            </w:pPr>
            <w:r>
              <w:rPr>
                <w:rFonts w:ascii="Arial" w:cs="Arial" w:eastAsia="Arial" w:hAnsi="Arial"/>
                <w:sz w:val="13"/>
                <w:szCs w:val="13"/>
                <w:b w:val="1"/>
                <w:bCs w:val="1"/>
                <w:color w:val="auto"/>
              </w:rPr>
              <w:t>2017</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22"/>
              <w:spacing w:after="0"/>
              <w:rPr>
                <w:sz w:val="20"/>
                <w:szCs w:val="20"/>
                <w:color w:val="auto"/>
              </w:rPr>
            </w:pPr>
            <w:r>
              <w:rPr>
                <w:rFonts w:ascii="Arial" w:cs="Arial" w:eastAsia="Arial" w:hAnsi="Arial"/>
                <w:sz w:val="13"/>
                <w:szCs w:val="13"/>
                <w:b w:val="1"/>
                <w:bCs w:val="1"/>
                <w:color w:val="auto"/>
              </w:rPr>
              <w:t>2016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62"/>
              <w:spacing w:after="0"/>
              <w:rPr>
                <w:sz w:val="20"/>
                <w:szCs w:val="20"/>
                <w:color w:val="auto"/>
              </w:rPr>
            </w:pPr>
            <w:r>
              <w:rPr>
                <w:rFonts w:ascii="Arial" w:cs="Arial" w:eastAsia="Arial" w:hAnsi="Arial"/>
                <w:sz w:val="13"/>
                <w:szCs w:val="13"/>
                <w:b w:val="1"/>
                <w:bCs w:val="1"/>
                <w:color w:val="auto"/>
              </w:rPr>
              <w:t>2015</w:t>
            </w:r>
          </w:p>
        </w:tc>
        <w:tc>
          <w:tcPr>
            <w:tcW w:w="60" w:type="dxa"/>
            <w:vAlign w:val="bottom"/>
          </w:tcPr>
          <w:p>
            <w:pPr>
              <w:spacing w:after="0"/>
              <w:rPr>
                <w:sz w:val="18"/>
                <w:szCs w:val="18"/>
                <w:color w:val="auto"/>
              </w:rPr>
            </w:pPr>
          </w:p>
        </w:tc>
      </w:tr>
      <w:tr>
        <w:trPr>
          <w:trHeight w:val="198"/>
        </w:trPr>
        <w:tc>
          <w:tcPr>
            <w:tcW w:w="37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 xml:space="preserve">The United States </w:t>
            </w:r>
            <w:r>
              <w:rPr>
                <w:rFonts w:ascii="Arial" w:cs="Arial" w:eastAsia="Arial" w:hAnsi="Arial"/>
                <w:sz w:val="13"/>
                <w:szCs w:val="13"/>
                <w:color w:val="auto"/>
              </w:rPr>
              <w:t>(2)</w:t>
            </w:r>
          </w:p>
        </w:tc>
        <w:tc>
          <w:tcPr>
            <w:tcW w:w="1620" w:type="dxa"/>
            <w:vAlign w:val="bottom"/>
            <w:tcBorders>
              <w:bottom w:val="single" w:sz="8" w:color="CFF0FC"/>
            </w:tcBorders>
          </w:tcPr>
          <w:p>
            <w:pPr>
              <w:spacing w:after="0"/>
              <w:rPr>
                <w:sz w:val="17"/>
                <w:szCs w:val="17"/>
                <w:color w:val="auto"/>
              </w:rPr>
            </w:pPr>
          </w:p>
        </w:tc>
        <w:tc>
          <w:tcPr>
            <w:tcW w:w="26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w:t>
            </w:r>
          </w:p>
        </w:tc>
        <w:tc>
          <w:tcPr>
            <w:tcW w:w="220" w:type="dxa"/>
            <w:vAlign w:val="bottom"/>
            <w:tcBorders>
              <w:bottom w:val="single" w:sz="8" w:color="CFF0FC"/>
            </w:tcBorders>
          </w:tcPr>
          <w:p>
            <w:pPr>
              <w:spacing w:after="0"/>
              <w:rPr>
                <w:sz w:val="17"/>
                <w:szCs w:val="17"/>
                <w:color w:val="auto"/>
              </w:rPr>
            </w:pPr>
          </w:p>
        </w:tc>
        <w:tc>
          <w:tcPr>
            <w:tcW w:w="2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w:t>
            </w:r>
          </w:p>
        </w:tc>
        <w:tc>
          <w:tcPr>
            <w:tcW w:w="100" w:type="dxa"/>
            <w:vAlign w:val="bottom"/>
            <w:tcBorders>
              <w:bottom w:val="single" w:sz="8" w:color="CFF0FC"/>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w:t>
            </w:r>
          </w:p>
        </w:tc>
        <w:tc>
          <w:tcPr>
            <w:tcW w:w="60" w:type="dxa"/>
            <w:vAlign w:val="bottom"/>
            <w:tcBorders>
              <w:bottom w:val="single" w:sz="8" w:color="CFF0FC"/>
            </w:tcBorders>
          </w:tcPr>
          <w:p>
            <w:pPr>
              <w:spacing w:after="0"/>
              <w:rPr>
                <w:sz w:val="17"/>
                <w:szCs w:val="17"/>
                <w:color w:val="auto"/>
              </w:rPr>
            </w:pPr>
          </w:p>
        </w:tc>
      </w:tr>
      <w:tr>
        <w:trPr>
          <w:trHeight w:val="198"/>
        </w:trPr>
        <w:tc>
          <w:tcPr>
            <w:tcW w:w="3760" w:type="dxa"/>
            <w:vAlign w:val="bottom"/>
            <w:shd w:val="clear" w:color="auto" w:fill="CFF0FC"/>
          </w:tcPr>
          <w:p>
            <w:pPr>
              <w:spacing w:after="0"/>
              <w:rPr>
                <w:sz w:val="20"/>
                <w:szCs w:val="20"/>
                <w:color w:val="auto"/>
              </w:rPr>
            </w:pPr>
            <w:r>
              <w:rPr>
                <w:rFonts w:ascii="Arial" w:cs="Arial" w:eastAsia="Arial" w:hAnsi="Arial"/>
                <w:sz w:val="16"/>
                <w:szCs w:val="16"/>
                <w:color w:val="auto"/>
              </w:rPr>
              <w:t>Europe, Middle East and Africa</w:t>
            </w:r>
          </w:p>
        </w:tc>
        <w:tc>
          <w:tcPr>
            <w:tcW w:w="16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w:t>
            </w:r>
          </w:p>
        </w:tc>
        <w:tc>
          <w:tcPr>
            <w:tcW w:w="100" w:type="dxa"/>
            <w:vAlign w:val="bottom"/>
            <w:shd w:val="clear" w:color="auto" w:fill="CFF0FC"/>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w:t>
            </w:r>
          </w:p>
        </w:tc>
        <w:tc>
          <w:tcPr>
            <w:tcW w:w="60" w:type="dxa"/>
            <w:vAlign w:val="bottom"/>
            <w:shd w:val="clear" w:color="auto" w:fill="CFF0FC"/>
          </w:tcPr>
          <w:p>
            <w:pPr>
              <w:spacing w:after="0"/>
              <w:rPr>
                <w:sz w:val="17"/>
                <w:szCs w:val="17"/>
                <w:color w:val="auto"/>
              </w:rPr>
            </w:pPr>
          </w:p>
        </w:tc>
      </w:tr>
      <w:tr>
        <w:trPr>
          <w:trHeight w:val="205"/>
        </w:trPr>
        <w:tc>
          <w:tcPr>
            <w:tcW w:w="3760" w:type="dxa"/>
            <w:vAlign w:val="bottom"/>
          </w:tcPr>
          <w:p>
            <w:pPr>
              <w:spacing w:after="0"/>
              <w:rPr>
                <w:sz w:val="20"/>
                <w:szCs w:val="20"/>
                <w:color w:val="auto"/>
              </w:rPr>
            </w:pPr>
            <w:r>
              <w:rPr>
                <w:rFonts w:ascii="Arial" w:cs="Arial" w:eastAsia="Arial" w:hAnsi="Arial"/>
                <w:sz w:val="16"/>
                <w:szCs w:val="16"/>
                <w:color w:val="auto"/>
              </w:rPr>
              <w:t>Asia Pacific</w:t>
            </w:r>
          </w:p>
        </w:tc>
        <w:tc>
          <w:tcPr>
            <w:tcW w:w="1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53</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76</w:t>
            </w:r>
          </w:p>
        </w:tc>
        <w:tc>
          <w:tcPr>
            <w:tcW w:w="60" w:type="dxa"/>
            <w:vAlign w:val="bottom"/>
          </w:tcPr>
          <w:p>
            <w:pPr>
              <w:spacing w:after="0"/>
              <w:rPr>
                <w:sz w:val="17"/>
                <w:szCs w:val="17"/>
                <w:color w:val="auto"/>
              </w:rPr>
            </w:pPr>
          </w:p>
        </w:tc>
      </w:tr>
      <w:tr>
        <w:trPr>
          <w:trHeight w:val="205"/>
        </w:trPr>
        <w:tc>
          <w:tcPr>
            <w:tcW w:w="3760" w:type="dxa"/>
            <w:vAlign w:val="bottom"/>
            <w:shd w:val="clear" w:color="auto" w:fill="CFF0FC"/>
          </w:tcPr>
          <w:p>
            <w:pPr>
              <w:spacing w:after="0"/>
              <w:rPr>
                <w:sz w:val="20"/>
                <w:szCs w:val="20"/>
                <w:color w:val="auto"/>
              </w:rPr>
            </w:pPr>
            <w:r>
              <w:rPr>
                <w:rFonts w:ascii="Arial" w:cs="Arial" w:eastAsia="Arial" w:hAnsi="Arial"/>
                <w:sz w:val="16"/>
                <w:szCs w:val="16"/>
                <w:color w:val="auto"/>
              </w:rPr>
              <w:t>Canada and Latin America</w:t>
            </w:r>
          </w:p>
        </w:tc>
        <w:tc>
          <w:tcPr>
            <w:tcW w:w="1620" w:type="dxa"/>
            <w:vAlign w:val="bottom"/>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84</w:t>
            </w:r>
          </w:p>
        </w:tc>
        <w:tc>
          <w:tcPr>
            <w:tcW w:w="220" w:type="dxa"/>
            <w:vAlign w:val="bottom"/>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87</w:t>
            </w:r>
          </w:p>
        </w:tc>
        <w:tc>
          <w:tcPr>
            <w:tcW w:w="100" w:type="dxa"/>
            <w:vAlign w:val="bottom"/>
            <w:shd w:val="clear" w:color="auto" w:fill="CFF0FC"/>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78</w:t>
            </w:r>
          </w:p>
        </w:tc>
        <w:tc>
          <w:tcPr>
            <w:tcW w:w="60" w:type="dxa"/>
            <w:vAlign w:val="bottom"/>
            <w:shd w:val="clear" w:color="auto" w:fill="CFF0FC"/>
          </w:tcPr>
          <w:p>
            <w:pPr>
              <w:spacing w:after="0"/>
              <w:rPr>
                <w:sz w:val="17"/>
                <w:szCs w:val="17"/>
                <w:color w:val="auto"/>
              </w:rPr>
            </w:pPr>
          </w:p>
        </w:tc>
      </w:tr>
      <w:tr>
        <w:trPr>
          <w:trHeight w:val="198"/>
        </w:trPr>
        <w:tc>
          <w:tcPr>
            <w:tcW w:w="3760" w:type="dxa"/>
            <w:vAlign w:val="bottom"/>
            <w:tcBorders>
              <w:bottom w:val="single" w:sz="8" w:color="CFF0FC"/>
            </w:tcBorders>
          </w:tcPr>
          <w:p>
            <w:pPr>
              <w:ind w:left="220"/>
              <w:spacing w:after="0"/>
              <w:rPr>
                <w:sz w:val="20"/>
                <w:szCs w:val="20"/>
                <w:color w:val="auto"/>
              </w:rPr>
            </w:pPr>
            <w:r>
              <w:rPr>
                <w:rFonts w:ascii="Arial" w:cs="Arial" w:eastAsia="Arial" w:hAnsi="Arial"/>
                <w:sz w:val="16"/>
                <w:szCs w:val="16"/>
                <w:color w:val="auto"/>
              </w:rPr>
              <w:t xml:space="preserve">Non U.S. countries total </w:t>
            </w:r>
            <w:r>
              <w:rPr>
                <w:rFonts w:ascii="Arial" w:cs="Arial" w:eastAsia="Arial" w:hAnsi="Arial"/>
                <w:sz w:val="13"/>
                <w:szCs w:val="13"/>
                <w:color w:val="auto"/>
              </w:rPr>
              <w:t>(3)</w:t>
            </w:r>
          </w:p>
        </w:tc>
        <w:tc>
          <w:tcPr>
            <w:tcW w:w="1620" w:type="dxa"/>
            <w:vAlign w:val="bottom"/>
            <w:tcBorders>
              <w:bottom w:val="single" w:sz="8" w:color="CFF0FC"/>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w:t>
            </w:r>
          </w:p>
        </w:tc>
        <w:tc>
          <w:tcPr>
            <w:tcW w:w="220" w:type="dxa"/>
            <w:vAlign w:val="bottom"/>
            <w:tcBorders>
              <w:bottom w:val="single" w:sz="8" w:color="CFF0FC"/>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w:t>
            </w:r>
          </w:p>
        </w:tc>
        <w:tc>
          <w:tcPr>
            <w:tcW w:w="10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209</w:t>
            </w:r>
          </w:p>
        </w:tc>
        <w:tc>
          <w:tcPr>
            <w:tcW w:w="60" w:type="dxa"/>
            <w:vAlign w:val="bottom"/>
            <w:tcBorders>
              <w:bottom w:val="single" w:sz="8" w:color="CFF0FC"/>
            </w:tcBorders>
          </w:tcPr>
          <w:p>
            <w:pPr>
              <w:spacing w:after="0"/>
              <w:rPr>
                <w:sz w:val="17"/>
                <w:szCs w:val="17"/>
                <w:color w:val="auto"/>
              </w:rPr>
            </w:pPr>
          </w:p>
        </w:tc>
      </w:tr>
      <w:tr>
        <w:trPr>
          <w:trHeight w:val="198"/>
        </w:trPr>
        <w:tc>
          <w:tcPr>
            <w:tcW w:w="376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16"/>
                <w:szCs w:val="16"/>
                <w:color w:val="auto"/>
              </w:rPr>
              <w:t>Consolidated total</w:t>
            </w:r>
          </w:p>
        </w:tc>
        <w:tc>
          <w:tcPr>
            <w:tcW w:w="162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314</w:t>
            </w:r>
          </w:p>
        </w:tc>
        <w:tc>
          <w:tcPr>
            <w:tcW w:w="22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342</w:t>
            </w:r>
          </w:p>
        </w:tc>
        <w:tc>
          <w:tcPr>
            <w:tcW w:w="1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jc w:val="right"/>
              <w:ind w:right="124"/>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426</w:t>
            </w:r>
          </w:p>
        </w:tc>
        <w:tc>
          <w:tcPr>
            <w:tcW w:w="60" w:type="dxa"/>
            <w:vAlign w:val="bottom"/>
            <w:tcBorders>
              <w:bottom w:val="single" w:sz="8" w:color="CFF0FC"/>
            </w:tcBorders>
            <w:shd w:val="clear" w:color="auto" w:fill="CFF0FC"/>
          </w:tcPr>
          <w:p>
            <w:pPr>
              <w:spacing w:after="0"/>
              <w:rPr>
                <w:sz w:val="17"/>
                <w:szCs w:val="17"/>
                <w:color w:val="auto"/>
              </w:rPr>
            </w:pPr>
          </w:p>
        </w:tc>
      </w:tr>
      <w:tr>
        <w:trPr>
          <w:trHeight w:val="20"/>
        </w:trPr>
        <w:tc>
          <w:tcPr>
            <w:tcW w:w="37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5" w:lineRule="exact"/>
        <w:rPr>
          <w:sz w:val="20"/>
          <w:szCs w:val="20"/>
          <w:color w:val="auto"/>
        </w:rPr>
      </w:pPr>
    </w:p>
    <w:p>
      <w:pPr>
        <w:ind w:left="383" w:hanging="383"/>
        <w:spacing w:after="0"/>
        <w:tabs>
          <w:tab w:leader="none" w:pos="383" w:val="left"/>
        </w:tabs>
        <w:numPr>
          <w:ilvl w:val="0"/>
          <w:numId w:val="42"/>
        </w:numPr>
        <w:rPr>
          <w:rFonts w:ascii="Arial" w:cs="Arial" w:eastAsia="Arial" w:hAnsi="Arial"/>
          <w:sz w:val="14"/>
          <w:szCs w:val="14"/>
          <w:color w:val="auto"/>
        </w:rPr>
      </w:pPr>
      <w:r>
        <w:rPr>
          <w:rFonts w:ascii="Arial" w:cs="Arial" w:eastAsia="Arial" w:hAnsi="Arial"/>
          <w:sz w:val="16"/>
          <w:szCs w:val="16"/>
          <w:color w:val="auto"/>
        </w:rPr>
        <w:t>Long-lived assets are comprised of property, plant and equipment, net.</w:t>
      </w:r>
    </w:p>
    <w:p>
      <w:pPr>
        <w:spacing w:after="0" w:line="200" w:lineRule="exact"/>
        <w:rPr>
          <w:sz w:val="20"/>
          <w:szCs w:val="20"/>
          <w:color w:val="auto"/>
        </w:rPr>
      </w:pPr>
    </w:p>
    <w:p>
      <w:pPr>
        <w:spacing w:after="0" w:line="220"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62865</wp:posOffset>
            </wp:positionV>
            <wp:extent cx="7301865" cy="406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301865" cy="40640"/>
                    </a:xfrm>
                    <a:prstGeom prst="rect">
                      <a:avLst/>
                    </a:prstGeom>
                    <a:noFill/>
                  </pic:spPr>
                </pic:pic>
              </a:graphicData>
            </a:graphic>
          </wp:anchor>
        </w:drawing>
      </w:r>
    </w:p>
    <w:p>
      <w:pPr>
        <w:sectPr>
          <w:pgSz w:w="11900" w:h="16838" w:orient="portrait"/>
          <w:cols w:equalWidth="0" w:num="1">
            <w:col w:w="11423"/>
          </w:cols>
          <w:pgMar w:left="237" w:top="127" w:right="239" w:bottom="1440" w:gutter="0" w:footer="0" w:header="0"/>
        </w:sectPr>
      </w:pPr>
    </w:p>
    <w:bookmarkStart w:id="100" w:name="page101"/>
    <w:bookmarkEnd w:id="100"/>
    <w:p>
      <w:pPr>
        <w:ind w:left="383" w:right="100" w:hanging="383"/>
        <w:spacing w:after="0" w:line="193" w:lineRule="auto"/>
        <w:tabs>
          <w:tab w:leader="none" w:pos="383" w:val="left"/>
        </w:tabs>
        <w:numPr>
          <w:ilvl w:val="0"/>
          <w:numId w:val="43"/>
        </w:numPr>
        <w:rPr>
          <w:rFonts w:ascii="Arial" w:cs="Arial" w:eastAsia="Arial" w:hAnsi="Arial"/>
          <w:sz w:val="27"/>
          <w:szCs w:val="27"/>
          <w:color w:val="auto"/>
          <w:vertAlign w:val="superscript"/>
        </w:rPr>
      </w:pPr>
      <w:r>
        <w:rPr>
          <w:rFonts w:ascii="Arial" w:cs="Arial" w:eastAsia="Arial" w:hAnsi="Arial"/>
          <w:sz w:val="16"/>
          <w:szCs w:val="16"/>
          <w:color w:val="auto"/>
        </w:rPr>
        <w:t>The decrease in property, plant and equipment, net in the United States in 2016 was primarily due to the deconsolidation of RED, which had $52 million in property, plant and equipment, net as of December 31, 2015.</w:t>
      </w:r>
    </w:p>
    <w:p>
      <w:pPr>
        <w:spacing w:after="0" w:line="206" w:lineRule="exact"/>
        <w:rPr>
          <w:rFonts w:ascii="Arial" w:cs="Arial" w:eastAsia="Arial" w:hAnsi="Arial"/>
          <w:sz w:val="27"/>
          <w:szCs w:val="27"/>
          <w:color w:val="auto"/>
          <w:vertAlign w:val="superscript"/>
        </w:rPr>
      </w:pPr>
    </w:p>
    <w:p>
      <w:pPr>
        <w:ind w:left="383" w:right="40" w:hanging="383"/>
        <w:spacing w:after="0" w:line="266" w:lineRule="auto"/>
        <w:tabs>
          <w:tab w:leader="none" w:pos="383" w:val="left"/>
        </w:tabs>
        <w:numPr>
          <w:ilvl w:val="0"/>
          <w:numId w:val="43"/>
        </w:numPr>
        <w:rPr>
          <w:rFonts w:ascii="Arial" w:cs="Arial" w:eastAsia="Arial" w:hAnsi="Arial"/>
          <w:sz w:val="14"/>
          <w:szCs w:val="14"/>
          <w:color w:val="auto"/>
        </w:rPr>
      </w:pPr>
      <w:r>
        <w:rPr>
          <w:rFonts w:ascii="Arial" w:cs="Arial" w:eastAsia="Arial" w:hAnsi="Arial"/>
          <w:sz w:val="16"/>
          <w:szCs w:val="16"/>
          <w:color w:val="auto"/>
        </w:rPr>
        <w:t>Of the total non U.S. property, plant and equipment in 2017, $71 million are located in Brazil and $38 million are located in China. Of the total non U.S. property, plant and equipment in 2016, $75 million are located in Brazil and $43 million are located in China. Of the total non U.S. property, plant and equipment in 2015, $64 million are located in Brazil and $60 million are located in China.</w:t>
      </w:r>
    </w:p>
    <w:p>
      <w:pPr>
        <w:spacing w:after="0" w:line="158"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Major Customers</w:t>
      </w:r>
    </w:p>
    <w:p>
      <w:pPr>
        <w:spacing w:after="0" w:line="110" w:lineRule="exact"/>
        <w:rPr>
          <w:sz w:val="20"/>
          <w:szCs w:val="20"/>
          <w:color w:val="auto"/>
        </w:rPr>
      </w:pPr>
    </w:p>
    <w:p>
      <w:pPr>
        <w:ind w:left="3"/>
        <w:spacing w:after="0"/>
        <w:rPr>
          <w:sz w:val="20"/>
          <w:szCs w:val="20"/>
          <w:color w:val="auto"/>
        </w:rPr>
      </w:pPr>
      <w:r>
        <w:rPr>
          <w:rFonts w:ascii="Arial" w:cs="Arial" w:eastAsia="Arial" w:hAnsi="Arial"/>
          <w:sz w:val="16"/>
          <w:szCs w:val="16"/>
          <w:color w:val="auto"/>
        </w:rPr>
        <w:t>No single customer represented 10% or more of Kodak’s total net revenue in any year presented.</w:t>
      </w:r>
    </w:p>
    <w:p>
      <w:pPr>
        <w:spacing w:after="0" w:line="368"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NOTE 25: DISCONTINUED OPERATIONS</w:t>
      </w:r>
    </w:p>
    <w:p>
      <w:pPr>
        <w:spacing w:after="0" w:line="231" w:lineRule="exact"/>
        <w:rPr>
          <w:sz w:val="20"/>
          <w:szCs w:val="20"/>
          <w:color w:val="auto"/>
        </w:rPr>
      </w:pPr>
    </w:p>
    <w:p>
      <w:pPr>
        <w:ind w:left="3" w:right="80"/>
        <w:spacing w:after="0" w:line="280" w:lineRule="auto"/>
        <w:rPr>
          <w:sz w:val="20"/>
          <w:szCs w:val="20"/>
          <w:color w:val="auto"/>
        </w:rPr>
      </w:pPr>
      <w:r>
        <w:rPr>
          <w:rFonts w:ascii="Arial" w:cs="Arial" w:eastAsia="Arial" w:hAnsi="Arial"/>
          <w:sz w:val="16"/>
          <w:szCs w:val="16"/>
          <w:color w:val="auto"/>
        </w:rPr>
        <w:t>Discontinued operations of Kodak include the Prosper Business and the PI/DI Business (excluding the consumer film business, for which Kodak entered into an ongoing supply arrangement with one or more parties).</w:t>
      </w:r>
    </w:p>
    <w:p>
      <w:pPr>
        <w:spacing w:after="0" w:line="171"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KODAK PROSPER Enterprise Inkjet Business</w:t>
      </w:r>
    </w:p>
    <w:p>
      <w:pPr>
        <w:spacing w:after="0" w:line="26" w:lineRule="exact"/>
        <w:rPr>
          <w:sz w:val="20"/>
          <w:szCs w:val="20"/>
          <w:color w:val="auto"/>
        </w:rPr>
      </w:pPr>
    </w:p>
    <w:p>
      <w:pPr>
        <w:ind w:left="3" w:right="20"/>
        <w:spacing w:after="0" w:line="274" w:lineRule="auto"/>
        <w:rPr>
          <w:sz w:val="20"/>
          <w:szCs w:val="20"/>
          <w:color w:val="auto"/>
        </w:rPr>
      </w:pPr>
      <w:r>
        <w:rPr>
          <w:rFonts w:ascii="Arial" w:cs="Arial" w:eastAsia="Arial" w:hAnsi="Arial"/>
          <w:sz w:val="15"/>
          <w:szCs w:val="15"/>
          <w:color w:val="auto"/>
        </w:rPr>
        <w:t>The results of the Prosper business were previously presented as discontinued operations. However, the held for sale criteria were no longer met as of March 31, 2017. The assets and liabilities of the Prosper business, previously presented as held for sale, have been reclassified to held and used in the Consolidated Statement of Financial Position as of December 31, 2016, and the results of the Prosper business have been reclassified from discontinued operations to continuing operations for all periods presented. The Prosper business’ assets and liabilities as of March 31, 2017 were measured at the carrying amount before the assets were classified as held for sale, reduced by $12 million representing the depreciation and amortization expense that would have been recognized had the assets been continuously classified as held for use. The $12 million reduction to the carrying value of the Prosper assets was reported in Other operating expense (income), net in the first quarter of 2017.</w:t>
      </w:r>
    </w:p>
    <w:p>
      <w:pPr>
        <w:spacing w:after="0" w:line="160" w:lineRule="exact"/>
        <w:rPr>
          <w:sz w:val="20"/>
          <w:szCs w:val="20"/>
          <w:color w:val="auto"/>
        </w:rPr>
      </w:pPr>
    </w:p>
    <w:p>
      <w:pPr>
        <w:ind w:left="3"/>
        <w:spacing w:after="0"/>
        <w:rPr>
          <w:sz w:val="20"/>
          <w:szCs w:val="20"/>
          <w:color w:val="auto"/>
        </w:rPr>
      </w:pPr>
      <w:r>
        <w:rPr>
          <w:rFonts w:ascii="Arial" w:cs="Arial" w:eastAsia="Arial" w:hAnsi="Arial"/>
          <w:sz w:val="16"/>
          <w:szCs w:val="16"/>
          <w:color w:val="auto"/>
        </w:rPr>
        <w:t>The reclassification of the results of the Prosper Business to continuing operations had the following impacts on the Consolidated Statement of Operations:</w:t>
      </w:r>
    </w:p>
    <w:p>
      <w:pPr>
        <w:spacing w:after="0" w:line="211" w:lineRule="exact"/>
        <w:rPr>
          <w:sz w:val="20"/>
          <w:szCs w:val="20"/>
          <w:color w:val="auto"/>
        </w:rPr>
      </w:pPr>
    </w:p>
    <w:tbl>
      <w:tblPr>
        <w:tblLayout w:type="fixed"/>
        <w:tblInd w:w="3"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54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80" w:type="dxa"/>
            <w:vAlign w:val="bottom"/>
            <w:gridSpan w:val="5"/>
          </w:tcPr>
          <w:p>
            <w:pPr>
              <w:jc w:val="right"/>
              <w:ind w:right="40"/>
              <w:spacing w:after="0"/>
              <w:rPr>
                <w:sz w:val="20"/>
                <w:szCs w:val="20"/>
                <w:color w:val="auto"/>
              </w:rPr>
            </w:pPr>
            <w:r>
              <w:rPr>
                <w:rFonts w:ascii="Arial" w:cs="Arial" w:eastAsia="Arial" w:hAnsi="Arial"/>
                <w:sz w:val="16"/>
                <w:szCs w:val="16"/>
                <w:b w:val="1"/>
                <w:bCs w:val="1"/>
                <w:color w:val="auto"/>
                <w:w w:val="92"/>
              </w:rPr>
              <w:t>Year Ended December 31,</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440" w:type="dxa"/>
            <w:vAlign w:val="bottom"/>
            <w:gridSpan w:val="2"/>
          </w:tcPr>
          <w:p>
            <w:pPr>
              <w:spacing w:after="0"/>
              <w:rPr>
                <w:sz w:val="20"/>
                <w:szCs w:val="20"/>
                <w:color w:val="auto"/>
              </w:rPr>
            </w:pPr>
            <w:r>
              <w:rPr>
                <w:rFonts w:ascii="Arial" w:cs="Arial" w:eastAsia="Arial" w:hAnsi="Arial"/>
                <w:sz w:val="13"/>
                <w:szCs w:val="13"/>
                <w:color w:val="auto"/>
              </w:rPr>
              <w:t>(in millions)</w:t>
            </w: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ind w:right="419"/>
              <w:spacing w:after="0"/>
              <w:rPr>
                <w:sz w:val="20"/>
                <w:szCs w:val="20"/>
                <w:color w:val="auto"/>
              </w:rPr>
            </w:pPr>
            <w:r>
              <w:rPr>
                <w:rFonts w:ascii="Arial" w:cs="Arial" w:eastAsia="Arial" w:hAnsi="Arial"/>
                <w:sz w:val="16"/>
                <w:szCs w:val="16"/>
                <w:b w:val="1"/>
                <w:bCs w:val="1"/>
                <w:color w:val="auto"/>
              </w:rPr>
              <w:t>2017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439"/>
              <w:spacing w:after="0"/>
              <w:rPr>
                <w:sz w:val="20"/>
                <w:szCs w:val="20"/>
                <w:color w:val="auto"/>
              </w:rPr>
            </w:pPr>
            <w:r>
              <w:rPr>
                <w:rFonts w:ascii="Arial" w:cs="Arial" w:eastAsia="Arial" w:hAnsi="Arial"/>
                <w:sz w:val="16"/>
                <w:szCs w:val="16"/>
                <w:b w:val="1"/>
                <w:bCs w:val="1"/>
                <w:color w:val="auto"/>
              </w:rPr>
              <w:t>2016</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Revenues</w:t>
            </w:r>
          </w:p>
        </w:tc>
        <w:tc>
          <w:tcPr>
            <w:tcW w:w="1340" w:type="dxa"/>
            <w:vAlign w:val="bottom"/>
            <w:tcBorders>
              <w:top w:val="single" w:sz="8" w:color="CFF0FC"/>
            </w:tcBorders>
            <w:shd w:val="clear" w:color="auto" w:fill="CFF0FC"/>
          </w:tcPr>
          <w:p>
            <w:pPr>
              <w:spacing w:after="0"/>
              <w:rPr>
                <w:sz w:val="17"/>
                <w:szCs w:val="17"/>
                <w:color w:val="auto"/>
              </w:rPr>
            </w:pPr>
          </w:p>
        </w:tc>
        <w:tc>
          <w:tcPr>
            <w:tcW w:w="280" w:type="dxa"/>
            <w:vAlign w:val="bottom"/>
            <w:tcBorders>
              <w:top w:val="single" w:sz="8" w:color="auto"/>
              <w:bottom w:val="single" w:sz="8" w:color="auto"/>
            </w:tcBorders>
            <w:shd w:val="clear" w:color="auto" w:fill="CFF0FC"/>
          </w:tcPr>
          <w:p>
            <w:pPr>
              <w:jc w:val="right"/>
              <w:ind w:right="124"/>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280" w:type="dxa"/>
            <w:vAlign w:val="bottom"/>
            <w:tcBorders>
              <w:top w:val="single" w:sz="8" w:color="auto"/>
              <w:bottom w:val="single" w:sz="8" w:color="auto"/>
            </w:tcBorders>
            <w:shd w:val="clear" w:color="auto" w:fill="CFF0FC"/>
          </w:tcPr>
          <w:p>
            <w:pPr>
              <w:jc w:val="right"/>
              <w:ind w:right="124"/>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94</w:t>
            </w:r>
          </w:p>
        </w:tc>
        <w:tc>
          <w:tcPr>
            <w:tcW w:w="26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bottom w:val="single" w:sz="8" w:color="auto"/>
            </w:tcBorders>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89</w:t>
            </w: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54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5420" w:type="dxa"/>
            <w:vAlign w:val="bottom"/>
            <w:shd w:val="clear" w:color="auto" w:fill="CFF0FC"/>
          </w:tcPr>
          <w:p>
            <w:pPr>
              <w:spacing w:after="0"/>
              <w:rPr>
                <w:sz w:val="20"/>
                <w:szCs w:val="20"/>
                <w:color w:val="auto"/>
              </w:rPr>
            </w:pPr>
            <w:r>
              <w:rPr>
                <w:rFonts w:ascii="Arial" w:cs="Arial" w:eastAsia="Arial" w:hAnsi="Arial"/>
                <w:sz w:val="16"/>
                <w:szCs w:val="16"/>
                <w:color w:val="auto"/>
              </w:rPr>
              <w:t>Cost of sales</w:t>
            </w:r>
          </w:p>
        </w:tc>
        <w:tc>
          <w:tcPr>
            <w:tcW w:w="13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86</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420" w:type="dxa"/>
            <w:vAlign w:val="bottom"/>
          </w:tcPr>
          <w:p>
            <w:pPr>
              <w:spacing w:after="0"/>
              <w:rPr>
                <w:sz w:val="20"/>
                <w:szCs w:val="20"/>
                <w:color w:val="auto"/>
              </w:rPr>
            </w:pPr>
            <w:r>
              <w:rPr>
                <w:rFonts w:ascii="Arial" w:cs="Arial" w:eastAsia="Arial" w:hAnsi="Arial"/>
                <w:sz w:val="16"/>
                <w:szCs w:val="16"/>
                <w:color w:val="auto"/>
              </w:rPr>
              <w:t>Selling, general and administrative expenses</w:t>
            </w:r>
          </w:p>
        </w:tc>
        <w:tc>
          <w:tcPr>
            <w:tcW w:w="1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26</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420" w:type="dxa"/>
            <w:vAlign w:val="bottom"/>
            <w:shd w:val="clear" w:color="auto" w:fill="CFF0FC"/>
          </w:tcPr>
          <w:p>
            <w:pPr>
              <w:spacing w:after="0"/>
              <w:rPr>
                <w:sz w:val="20"/>
                <w:szCs w:val="20"/>
                <w:color w:val="auto"/>
              </w:rPr>
            </w:pPr>
            <w:r>
              <w:rPr>
                <w:rFonts w:ascii="Arial" w:cs="Arial" w:eastAsia="Arial" w:hAnsi="Arial"/>
                <w:sz w:val="16"/>
                <w:szCs w:val="16"/>
                <w:color w:val="auto"/>
              </w:rPr>
              <w:t>Research and development expenses</w:t>
            </w:r>
          </w:p>
        </w:tc>
        <w:tc>
          <w:tcPr>
            <w:tcW w:w="13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4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Restructuring costs and other</w:t>
            </w:r>
          </w:p>
        </w:tc>
        <w:tc>
          <w:tcPr>
            <w:tcW w:w="1340" w:type="dxa"/>
            <w:vAlign w:val="bottom"/>
            <w:tcBorders>
              <w:bottom w:val="single" w:sz="8" w:color="CFF0FC"/>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6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420" w:type="dxa"/>
            <w:vAlign w:val="bottom"/>
            <w:shd w:val="clear" w:color="auto" w:fill="CFF0FC"/>
          </w:tcPr>
          <w:p>
            <w:pPr>
              <w:spacing w:after="0"/>
              <w:rPr>
                <w:sz w:val="20"/>
                <w:szCs w:val="20"/>
                <w:color w:val="auto"/>
              </w:rPr>
            </w:pPr>
            <w:r>
              <w:rPr>
                <w:rFonts w:ascii="Arial" w:cs="Arial" w:eastAsia="Arial" w:hAnsi="Arial"/>
                <w:sz w:val="16"/>
                <w:szCs w:val="16"/>
                <w:color w:val="auto"/>
              </w:rPr>
              <w:t>Earnings (loss) from continuing operations before income taxes</w:t>
            </w:r>
          </w:p>
        </w:tc>
        <w:tc>
          <w:tcPr>
            <w:tcW w:w="13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420" w:type="dxa"/>
            <w:vAlign w:val="bottom"/>
          </w:tcPr>
          <w:p>
            <w:pPr>
              <w:spacing w:after="0"/>
              <w:rPr>
                <w:sz w:val="20"/>
                <w:szCs w:val="20"/>
                <w:color w:val="auto"/>
              </w:rPr>
            </w:pPr>
            <w:r>
              <w:rPr>
                <w:rFonts w:ascii="Arial" w:cs="Arial" w:eastAsia="Arial" w:hAnsi="Arial"/>
                <w:sz w:val="16"/>
                <w:szCs w:val="16"/>
                <w:color w:val="auto"/>
              </w:rPr>
              <w:t>Provision for income taxes</w:t>
            </w:r>
          </w:p>
        </w:tc>
        <w:tc>
          <w:tcPr>
            <w:tcW w:w="1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(1)</w:t>
            </w:r>
          </w:p>
        </w:tc>
        <w:tc>
          <w:tcPr>
            <w:tcW w:w="300" w:type="dxa"/>
            <w:vAlign w:val="bottom"/>
          </w:tcPr>
          <w:p>
            <w:pPr>
              <w:spacing w:after="0"/>
              <w:rPr>
                <w:sz w:val="17"/>
                <w:szCs w:val="17"/>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4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Earnings (loss) from continuing operations</w:t>
            </w:r>
          </w:p>
        </w:tc>
        <w:tc>
          <w:tcPr>
            <w:tcW w:w="1340" w:type="dxa"/>
            <w:vAlign w:val="bottom"/>
            <w:tcBorders>
              <w:top w:val="single" w:sz="8" w:color="CFF0FC"/>
              <w:bottom w:val="single" w:sz="8" w:color="CFF0FC"/>
            </w:tcBorders>
            <w:shd w:val="clear" w:color="auto" w:fill="CFF0FC"/>
          </w:tcPr>
          <w:p>
            <w:pPr>
              <w:spacing w:after="0"/>
              <w:rPr>
                <w:sz w:val="17"/>
                <w:szCs w:val="17"/>
                <w:color w:val="auto"/>
              </w:rPr>
            </w:pPr>
          </w:p>
        </w:tc>
        <w:tc>
          <w:tcPr>
            <w:tcW w:w="280" w:type="dxa"/>
            <w:vAlign w:val="bottom"/>
            <w:tcBorders>
              <w:top w:val="single" w:sz="8" w:color="auto"/>
              <w:bottom w:val="single" w:sz="8" w:color="auto"/>
            </w:tcBorders>
            <w:shd w:val="clear" w:color="auto" w:fill="CFF0FC"/>
          </w:tcPr>
          <w:p>
            <w:pPr>
              <w:jc w:val="right"/>
              <w:ind w:right="124"/>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(12)</w:t>
            </w:r>
          </w:p>
        </w:tc>
        <w:tc>
          <w:tcPr>
            <w:tcW w:w="16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280" w:type="dxa"/>
            <w:vAlign w:val="bottom"/>
            <w:tcBorders>
              <w:top w:val="single" w:sz="8" w:color="auto"/>
              <w:bottom w:val="single" w:sz="8" w:color="auto"/>
            </w:tcBorders>
            <w:shd w:val="clear" w:color="auto" w:fill="CFF0FC"/>
          </w:tcPr>
          <w:p>
            <w:pPr>
              <w:jc w:val="right"/>
              <w:ind w:right="124"/>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(28)</w:t>
            </w:r>
          </w:p>
        </w:tc>
        <w:tc>
          <w:tcPr>
            <w:tcW w:w="260" w:type="dxa"/>
            <w:vAlign w:val="bottom"/>
            <w:tcBorders>
              <w:top w:val="single" w:sz="8" w:color="CFF0FC"/>
              <w:bottom w:val="single" w:sz="8" w:color="CFF0FC"/>
            </w:tcBorders>
            <w:shd w:val="clear" w:color="auto" w:fill="CFF0FC"/>
          </w:tcPr>
          <w:p>
            <w:pPr>
              <w:spacing w:after="0"/>
              <w:rPr>
                <w:sz w:val="17"/>
                <w:szCs w:val="17"/>
                <w:color w:val="auto"/>
              </w:rPr>
            </w:pPr>
          </w:p>
        </w:tc>
        <w:tc>
          <w:tcPr>
            <w:tcW w:w="300" w:type="dxa"/>
            <w:vAlign w:val="bottom"/>
            <w:tcBorders>
              <w:top w:val="single" w:sz="8" w:color="auto"/>
              <w:bottom w:val="single" w:sz="8" w:color="auto"/>
            </w:tcBorders>
            <w:shd w:val="clear" w:color="auto" w:fill="CFF0FC"/>
          </w:tcPr>
          <w:p>
            <w:pPr>
              <w:jc w:val="right"/>
              <w:ind w:right="144"/>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(39)</w:t>
            </w: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0"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Personalized Imaging and Document Imaging Businesses</w:t>
      </w:r>
    </w:p>
    <w:p>
      <w:pPr>
        <w:spacing w:after="0" w:line="110" w:lineRule="exact"/>
        <w:rPr>
          <w:sz w:val="20"/>
          <w:szCs w:val="20"/>
          <w:color w:val="auto"/>
        </w:rPr>
      </w:pPr>
    </w:p>
    <w:p>
      <w:pPr>
        <w:ind w:left="3" w:right="40"/>
        <w:spacing w:after="0" w:line="274" w:lineRule="auto"/>
        <w:rPr>
          <w:sz w:val="20"/>
          <w:szCs w:val="20"/>
          <w:color w:val="auto"/>
        </w:rPr>
      </w:pPr>
      <w:r>
        <w:rPr>
          <w:rFonts w:ascii="Arial" w:cs="Arial" w:eastAsia="Arial" w:hAnsi="Arial"/>
          <w:sz w:val="15"/>
          <w:szCs w:val="15"/>
          <w:color w:val="auto"/>
        </w:rPr>
        <w:t>On September 3, 2013, Kodak consummated the sale of certain assets and the assumption of certain liabilities of the PI/DI Business to the trustee of the U. K. pension plan (and/or its subsidiaries, collectively the “KPP Purchasing Parties”) for net cash consideration of $325 million. Up to $35 million in aggregate of the purchase price is subject to repayment if the PI/DI Business does not achieve certain annual adjusted EBITDA targets over the four-year period ending December 31, 2018. The PI/DI Business did not achieve the adjusted annual EBITDA target for 2016 or 2015. As a result, $7 million and $4 million of the purchase price, representing the maximum amount that could be owed for 2016 and 2015, respectively, was paid in 2017 and 2016, respectively. Certain assets and liabilities of the PI/DI Business in certain jurisdictions were not transferred at the initial closing on September 3, 2013, but were transferred at a series of deferred closings. The final deferred closing occurred in September 2015. Kodak operated the PI/DI Business related to the deferred closing jurisdictions, subject to certain covenants, until the applicable deferred closing occurred, and delivered to (or received from) a KPP subsidiary at each deferred closing a true-up payment that reflected the actual economic benefit (or detriment) to the PI/DI Business in the applicable deferred closing jurisdiction(s) from the time of the initial closing through the time of the applicable deferred closing. Up to the time of the deferred closing, the results of the operations of the PI/DI Business were being reported as Loss from discontinued operations, net of income taxes in the Consolidated Statement of Operations.</w:t>
      </w:r>
    </w:p>
    <w:p>
      <w:pPr>
        <w:spacing w:after="0" w:line="61" w:lineRule="exact"/>
        <w:rPr>
          <w:sz w:val="20"/>
          <w:szCs w:val="20"/>
          <w:color w:val="auto"/>
        </w:rPr>
      </w:pPr>
    </w:p>
    <w:p>
      <w:pPr>
        <w:ind w:left="3" w:right="40"/>
        <w:spacing w:after="0" w:line="280" w:lineRule="auto"/>
        <w:rPr>
          <w:sz w:val="20"/>
          <w:szCs w:val="20"/>
          <w:color w:val="auto"/>
        </w:rPr>
      </w:pPr>
      <w:r>
        <w:rPr>
          <w:rFonts w:ascii="Arial" w:cs="Arial" w:eastAsia="Arial" w:hAnsi="Arial"/>
          <w:sz w:val="16"/>
          <w:szCs w:val="16"/>
          <w:color w:val="auto"/>
        </w:rPr>
        <w:t>On March 17, 2014, the KPP Purchasing Parties agreed to pay Kodak $20 million of incremental consideration ($13 million was paid in March 2014 and the remainder was paid in March 2015) in lieu of working capital adjustments.</w:t>
      </w:r>
    </w:p>
    <w:p>
      <w:pPr>
        <w:spacing w:after="0" w:line="151"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62865</wp:posOffset>
            </wp:positionV>
            <wp:extent cx="7301865" cy="406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301865" cy="40640"/>
                    </a:xfrm>
                    <a:prstGeom prst="rect">
                      <a:avLst/>
                    </a:prstGeom>
                    <a:noFill/>
                  </pic:spPr>
                </pic:pic>
              </a:graphicData>
            </a:graphic>
          </wp:anchor>
        </w:drawing>
      </w:r>
    </w:p>
    <w:p>
      <w:pPr>
        <w:sectPr>
          <w:pgSz w:w="11900" w:h="16838" w:orient="portrait"/>
          <w:cols w:equalWidth="0" w:num="1">
            <w:col w:w="11443"/>
          </w:cols>
          <w:pgMar w:left="237" w:top="127" w:right="219" w:bottom="1440" w:gutter="0" w:footer="0" w:header="0"/>
        </w:sectPr>
      </w:pPr>
    </w:p>
    <w:bookmarkStart w:id="101" w:name="page102"/>
    <w:bookmarkEnd w:id="101"/>
    <w:p>
      <w:pPr>
        <w:spacing w:after="0"/>
        <w:rPr>
          <w:sz w:val="20"/>
          <w:szCs w:val="20"/>
          <w:color w:val="auto"/>
        </w:rPr>
      </w:pPr>
      <w:r>
        <w:rPr>
          <w:rFonts w:ascii="Arial" w:cs="Arial" w:eastAsia="Arial" w:hAnsi="Arial"/>
          <w:sz w:val="16"/>
          <w:szCs w:val="16"/>
          <w:color w:val="auto"/>
        </w:rPr>
        <w:t>The significant components of revenues and (loss) earnings from discontinued operations, net of income taxes are as follows:</w:t>
      </w:r>
    </w:p>
    <w:p>
      <w:pPr>
        <w:spacing w:after="0" w:line="200" w:lineRule="exact"/>
        <w:rPr>
          <w:sz w:val="20"/>
          <w:szCs w:val="20"/>
          <w:color w:val="auto"/>
        </w:rPr>
      </w:pPr>
    </w:p>
    <w:p>
      <w:pPr>
        <w:spacing w:after="0" w:line="241" w:lineRule="exact"/>
        <w:rPr>
          <w:sz w:val="20"/>
          <w:szCs w:val="20"/>
          <w:color w:val="auto"/>
        </w:rPr>
      </w:pPr>
    </w:p>
    <w:tbl>
      <w:tblPr>
        <w:tblLayout w:type="fixed"/>
        <w:tblInd w:w="58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5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80" w:type="dxa"/>
            <w:vAlign w:val="bottom"/>
            <w:gridSpan w:val="7"/>
          </w:tcPr>
          <w:p>
            <w:pPr>
              <w:ind w:left="880"/>
              <w:spacing w:after="0"/>
              <w:rPr>
                <w:sz w:val="20"/>
                <w:szCs w:val="20"/>
                <w:color w:val="auto"/>
              </w:rPr>
            </w:pPr>
            <w:r>
              <w:rPr>
                <w:rFonts w:ascii="Arial" w:cs="Arial" w:eastAsia="Arial" w:hAnsi="Arial"/>
                <w:sz w:val="16"/>
                <w:szCs w:val="16"/>
                <w:b w:val="1"/>
                <w:bCs w:val="1"/>
                <w:color w:val="auto"/>
              </w:rPr>
              <w:t>Year Ended December 31,</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440" w:type="dxa"/>
            <w:vAlign w:val="bottom"/>
            <w:gridSpan w:val="2"/>
          </w:tcPr>
          <w:p>
            <w:pPr>
              <w:spacing w:after="0"/>
              <w:rPr>
                <w:sz w:val="20"/>
                <w:szCs w:val="20"/>
                <w:color w:val="auto"/>
              </w:rPr>
            </w:pPr>
            <w:r>
              <w:rPr>
                <w:rFonts w:ascii="Arial" w:cs="Arial" w:eastAsia="Arial" w:hAnsi="Arial"/>
                <w:sz w:val="13"/>
                <w:szCs w:val="13"/>
                <w:color w:val="auto"/>
              </w:rPr>
              <w:t>(in millions)</w:t>
            </w: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ind w:left="180"/>
              <w:spacing w:after="0"/>
              <w:rPr>
                <w:sz w:val="20"/>
                <w:szCs w:val="20"/>
                <w:color w:val="auto"/>
              </w:rPr>
            </w:pPr>
            <w:r>
              <w:rPr>
                <w:rFonts w:ascii="Arial" w:cs="Arial" w:eastAsia="Arial" w:hAnsi="Arial"/>
                <w:sz w:val="16"/>
                <w:szCs w:val="16"/>
                <w:b w:val="1"/>
                <w:bCs w:val="1"/>
                <w:color w:val="auto"/>
              </w:rPr>
              <w:t>2017</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359"/>
              <w:spacing w:after="0"/>
              <w:rPr>
                <w:sz w:val="20"/>
                <w:szCs w:val="20"/>
                <w:color w:val="auto"/>
              </w:rPr>
            </w:pPr>
            <w:r>
              <w:rPr>
                <w:rFonts w:ascii="Arial" w:cs="Arial" w:eastAsia="Arial" w:hAnsi="Arial"/>
                <w:sz w:val="16"/>
                <w:szCs w:val="16"/>
                <w:b w:val="1"/>
                <w:bCs w:val="1"/>
                <w:color w:val="auto"/>
              </w:rPr>
              <w:t>2016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35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Revenues from Personalized Imaging and Document Imaging</w:t>
            </w:r>
          </w:p>
        </w:tc>
        <w:tc>
          <w:tcPr>
            <w:tcW w:w="66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bottom w:val="single" w:sz="8" w:color="auto"/>
            </w:tcBorders>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ind w:left="780"/>
              <w:spacing w:after="0"/>
              <w:rPr>
                <w:sz w:val="20"/>
                <w:szCs w:val="20"/>
                <w:color w:val="auto"/>
              </w:rPr>
            </w:pPr>
            <w:r>
              <w:rPr>
                <w:rFonts w:ascii="Arial" w:cs="Arial" w:eastAsia="Arial" w:hAnsi="Arial"/>
                <w:sz w:val="16"/>
                <w:szCs w:val="16"/>
                <w:color w:val="auto"/>
                <w:w w:val="87"/>
              </w:rPr>
              <w:t>—</w:t>
            </w:r>
          </w:p>
        </w:tc>
        <w:tc>
          <w:tcPr>
            <w:tcW w:w="24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bottom w:val="single" w:sz="8" w:color="auto"/>
            </w:tcBorders>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bottom w:val="single" w:sz="8" w:color="auto"/>
            </w:tcBorders>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5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5420" w:type="dxa"/>
            <w:vAlign w:val="bottom"/>
            <w:shd w:val="clear" w:color="auto" w:fill="CFF0FC"/>
          </w:tcPr>
          <w:p>
            <w:pPr>
              <w:spacing w:after="0"/>
              <w:rPr>
                <w:sz w:val="20"/>
                <w:szCs w:val="20"/>
                <w:color w:val="auto"/>
              </w:rPr>
            </w:pPr>
            <w:r>
              <w:rPr>
                <w:rFonts w:ascii="Arial" w:cs="Arial" w:eastAsia="Arial" w:hAnsi="Arial"/>
                <w:sz w:val="16"/>
                <w:szCs w:val="16"/>
                <w:color w:val="auto"/>
              </w:rPr>
              <w:t>Pre-tax (loss) earnings from Personalized Imaging and Document Imaging</w:t>
            </w:r>
          </w:p>
        </w:tc>
        <w:tc>
          <w:tcPr>
            <w:tcW w:w="920" w:type="dxa"/>
            <w:vAlign w:val="bottom"/>
            <w:gridSpan w:val="2"/>
            <w:shd w:val="clear" w:color="auto" w:fill="CFF0FC"/>
          </w:tcPr>
          <w:p>
            <w:pPr>
              <w:jc w:val="right"/>
              <w:ind w:right="104"/>
              <w:spacing w:after="0"/>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ind w:left="780"/>
              <w:spacing w:after="0"/>
              <w:rPr>
                <w:sz w:val="20"/>
                <w:szCs w:val="20"/>
                <w:color w:val="auto"/>
              </w:rPr>
            </w:pPr>
            <w:r>
              <w:rPr>
                <w:rFonts w:ascii="Arial" w:cs="Arial" w:eastAsia="Arial" w:hAnsi="Arial"/>
                <w:sz w:val="16"/>
                <w:szCs w:val="16"/>
                <w:color w:val="auto"/>
                <w:w w:val="87"/>
              </w:rPr>
              <w:t>—</w:t>
            </w:r>
          </w:p>
        </w:tc>
        <w:tc>
          <w:tcPr>
            <w:tcW w:w="500" w:type="dxa"/>
            <w:vAlign w:val="bottom"/>
            <w:gridSpan w:val="2"/>
            <w:shd w:val="clear" w:color="auto" w:fill="CFF0FC"/>
          </w:tcPr>
          <w:p>
            <w:pPr>
              <w:jc w:val="right"/>
              <w:ind w:right="104"/>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(2)</w:t>
            </w:r>
          </w:p>
        </w:tc>
        <w:tc>
          <w:tcPr>
            <w:tcW w:w="360" w:type="dxa"/>
            <w:vAlign w:val="bottom"/>
            <w:gridSpan w:val="2"/>
            <w:shd w:val="clear" w:color="auto" w:fill="CFF0FC"/>
          </w:tcPr>
          <w:p>
            <w:pPr>
              <w:jc w:val="right"/>
              <w:ind w:right="104"/>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420" w:type="dxa"/>
            <w:vAlign w:val="bottom"/>
          </w:tcPr>
          <w:p>
            <w:pPr>
              <w:spacing w:after="0"/>
              <w:rPr>
                <w:sz w:val="20"/>
                <w:szCs w:val="20"/>
                <w:color w:val="auto"/>
              </w:rPr>
            </w:pPr>
            <w:r>
              <w:rPr>
                <w:rFonts w:ascii="Arial" w:cs="Arial" w:eastAsia="Arial" w:hAnsi="Arial"/>
                <w:sz w:val="16"/>
                <w:szCs w:val="16"/>
                <w:color w:val="auto"/>
              </w:rPr>
              <w:t>Provision for income taxes related to discontinued operations</w:t>
            </w: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ind w:left="780"/>
              <w:spacing w:after="0"/>
              <w:rPr>
                <w:sz w:val="20"/>
                <w:szCs w:val="20"/>
                <w:color w:val="auto"/>
              </w:rPr>
            </w:pPr>
            <w:r>
              <w:rPr>
                <w:rFonts w:ascii="Arial" w:cs="Arial" w:eastAsia="Arial" w:hAnsi="Arial"/>
                <w:sz w:val="16"/>
                <w:szCs w:val="16"/>
                <w:color w:val="auto"/>
                <w:w w:val="87"/>
              </w:rPr>
              <w:t>—</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4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(Loss) earnings from discontinued operations, net of income taxes</w:t>
            </w:r>
          </w:p>
        </w:tc>
        <w:tc>
          <w:tcPr>
            <w:tcW w:w="660" w:type="dxa"/>
            <w:vAlign w:val="bottom"/>
            <w:tcBorders>
              <w:top w:val="single" w:sz="8" w:color="CFF0FC"/>
              <w:bottom w:val="single" w:sz="8" w:color="CFF0FC"/>
            </w:tcBorders>
            <w:shd w:val="clear" w:color="auto" w:fill="CFF0FC"/>
          </w:tcPr>
          <w:p>
            <w:pPr>
              <w:spacing w:after="0"/>
              <w:rPr>
                <w:sz w:val="17"/>
                <w:szCs w:val="17"/>
                <w:color w:val="auto"/>
              </w:rPr>
            </w:pPr>
          </w:p>
        </w:tc>
        <w:tc>
          <w:tcPr>
            <w:tcW w:w="260" w:type="dxa"/>
            <w:vAlign w:val="bottom"/>
            <w:tcBorders>
              <w:top w:val="single" w:sz="8" w:color="auto"/>
              <w:bottom w:val="single" w:sz="8" w:color="auto"/>
            </w:tcBorders>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ind w:left="780"/>
              <w:spacing w:after="0"/>
              <w:rPr>
                <w:sz w:val="20"/>
                <w:szCs w:val="20"/>
                <w:color w:val="auto"/>
              </w:rPr>
            </w:pPr>
            <w:r>
              <w:rPr>
                <w:rFonts w:ascii="Arial" w:cs="Arial" w:eastAsia="Arial" w:hAnsi="Arial"/>
                <w:sz w:val="16"/>
                <w:szCs w:val="16"/>
                <w:color w:val="auto"/>
                <w:w w:val="87"/>
              </w:rPr>
              <w:t>—</w:t>
            </w:r>
          </w:p>
        </w:tc>
        <w:tc>
          <w:tcPr>
            <w:tcW w:w="240" w:type="dxa"/>
            <w:vAlign w:val="bottom"/>
            <w:tcBorders>
              <w:top w:val="single" w:sz="8" w:color="CFF0FC"/>
              <w:bottom w:val="single" w:sz="8" w:color="CFF0FC"/>
            </w:tcBorders>
            <w:shd w:val="clear" w:color="auto" w:fill="CFF0FC"/>
          </w:tcPr>
          <w:p>
            <w:pPr>
              <w:spacing w:after="0"/>
              <w:rPr>
                <w:sz w:val="17"/>
                <w:szCs w:val="17"/>
                <w:color w:val="auto"/>
              </w:rPr>
            </w:pPr>
          </w:p>
        </w:tc>
        <w:tc>
          <w:tcPr>
            <w:tcW w:w="260" w:type="dxa"/>
            <w:vAlign w:val="bottom"/>
            <w:tcBorders>
              <w:top w:val="single" w:sz="8" w:color="auto"/>
              <w:bottom w:val="single" w:sz="8" w:color="auto"/>
            </w:tcBorders>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14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260" w:type="dxa"/>
            <w:vAlign w:val="bottom"/>
            <w:tcBorders>
              <w:top w:val="single" w:sz="8" w:color="auto"/>
              <w:bottom w:val="single" w:sz="8" w:color="auto"/>
            </w:tcBorders>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spacing w:after="0" w:line="354" w:lineRule="auto"/>
        <w:rPr>
          <w:sz w:val="20"/>
          <w:szCs w:val="20"/>
          <w:color w:val="auto"/>
        </w:rPr>
      </w:pPr>
      <w:r>
        <w:rPr>
          <w:rFonts w:ascii="Arial" w:cs="Arial" w:eastAsia="Arial" w:hAnsi="Arial"/>
          <w:sz w:val="14"/>
          <w:szCs w:val="14"/>
          <w:color w:val="auto"/>
        </w:rPr>
        <w:t>Direct operating expenses of the discontinued operations are included in the results of discontinued operations. Indirect expenses that were historically allocated to the discontinued operations have been included in the results of continuing operations. Prior period results have been reclassified to conform to the current period presentation.</w:t>
      </w:r>
    </w:p>
    <w:p>
      <w:pPr>
        <w:spacing w:after="0" w:line="323" w:lineRule="exact"/>
        <w:rPr>
          <w:sz w:val="20"/>
          <w:szCs w:val="20"/>
          <w:color w:val="auto"/>
        </w:rPr>
      </w:pPr>
    </w:p>
    <w:p>
      <w:pPr>
        <w:jc w:val="center"/>
        <w:ind w:right="-379"/>
        <w:spacing w:after="0"/>
        <w:rPr>
          <w:sz w:val="20"/>
          <w:szCs w:val="20"/>
          <w:color w:val="auto"/>
        </w:rPr>
      </w:pPr>
      <w:r>
        <w:rPr>
          <w:rFonts w:ascii="Arial" w:cs="Arial" w:eastAsia="Arial" w:hAnsi="Arial"/>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62865</wp:posOffset>
            </wp:positionV>
            <wp:extent cx="7301865" cy="406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301865" cy="40640"/>
                    </a:xfrm>
                    <a:prstGeom prst="rect">
                      <a:avLst/>
                    </a:prstGeom>
                    <a:noFill/>
                  </pic:spPr>
                </pic:pic>
              </a:graphicData>
            </a:graphic>
          </wp:anchor>
        </w:drawing>
      </w:r>
    </w:p>
    <w:p>
      <w:pPr>
        <w:sectPr>
          <w:pgSz w:w="11900" w:h="16838" w:orient="portrait"/>
          <w:cols w:equalWidth="0" w:num="1">
            <w:col w:w="11040"/>
          </w:cols>
          <w:pgMar w:left="240" w:top="224" w:right="619" w:bottom="1440" w:gutter="0" w:footer="0" w:header="0"/>
        </w:sectPr>
      </w:pPr>
    </w:p>
    <w:bookmarkStart w:id="102" w:name="page103"/>
    <w:bookmarkEnd w:id="102"/>
    <w:p>
      <w:pPr>
        <w:ind w:left="3"/>
        <w:spacing w:after="0"/>
        <w:rPr>
          <w:sz w:val="20"/>
          <w:szCs w:val="20"/>
          <w:color w:val="auto"/>
        </w:rPr>
      </w:pPr>
      <w:r>
        <w:rPr>
          <w:rFonts w:ascii="Arial" w:cs="Arial" w:eastAsia="Arial" w:hAnsi="Arial"/>
          <w:sz w:val="16"/>
          <w:szCs w:val="16"/>
          <w:b w:val="1"/>
          <w:bCs w:val="1"/>
          <w:color w:val="auto"/>
        </w:rPr>
        <w:t>QUARTERLY SALES AND EARNINGS DATA (UNAUDITED)</w:t>
      </w:r>
    </w:p>
    <w:p>
      <w:pPr>
        <w:spacing w:after="0" w:line="296" w:lineRule="exact"/>
        <w:rPr>
          <w:sz w:val="20"/>
          <w:szCs w:val="20"/>
          <w:color w:val="auto"/>
        </w:rPr>
      </w:pPr>
    </w:p>
    <w:tbl>
      <w:tblPr>
        <w:tblLayout w:type="fixed"/>
        <w:tblInd w:w="583" w:type="dxa"/>
        <w:tblCellMar>
          <w:top w:w="0" w:type="dxa"/>
          <w:left w:w="0" w:type="dxa"/>
          <w:bottom w:w="0" w:type="dxa"/>
          <w:right w:w="0" w:type="dxa"/>
        </w:tblCellMar>
      </w:tblPr>
      <w:tr>
        <w:trPr>
          <w:trHeight w:val="153"/>
        </w:trPr>
        <w:tc>
          <w:tcPr>
            <w:tcW w:w="4480" w:type="dxa"/>
            <w:vAlign w:val="bottom"/>
          </w:tcPr>
          <w:p>
            <w:pPr>
              <w:spacing w:after="0"/>
              <w:rPr>
                <w:sz w:val="20"/>
                <w:szCs w:val="20"/>
                <w:color w:val="auto"/>
              </w:rPr>
            </w:pPr>
            <w:r>
              <w:rPr>
                <w:rFonts w:ascii="Arial" w:cs="Arial" w:eastAsia="Arial" w:hAnsi="Arial"/>
                <w:sz w:val="13"/>
                <w:szCs w:val="13"/>
                <w:color w:val="auto"/>
              </w:rPr>
              <w:t>(in millions, except per share data)</w:t>
            </w: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ind w:right="241"/>
              <w:spacing w:after="0"/>
              <w:rPr>
                <w:sz w:val="20"/>
                <w:szCs w:val="20"/>
                <w:color w:val="auto"/>
              </w:rPr>
            </w:pPr>
            <w:r>
              <w:rPr>
                <w:rFonts w:ascii="Arial" w:cs="Arial" w:eastAsia="Arial" w:hAnsi="Arial"/>
                <w:sz w:val="13"/>
                <w:szCs w:val="13"/>
                <w:b w:val="1"/>
                <w:bCs w:val="1"/>
                <w:color w:val="auto"/>
              </w:rPr>
              <w:t>4th Qtr.</w:t>
            </w: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3"/>
          </w:tcPr>
          <w:p>
            <w:pPr>
              <w:jc w:val="right"/>
              <w:ind w:right="560"/>
              <w:spacing w:after="0"/>
              <w:rPr>
                <w:sz w:val="20"/>
                <w:szCs w:val="20"/>
                <w:color w:val="auto"/>
              </w:rPr>
            </w:pPr>
            <w:r>
              <w:rPr>
                <w:rFonts w:ascii="Arial" w:cs="Arial" w:eastAsia="Arial" w:hAnsi="Arial"/>
                <w:sz w:val="13"/>
                <w:szCs w:val="13"/>
                <w:b w:val="1"/>
                <w:bCs w:val="1"/>
                <w:color w:val="auto"/>
              </w:rPr>
              <w:t>3rd Qtr.</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2nd Qtr.</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4"/>
          </w:tcPr>
          <w:p>
            <w:pPr>
              <w:jc w:val="right"/>
              <w:ind w:right="512"/>
              <w:spacing w:after="0"/>
              <w:rPr>
                <w:sz w:val="20"/>
                <w:szCs w:val="20"/>
                <w:color w:val="auto"/>
              </w:rPr>
            </w:pPr>
            <w:r>
              <w:rPr>
                <w:rFonts w:ascii="Arial" w:cs="Arial" w:eastAsia="Arial" w:hAnsi="Arial"/>
                <w:sz w:val="13"/>
                <w:szCs w:val="13"/>
                <w:b w:val="1"/>
                <w:bCs w:val="1"/>
                <w:color w:val="auto"/>
              </w:rPr>
              <w:t>1st Qtr.</w:t>
            </w:r>
          </w:p>
        </w:tc>
      </w:tr>
      <w:tr>
        <w:trPr>
          <w:trHeight w:val="198"/>
        </w:trPr>
        <w:tc>
          <w:tcPr>
            <w:tcW w:w="4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2017</w:t>
            </w:r>
          </w:p>
        </w:tc>
        <w:tc>
          <w:tcPr>
            <w:tcW w:w="62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2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80" w:type="dxa"/>
            <w:vAlign w:val="bottom"/>
          </w:tcPr>
          <w:p>
            <w:pPr>
              <w:spacing w:after="0"/>
              <w:rPr>
                <w:sz w:val="17"/>
                <w:szCs w:val="17"/>
                <w:color w:val="auto"/>
              </w:rPr>
            </w:pPr>
          </w:p>
        </w:tc>
      </w:tr>
      <w:tr>
        <w:trPr>
          <w:trHeight w:val="205"/>
        </w:trPr>
        <w:tc>
          <w:tcPr>
            <w:tcW w:w="4480" w:type="dxa"/>
            <w:vAlign w:val="bottom"/>
          </w:tcPr>
          <w:p>
            <w:pPr>
              <w:spacing w:after="0"/>
              <w:rPr>
                <w:sz w:val="20"/>
                <w:szCs w:val="20"/>
                <w:color w:val="auto"/>
              </w:rPr>
            </w:pPr>
            <w:r>
              <w:rPr>
                <w:rFonts w:ascii="Arial" w:cs="Arial" w:eastAsia="Arial" w:hAnsi="Arial"/>
                <w:sz w:val="16"/>
                <w:szCs w:val="16"/>
                <w:color w:val="auto"/>
              </w:rPr>
              <w:t>Net revenues from continuing operations</w:t>
            </w:r>
          </w:p>
        </w:tc>
        <w:tc>
          <w:tcPr>
            <w:tcW w:w="800" w:type="dxa"/>
            <w:vAlign w:val="bottom"/>
            <w:gridSpan w:val="3"/>
          </w:tcPr>
          <w:p>
            <w:pPr>
              <w:jc w:val="right"/>
              <w:ind w:right="24"/>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414</w:t>
            </w:r>
          </w:p>
        </w:tc>
        <w:tc>
          <w:tcPr>
            <w:tcW w:w="460" w:type="dxa"/>
            <w:vAlign w:val="bottom"/>
            <w:gridSpan w:val="4"/>
          </w:tcPr>
          <w:p>
            <w:pPr>
              <w:jc w:val="right"/>
              <w:ind w:right="7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379</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gridSpan w:val="3"/>
          </w:tcPr>
          <w:p>
            <w:pPr>
              <w:jc w:val="right"/>
              <w:ind w:right="24"/>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381</w:t>
            </w:r>
          </w:p>
        </w:tc>
        <w:tc>
          <w:tcPr>
            <w:tcW w:w="80" w:type="dxa"/>
            <w:vAlign w:val="bottom"/>
          </w:tcPr>
          <w:p>
            <w:pPr>
              <w:spacing w:after="0"/>
              <w:rPr>
                <w:sz w:val="17"/>
                <w:szCs w:val="17"/>
                <w:color w:val="auto"/>
              </w:rPr>
            </w:pPr>
          </w:p>
        </w:tc>
        <w:tc>
          <w:tcPr>
            <w:tcW w:w="380" w:type="dxa"/>
            <w:vAlign w:val="bottom"/>
            <w:gridSpan w:val="4"/>
          </w:tcPr>
          <w:p>
            <w:pPr>
              <w:jc w:val="right"/>
              <w:ind w:right="5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357</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5"/>
        </w:trPr>
        <w:tc>
          <w:tcPr>
            <w:tcW w:w="4480" w:type="dxa"/>
            <w:vAlign w:val="bottom"/>
            <w:shd w:val="clear" w:color="auto" w:fill="CFF0FC"/>
          </w:tcPr>
          <w:p>
            <w:pPr>
              <w:spacing w:after="0"/>
              <w:rPr>
                <w:sz w:val="20"/>
                <w:szCs w:val="20"/>
                <w:color w:val="auto"/>
              </w:rPr>
            </w:pPr>
            <w:r>
              <w:rPr>
                <w:rFonts w:ascii="Arial" w:cs="Arial" w:eastAsia="Arial" w:hAnsi="Arial"/>
                <w:sz w:val="16"/>
                <w:szCs w:val="16"/>
                <w:color w:val="auto"/>
              </w:rPr>
              <w:t>Gross profit from continuing operations</w:t>
            </w:r>
          </w:p>
        </w:tc>
        <w:tc>
          <w:tcPr>
            <w:tcW w:w="6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94</w:t>
            </w:r>
          </w:p>
        </w:tc>
        <w:tc>
          <w:tcPr>
            <w:tcW w:w="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87</w:t>
            </w:r>
          </w:p>
        </w:tc>
        <w:tc>
          <w:tcPr>
            <w:tcW w:w="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w:t>
            </w: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83</w:t>
            </w: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tcPr>
          <w:p>
            <w:pPr>
              <w:spacing w:after="0"/>
              <w:rPr>
                <w:sz w:val="17"/>
                <w:szCs w:val="17"/>
                <w:color w:val="auto"/>
              </w:rPr>
            </w:pPr>
          </w:p>
        </w:tc>
      </w:tr>
      <w:tr>
        <w:trPr>
          <w:trHeight w:val="205"/>
        </w:trPr>
        <w:tc>
          <w:tcPr>
            <w:tcW w:w="4480" w:type="dxa"/>
            <w:vAlign w:val="bottom"/>
          </w:tcPr>
          <w:p>
            <w:pPr>
              <w:spacing w:after="0"/>
              <w:rPr>
                <w:sz w:val="20"/>
                <w:szCs w:val="20"/>
                <w:color w:val="auto"/>
              </w:rPr>
            </w:pPr>
            <w:r>
              <w:rPr>
                <w:rFonts w:ascii="Arial" w:cs="Arial" w:eastAsia="Arial" w:hAnsi="Arial"/>
                <w:sz w:val="16"/>
                <w:szCs w:val="16"/>
                <w:color w:val="auto"/>
              </w:rPr>
              <w:t>Earnings (loss) from continuing operations</w:t>
            </w: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128</w:t>
            </w:r>
          </w:p>
        </w:tc>
        <w:tc>
          <w:tcPr>
            <w:tcW w:w="280" w:type="dxa"/>
            <w:vAlign w:val="bottom"/>
            <w:gridSpan w:val="2"/>
          </w:tcPr>
          <w:p>
            <w:pPr>
              <w:jc w:val="right"/>
              <w:ind w:right="40"/>
              <w:spacing w:after="0"/>
              <w:rPr>
                <w:sz w:val="20"/>
                <w:szCs w:val="20"/>
                <w:color w:val="auto"/>
              </w:rPr>
            </w:pPr>
            <w:r>
              <w:rPr>
                <w:rFonts w:ascii="Arial" w:cs="Arial" w:eastAsia="Arial" w:hAnsi="Arial"/>
                <w:sz w:val="14"/>
                <w:szCs w:val="14"/>
                <w:color w:val="auto"/>
              </w:rPr>
              <w:t>(6)</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3"/>
          </w:tcPr>
          <w:p>
            <w:pPr>
              <w:jc w:val="right"/>
              <w:spacing w:after="0"/>
              <w:rPr>
                <w:sz w:val="20"/>
                <w:szCs w:val="20"/>
                <w:color w:val="auto"/>
              </w:rPr>
            </w:pPr>
            <w:r>
              <w:rPr>
                <w:rFonts w:ascii="Arial" w:cs="Arial" w:eastAsia="Arial" w:hAnsi="Arial"/>
                <w:sz w:val="16"/>
                <w:szCs w:val="16"/>
                <w:color w:val="auto"/>
              </w:rPr>
              <w:t xml:space="preserve">(46) </w:t>
            </w:r>
            <w:r>
              <w:rPr>
                <w:rFonts w:ascii="Arial" w:cs="Arial" w:eastAsia="Arial" w:hAnsi="Arial"/>
                <w:sz w:val="13"/>
                <w:szCs w:val="13"/>
                <w:color w:val="auto"/>
              </w:rPr>
              <w:t>(5)</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w:t>
            </w:r>
          </w:p>
        </w:tc>
        <w:tc>
          <w:tcPr>
            <w:tcW w:w="8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w w:val="93"/>
              </w:rPr>
              <w:t>(4)</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w w:val="93"/>
              </w:rPr>
              <w:t>(3)</w:t>
            </w:r>
          </w:p>
        </w:tc>
      </w:tr>
      <w:tr>
        <w:trPr>
          <w:trHeight w:val="205"/>
        </w:trPr>
        <w:tc>
          <w:tcPr>
            <w:tcW w:w="4480" w:type="dxa"/>
            <w:vAlign w:val="bottom"/>
            <w:shd w:val="clear" w:color="auto" w:fill="CFF0FC"/>
          </w:tcPr>
          <w:p>
            <w:pPr>
              <w:spacing w:after="0"/>
              <w:rPr>
                <w:sz w:val="20"/>
                <w:szCs w:val="20"/>
                <w:color w:val="auto"/>
              </w:rPr>
            </w:pPr>
            <w:r>
              <w:rPr>
                <w:rFonts w:ascii="Arial" w:cs="Arial" w:eastAsia="Arial" w:hAnsi="Arial"/>
                <w:sz w:val="16"/>
                <w:szCs w:val="16"/>
                <w:color w:val="auto"/>
              </w:rPr>
              <w:t xml:space="preserve">Income (loss) from discontinued operations </w:t>
            </w:r>
            <w:r>
              <w:rPr>
                <w:rFonts w:ascii="Arial" w:cs="Arial" w:eastAsia="Arial" w:hAnsi="Arial"/>
                <w:sz w:val="13"/>
                <w:szCs w:val="13"/>
                <w:color w:val="auto"/>
              </w:rPr>
              <w:t>(7)</w:t>
            </w:r>
          </w:p>
        </w:tc>
        <w:tc>
          <w:tcPr>
            <w:tcW w:w="6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80" w:type="dxa"/>
            <w:vAlign w:val="bottom"/>
            <w:gridSpan w:val="3"/>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(3)</w:t>
            </w:r>
          </w:p>
        </w:tc>
        <w:tc>
          <w:tcPr>
            <w:tcW w:w="1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20" w:type="dxa"/>
            <w:vAlign w:val="bottom"/>
            <w:gridSpan w:val="3"/>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r>
      <w:tr>
        <w:trPr>
          <w:trHeight w:val="205"/>
        </w:trPr>
        <w:tc>
          <w:tcPr>
            <w:tcW w:w="4480" w:type="dxa"/>
            <w:vAlign w:val="bottom"/>
          </w:tcPr>
          <w:p>
            <w:pPr>
              <w:spacing w:after="0"/>
              <w:rPr>
                <w:sz w:val="20"/>
                <w:szCs w:val="20"/>
                <w:color w:val="auto"/>
              </w:rPr>
            </w:pPr>
            <w:r>
              <w:rPr>
                <w:rFonts w:ascii="Arial" w:cs="Arial" w:eastAsia="Arial" w:hAnsi="Arial"/>
                <w:sz w:val="16"/>
                <w:szCs w:val="16"/>
                <w:color w:val="auto"/>
              </w:rPr>
              <w:t>Net earnings (loss) attributable to Eastman Kodak Company</w:t>
            </w: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129</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3"/>
          </w:tcPr>
          <w:p>
            <w:pPr>
              <w:jc w:val="right"/>
              <w:ind w:right="200"/>
              <w:spacing w:after="0"/>
              <w:rPr>
                <w:sz w:val="20"/>
                <w:szCs w:val="20"/>
                <w:color w:val="auto"/>
              </w:rPr>
            </w:pPr>
            <w:r>
              <w:rPr>
                <w:rFonts w:ascii="Arial" w:cs="Arial" w:eastAsia="Arial" w:hAnsi="Arial"/>
                <w:sz w:val="16"/>
                <w:szCs w:val="16"/>
                <w:color w:val="auto"/>
              </w:rPr>
              <w:t>(46)</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192"/>
        </w:trPr>
        <w:tc>
          <w:tcPr>
            <w:tcW w:w="4480" w:type="dxa"/>
            <w:vAlign w:val="bottom"/>
            <w:shd w:val="clear" w:color="auto" w:fill="CFF0FC"/>
          </w:tcPr>
          <w:p>
            <w:pPr>
              <w:spacing w:after="0"/>
              <w:rPr>
                <w:sz w:val="20"/>
                <w:szCs w:val="20"/>
                <w:color w:val="auto"/>
              </w:rPr>
            </w:pPr>
            <w:r>
              <w:rPr>
                <w:rFonts w:ascii="Arial" w:cs="Arial" w:eastAsia="Arial" w:hAnsi="Arial"/>
                <w:sz w:val="16"/>
                <w:szCs w:val="16"/>
                <w:color w:val="auto"/>
              </w:rPr>
              <w:t>Basic net earnings (loss) per share attributable to</w:t>
            </w:r>
          </w:p>
        </w:tc>
        <w:tc>
          <w:tcPr>
            <w:tcW w:w="6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80" w:type="dxa"/>
            <w:vAlign w:val="bottom"/>
          </w:tcPr>
          <w:p>
            <w:pPr>
              <w:spacing w:after="0"/>
              <w:rPr>
                <w:sz w:val="16"/>
                <w:szCs w:val="16"/>
                <w:color w:val="auto"/>
              </w:rPr>
            </w:pPr>
          </w:p>
        </w:tc>
      </w:tr>
      <w:tr>
        <w:trPr>
          <w:trHeight w:val="207"/>
        </w:trPr>
        <w:tc>
          <w:tcPr>
            <w:tcW w:w="44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 xml:space="preserve">Eastman Kodak Company </w:t>
            </w:r>
            <w:r>
              <w:rPr>
                <w:rFonts w:ascii="Arial" w:cs="Arial" w:eastAsia="Arial" w:hAnsi="Arial"/>
                <w:sz w:val="13"/>
                <w:szCs w:val="13"/>
                <w:color w:val="auto"/>
              </w:rPr>
              <w:t>(8)</w:t>
            </w:r>
          </w:p>
        </w:tc>
        <w:tc>
          <w:tcPr>
            <w:tcW w:w="6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tcPr>
          <w:p>
            <w:pPr>
              <w:spacing w:after="0"/>
              <w:rPr>
                <w:sz w:val="17"/>
                <w:szCs w:val="17"/>
                <w:color w:val="auto"/>
              </w:rPr>
            </w:pPr>
          </w:p>
        </w:tc>
      </w:tr>
      <w:tr>
        <w:trPr>
          <w:trHeight w:val="205"/>
        </w:trPr>
        <w:tc>
          <w:tcPr>
            <w:tcW w:w="4480" w:type="dxa"/>
            <w:vAlign w:val="bottom"/>
          </w:tcPr>
          <w:p>
            <w:pPr>
              <w:ind w:left="220"/>
              <w:spacing w:after="0"/>
              <w:rPr>
                <w:sz w:val="20"/>
                <w:szCs w:val="20"/>
                <w:color w:val="auto"/>
              </w:rPr>
            </w:pPr>
            <w:r>
              <w:rPr>
                <w:rFonts w:ascii="Arial" w:cs="Arial" w:eastAsia="Arial" w:hAnsi="Arial"/>
                <w:sz w:val="16"/>
                <w:szCs w:val="16"/>
                <w:color w:val="auto"/>
              </w:rPr>
              <w:t>Continuing operations</w:t>
            </w:r>
          </w:p>
        </w:tc>
        <w:tc>
          <w:tcPr>
            <w:tcW w:w="800" w:type="dxa"/>
            <w:vAlign w:val="bottom"/>
            <w:gridSpan w:val="3"/>
          </w:tcPr>
          <w:p>
            <w:pPr>
              <w:jc w:val="right"/>
              <w:ind w:right="24"/>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2.89</w:t>
            </w:r>
          </w:p>
        </w:tc>
        <w:tc>
          <w:tcPr>
            <w:tcW w:w="460" w:type="dxa"/>
            <w:vAlign w:val="bottom"/>
            <w:gridSpan w:val="4"/>
          </w:tcPr>
          <w:p>
            <w:pPr>
              <w:jc w:val="right"/>
              <w:ind w:right="70"/>
              <w:spacing w:after="0"/>
              <w:rPr>
                <w:sz w:val="20"/>
                <w:szCs w:val="20"/>
                <w:color w:val="auto"/>
              </w:rPr>
            </w:pPr>
            <w:r>
              <w:rPr>
                <w:rFonts w:ascii="Arial" w:cs="Arial" w:eastAsia="Arial" w:hAnsi="Arial"/>
                <w:sz w:val="16"/>
                <w:szCs w:val="16"/>
                <w:color w:val="auto"/>
              </w:rPr>
              <w:t>$</w:t>
            </w:r>
          </w:p>
        </w:tc>
        <w:tc>
          <w:tcPr>
            <w:tcW w:w="1080" w:type="dxa"/>
            <w:vAlign w:val="bottom"/>
            <w:gridSpan w:val="3"/>
          </w:tcPr>
          <w:p>
            <w:pPr>
              <w:jc w:val="right"/>
              <w:ind w:right="200"/>
              <w:spacing w:after="0"/>
              <w:rPr>
                <w:sz w:val="20"/>
                <w:szCs w:val="20"/>
                <w:color w:val="auto"/>
              </w:rPr>
            </w:pPr>
            <w:r>
              <w:rPr>
                <w:rFonts w:ascii="Arial" w:cs="Arial" w:eastAsia="Arial" w:hAnsi="Arial"/>
                <w:sz w:val="16"/>
                <w:szCs w:val="16"/>
                <w:color w:val="auto"/>
              </w:rPr>
              <w:t>(1.20)</w:t>
            </w:r>
          </w:p>
        </w:tc>
        <w:tc>
          <w:tcPr>
            <w:tcW w:w="200" w:type="dxa"/>
            <w:vAlign w:val="bottom"/>
            <w:gridSpan w:val="3"/>
          </w:tcPr>
          <w:p>
            <w:pPr>
              <w:jc w:val="right"/>
              <w:ind w:right="24"/>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0.05</w:t>
            </w:r>
          </w:p>
        </w:tc>
        <w:tc>
          <w:tcPr>
            <w:tcW w:w="80" w:type="dxa"/>
            <w:vAlign w:val="bottom"/>
          </w:tcPr>
          <w:p>
            <w:pPr>
              <w:spacing w:after="0"/>
              <w:rPr>
                <w:sz w:val="17"/>
                <w:szCs w:val="17"/>
                <w:color w:val="auto"/>
              </w:rPr>
            </w:pPr>
          </w:p>
        </w:tc>
        <w:tc>
          <w:tcPr>
            <w:tcW w:w="380" w:type="dxa"/>
            <w:vAlign w:val="bottom"/>
            <w:gridSpan w:val="4"/>
          </w:tcPr>
          <w:p>
            <w:pPr>
              <w:jc w:val="right"/>
              <w:ind w:right="5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0.05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5"/>
        </w:trPr>
        <w:tc>
          <w:tcPr>
            <w:tcW w:w="4480" w:type="dxa"/>
            <w:vAlign w:val="bottom"/>
            <w:shd w:val="clear" w:color="auto" w:fill="CFF0FC"/>
          </w:tcPr>
          <w:p>
            <w:pPr>
              <w:ind w:left="220"/>
              <w:spacing w:after="0"/>
              <w:rPr>
                <w:sz w:val="20"/>
                <w:szCs w:val="20"/>
                <w:color w:val="auto"/>
              </w:rPr>
            </w:pPr>
            <w:r>
              <w:rPr>
                <w:rFonts w:ascii="Arial" w:cs="Arial" w:eastAsia="Arial" w:hAnsi="Arial"/>
                <w:sz w:val="16"/>
                <w:szCs w:val="16"/>
                <w:color w:val="auto"/>
              </w:rPr>
              <w:t>Discontinued operations</w:t>
            </w:r>
          </w:p>
        </w:tc>
        <w:tc>
          <w:tcPr>
            <w:tcW w:w="6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0.02</w:t>
            </w:r>
          </w:p>
        </w:tc>
        <w:tc>
          <w:tcPr>
            <w:tcW w:w="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80" w:type="dxa"/>
            <w:vAlign w:val="bottom"/>
            <w:gridSpan w:val="3"/>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(0.07)</w:t>
            </w:r>
          </w:p>
        </w:tc>
        <w:tc>
          <w:tcPr>
            <w:tcW w:w="1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20" w:type="dxa"/>
            <w:vAlign w:val="bottom"/>
            <w:gridSpan w:val="3"/>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r>
      <w:tr>
        <w:trPr>
          <w:trHeight w:val="238"/>
        </w:trPr>
        <w:tc>
          <w:tcPr>
            <w:tcW w:w="4480" w:type="dxa"/>
            <w:vAlign w:val="bottom"/>
            <w:tcBorders>
              <w:bottom w:val="single" w:sz="8" w:color="CFF0FC"/>
            </w:tcBorders>
          </w:tcPr>
          <w:p>
            <w:pPr>
              <w:ind w:left="440"/>
              <w:spacing w:after="0"/>
              <w:rPr>
                <w:sz w:val="20"/>
                <w:szCs w:val="20"/>
                <w:color w:val="auto"/>
              </w:rPr>
            </w:pPr>
            <w:r>
              <w:rPr>
                <w:rFonts w:ascii="Arial" w:cs="Arial" w:eastAsia="Arial" w:hAnsi="Arial"/>
                <w:sz w:val="16"/>
                <w:szCs w:val="16"/>
                <w:color w:val="auto"/>
              </w:rPr>
              <w:t>Total</w:t>
            </w:r>
          </w:p>
        </w:tc>
        <w:tc>
          <w:tcPr>
            <w:tcW w:w="620" w:type="dxa"/>
            <w:vAlign w:val="bottom"/>
            <w:tcBorders>
              <w:bottom w:val="single" w:sz="8" w:color="CFF0FC"/>
            </w:tcBorders>
          </w:tcPr>
          <w:p>
            <w:pPr>
              <w:spacing w:after="0"/>
              <w:rPr>
                <w:sz w:val="20"/>
                <w:szCs w:val="20"/>
                <w:color w:val="auto"/>
              </w:rPr>
            </w:pPr>
          </w:p>
        </w:tc>
        <w:tc>
          <w:tcPr>
            <w:tcW w:w="180" w:type="dxa"/>
            <w:vAlign w:val="bottom"/>
            <w:tcBorders>
              <w:top w:val="single" w:sz="8" w:color="auto"/>
              <w:bottom w:val="single" w:sz="8" w:color="auto"/>
            </w:tcBorders>
            <w:gridSpan w:val="2"/>
          </w:tcPr>
          <w:p>
            <w:pPr>
              <w:jc w:val="right"/>
              <w:ind w:right="24"/>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2.91</w:t>
            </w:r>
          </w:p>
        </w:tc>
        <w:tc>
          <w:tcPr>
            <w:tcW w:w="20" w:type="dxa"/>
            <w:vAlign w:val="bottom"/>
            <w:tcBorders>
              <w:bottom w:val="single" w:sz="8" w:color="CFF0FC"/>
            </w:tcBorders>
          </w:tcPr>
          <w:p>
            <w:pPr>
              <w:spacing w:after="0"/>
              <w:rPr>
                <w:sz w:val="20"/>
                <w:szCs w:val="20"/>
                <w:color w:val="auto"/>
              </w:rPr>
            </w:pPr>
          </w:p>
        </w:tc>
        <w:tc>
          <w:tcPr>
            <w:tcW w:w="260" w:type="dxa"/>
            <w:vAlign w:val="bottom"/>
            <w:tcBorders>
              <w:bottom w:val="single" w:sz="8" w:color="CFF0FC"/>
            </w:tcBorders>
          </w:tcPr>
          <w:p>
            <w:pPr>
              <w:spacing w:after="0"/>
              <w:rPr>
                <w:sz w:val="20"/>
                <w:szCs w:val="20"/>
                <w:color w:val="auto"/>
              </w:rPr>
            </w:pPr>
          </w:p>
        </w:tc>
        <w:tc>
          <w:tcPr>
            <w:tcW w:w="180" w:type="dxa"/>
            <w:vAlign w:val="bottom"/>
            <w:tcBorders>
              <w:top w:val="single" w:sz="8" w:color="auto"/>
              <w:bottom w:val="single" w:sz="8" w:color="auto"/>
            </w:tcBorders>
            <w:gridSpan w:val="2"/>
          </w:tcPr>
          <w:p>
            <w:pPr>
              <w:jc w:val="right"/>
              <w:ind w:right="70"/>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(1.20)</w:t>
            </w:r>
          </w:p>
        </w:tc>
        <w:tc>
          <w:tcPr>
            <w:tcW w:w="20" w:type="dxa"/>
            <w:vAlign w:val="bottom"/>
            <w:tcBorders>
              <w:bottom w:val="single" w:sz="8" w:color="CFF0FC"/>
            </w:tcBorders>
          </w:tcPr>
          <w:p>
            <w:pPr>
              <w:spacing w:after="0"/>
              <w:rPr>
                <w:sz w:val="20"/>
                <w:szCs w:val="20"/>
                <w:color w:val="auto"/>
              </w:rPr>
            </w:pPr>
          </w:p>
        </w:tc>
        <w:tc>
          <w:tcPr>
            <w:tcW w:w="24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180" w:type="dxa"/>
            <w:vAlign w:val="bottom"/>
            <w:tcBorders>
              <w:top w:val="single" w:sz="8" w:color="auto"/>
              <w:bottom w:val="single" w:sz="8" w:color="auto"/>
            </w:tcBorders>
            <w:gridSpan w:val="2"/>
          </w:tcPr>
          <w:p>
            <w:pPr>
              <w:jc w:val="right"/>
              <w:ind w:right="24"/>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(0.02)</w:t>
            </w:r>
          </w:p>
        </w:tc>
        <w:tc>
          <w:tcPr>
            <w:tcW w:w="80" w:type="dxa"/>
            <w:vAlign w:val="bottom"/>
            <w:tcBorders>
              <w:bottom w:val="single" w:sz="8" w:color="CFF0FC"/>
            </w:tcBorders>
          </w:tcPr>
          <w:p>
            <w:pPr>
              <w:spacing w:after="0"/>
              <w:rPr>
                <w:sz w:val="20"/>
                <w:szCs w:val="20"/>
                <w:color w:val="auto"/>
              </w:rPr>
            </w:pPr>
          </w:p>
        </w:tc>
        <w:tc>
          <w:tcPr>
            <w:tcW w:w="18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0.05</w:t>
            </w:r>
          </w:p>
        </w:tc>
        <w:tc>
          <w:tcPr>
            <w:tcW w:w="20" w:type="dxa"/>
            <w:vAlign w:val="bottom"/>
            <w:tcBorders>
              <w:top w:val="single" w:sz="8" w:color="auto"/>
              <w:bottom w:val="single" w:sz="8" w:color="auto"/>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180" w:type="dxa"/>
            <w:vAlign w:val="bottom"/>
          </w:tcPr>
          <w:p>
            <w:pPr>
              <w:spacing w:after="0"/>
              <w:rPr>
                <w:sz w:val="20"/>
                <w:szCs w:val="20"/>
                <w:color w:val="auto"/>
              </w:rPr>
            </w:pPr>
          </w:p>
        </w:tc>
      </w:tr>
      <w:tr>
        <w:trPr>
          <w:trHeight w:val="169"/>
        </w:trPr>
        <w:tc>
          <w:tcPr>
            <w:tcW w:w="4480" w:type="dxa"/>
            <w:vAlign w:val="bottom"/>
            <w:shd w:val="clear" w:color="auto" w:fill="CFF0FC"/>
          </w:tcPr>
          <w:p>
            <w:pPr>
              <w:spacing w:after="0" w:line="168" w:lineRule="exact"/>
              <w:rPr>
                <w:sz w:val="20"/>
                <w:szCs w:val="20"/>
                <w:color w:val="auto"/>
              </w:rPr>
            </w:pPr>
            <w:r>
              <w:rPr>
                <w:rFonts w:ascii="Arial" w:cs="Arial" w:eastAsia="Arial" w:hAnsi="Arial"/>
                <w:sz w:val="16"/>
                <w:szCs w:val="16"/>
                <w:color w:val="auto"/>
              </w:rPr>
              <w:t>Diluted net earnings (loss) per share attributable to Eastman</w:t>
            </w:r>
          </w:p>
        </w:tc>
        <w:tc>
          <w:tcPr>
            <w:tcW w:w="6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tcPr>
          <w:p>
            <w:pPr>
              <w:spacing w:after="0"/>
              <w:rPr>
                <w:sz w:val="14"/>
                <w:szCs w:val="14"/>
                <w:color w:val="auto"/>
              </w:rPr>
            </w:pPr>
          </w:p>
        </w:tc>
      </w:tr>
      <w:tr>
        <w:trPr>
          <w:trHeight w:val="207"/>
        </w:trPr>
        <w:tc>
          <w:tcPr>
            <w:tcW w:w="44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 xml:space="preserve">Kodak Company </w:t>
            </w:r>
            <w:r>
              <w:rPr>
                <w:rFonts w:ascii="Arial" w:cs="Arial" w:eastAsia="Arial" w:hAnsi="Arial"/>
                <w:sz w:val="13"/>
                <w:szCs w:val="13"/>
                <w:color w:val="auto"/>
              </w:rPr>
              <w:t>(8)</w:t>
            </w:r>
          </w:p>
        </w:tc>
        <w:tc>
          <w:tcPr>
            <w:tcW w:w="6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tcPr>
          <w:p>
            <w:pPr>
              <w:spacing w:after="0"/>
              <w:rPr>
                <w:sz w:val="17"/>
                <w:szCs w:val="17"/>
                <w:color w:val="auto"/>
              </w:rPr>
            </w:pPr>
          </w:p>
        </w:tc>
      </w:tr>
      <w:tr>
        <w:trPr>
          <w:trHeight w:val="205"/>
        </w:trPr>
        <w:tc>
          <w:tcPr>
            <w:tcW w:w="4480" w:type="dxa"/>
            <w:vAlign w:val="bottom"/>
          </w:tcPr>
          <w:p>
            <w:pPr>
              <w:ind w:left="220"/>
              <w:spacing w:after="0"/>
              <w:rPr>
                <w:sz w:val="20"/>
                <w:szCs w:val="20"/>
                <w:color w:val="auto"/>
              </w:rPr>
            </w:pPr>
            <w:r>
              <w:rPr>
                <w:rFonts w:ascii="Arial" w:cs="Arial" w:eastAsia="Arial" w:hAnsi="Arial"/>
                <w:sz w:val="16"/>
                <w:szCs w:val="16"/>
                <w:color w:val="auto"/>
              </w:rPr>
              <w:t>Continuing operations</w:t>
            </w:r>
          </w:p>
        </w:tc>
        <w:tc>
          <w:tcPr>
            <w:tcW w:w="800" w:type="dxa"/>
            <w:vAlign w:val="bottom"/>
            <w:gridSpan w:val="3"/>
          </w:tcPr>
          <w:p>
            <w:pPr>
              <w:jc w:val="right"/>
              <w:ind w:right="24"/>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2.88</w:t>
            </w:r>
          </w:p>
        </w:tc>
        <w:tc>
          <w:tcPr>
            <w:tcW w:w="460" w:type="dxa"/>
            <w:vAlign w:val="bottom"/>
            <w:gridSpan w:val="4"/>
          </w:tcPr>
          <w:p>
            <w:pPr>
              <w:jc w:val="right"/>
              <w:ind w:right="70"/>
              <w:spacing w:after="0"/>
              <w:rPr>
                <w:sz w:val="20"/>
                <w:szCs w:val="20"/>
                <w:color w:val="auto"/>
              </w:rPr>
            </w:pPr>
            <w:r>
              <w:rPr>
                <w:rFonts w:ascii="Arial" w:cs="Arial" w:eastAsia="Arial" w:hAnsi="Arial"/>
                <w:sz w:val="16"/>
                <w:szCs w:val="16"/>
                <w:color w:val="auto"/>
              </w:rPr>
              <w:t>$</w:t>
            </w:r>
          </w:p>
        </w:tc>
        <w:tc>
          <w:tcPr>
            <w:tcW w:w="1080" w:type="dxa"/>
            <w:vAlign w:val="bottom"/>
            <w:gridSpan w:val="3"/>
          </w:tcPr>
          <w:p>
            <w:pPr>
              <w:jc w:val="right"/>
              <w:ind w:right="200"/>
              <w:spacing w:after="0"/>
              <w:rPr>
                <w:sz w:val="20"/>
                <w:szCs w:val="20"/>
                <w:color w:val="auto"/>
              </w:rPr>
            </w:pPr>
            <w:r>
              <w:rPr>
                <w:rFonts w:ascii="Arial" w:cs="Arial" w:eastAsia="Arial" w:hAnsi="Arial"/>
                <w:sz w:val="16"/>
                <w:szCs w:val="16"/>
                <w:color w:val="auto"/>
              </w:rPr>
              <w:t>(1.20)</w:t>
            </w:r>
          </w:p>
        </w:tc>
        <w:tc>
          <w:tcPr>
            <w:tcW w:w="200" w:type="dxa"/>
            <w:vAlign w:val="bottom"/>
            <w:gridSpan w:val="3"/>
          </w:tcPr>
          <w:p>
            <w:pPr>
              <w:jc w:val="right"/>
              <w:ind w:right="24"/>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0.05</w:t>
            </w:r>
          </w:p>
        </w:tc>
        <w:tc>
          <w:tcPr>
            <w:tcW w:w="80" w:type="dxa"/>
            <w:vAlign w:val="bottom"/>
          </w:tcPr>
          <w:p>
            <w:pPr>
              <w:spacing w:after="0"/>
              <w:rPr>
                <w:sz w:val="17"/>
                <w:szCs w:val="17"/>
                <w:color w:val="auto"/>
              </w:rPr>
            </w:pPr>
          </w:p>
        </w:tc>
        <w:tc>
          <w:tcPr>
            <w:tcW w:w="380" w:type="dxa"/>
            <w:vAlign w:val="bottom"/>
            <w:gridSpan w:val="4"/>
          </w:tcPr>
          <w:p>
            <w:pPr>
              <w:jc w:val="right"/>
              <w:ind w:right="5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0.05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5"/>
        </w:trPr>
        <w:tc>
          <w:tcPr>
            <w:tcW w:w="4480" w:type="dxa"/>
            <w:vAlign w:val="bottom"/>
            <w:shd w:val="clear" w:color="auto" w:fill="CFF0FC"/>
          </w:tcPr>
          <w:p>
            <w:pPr>
              <w:ind w:left="220"/>
              <w:spacing w:after="0"/>
              <w:rPr>
                <w:sz w:val="20"/>
                <w:szCs w:val="20"/>
                <w:color w:val="auto"/>
              </w:rPr>
            </w:pPr>
            <w:r>
              <w:rPr>
                <w:rFonts w:ascii="Arial" w:cs="Arial" w:eastAsia="Arial" w:hAnsi="Arial"/>
                <w:sz w:val="16"/>
                <w:szCs w:val="16"/>
                <w:color w:val="auto"/>
              </w:rPr>
              <w:t>Discontinued operations</w:t>
            </w:r>
          </w:p>
        </w:tc>
        <w:tc>
          <w:tcPr>
            <w:tcW w:w="6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0.02</w:t>
            </w:r>
          </w:p>
        </w:tc>
        <w:tc>
          <w:tcPr>
            <w:tcW w:w="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80" w:type="dxa"/>
            <w:vAlign w:val="bottom"/>
            <w:gridSpan w:val="3"/>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(0.07)</w:t>
            </w:r>
          </w:p>
        </w:tc>
        <w:tc>
          <w:tcPr>
            <w:tcW w:w="1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20" w:type="dxa"/>
            <w:vAlign w:val="bottom"/>
            <w:gridSpan w:val="3"/>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r>
      <w:tr>
        <w:trPr>
          <w:trHeight w:val="198"/>
        </w:trPr>
        <w:tc>
          <w:tcPr>
            <w:tcW w:w="4480" w:type="dxa"/>
            <w:vAlign w:val="bottom"/>
          </w:tcPr>
          <w:p>
            <w:pPr>
              <w:ind w:left="440"/>
              <w:spacing w:after="0"/>
              <w:rPr>
                <w:sz w:val="20"/>
                <w:szCs w:val="20"/>
                <w:color w:val="auto"/>
              </w:rPr>
            </w:pPr>
            <w:r>
              <w:rPr>
                <w:rFonts w:ascii="Arial" w:cs="Arial" w:eastAsia="Arial" w:hAnsi="Arial"/>
                <w:sz w:val="16"/>
                <w:szCs w:val="16"/>
                <w:color w:val="auto"/>
              </w:rPr>
              <w:t>Total</w:t>
            </w:r>
          </w:p>
        </w:tc>
        <w:tc>
          <w:tcPr>
            <w:tcW w:w="620" w:type="dxa"/>
            <w:vAlign w:val="bottom"/>
          </w:tcPr>
          <w:p>
            <w:pPr>
              <w:spacing w:after="0"/>
              <w:rPr>
                <w:sz w:val="17"/>
                <w:szCs w:val="17"/>
                <w:color w:val="auto"/>
              </w:rPr>
            </w:pPr>
          </w:p>
        </w:tc>
        <w:tc>
          <w:tcPr>
            <w:tcW w:w="180" w:type="dxa"/>
            <w:vAlign w:val="bottom"/>
            <w:tcBorders>
              <w:top w:val="single" w:sz="8" w:color="auto"/>
              <w:bottom w:val="single" w:sz="8" w:color="auto"/>
            </w:tcBorders>
            <w:gridSpan w:val="2"/>
          </w:tcPr>
          <w:p>
            <w:pPr>
              <w:jc w:val="right"/>
              <w:ind w:right="24"/>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2.90</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Borders>
              <w:top w:val="single" w:sz="8" w:color="auto"/>
              <w:bottom w:val="single" w:sz="8" w:color="auto"/>
            </w:tcBorders>
            <w:gridSpan w:val="2"/>
          </w:tcPr>
          <w:p>
            <w:pPr>
              <w:jc w:val="right"/>
              <w:ind w:right="70"/>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(1.20)</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top w:val="single" w:sz="8" w:color="auto"/>
              <w:bottom w:val="single" w:sz="8" w:color="auto"/>
            </w:tcBorders>
            <w:gridSpan w:val="2"/>
          </w:tcPr>
          <w:p>
            <w:pPr>
              <w:jc w:val="right"/>
              <w:ind w:right="24"/>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(0.02)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0.05</w:t>
            </w:r>
          </w:p>
        </w:tc>
        <w:tc>
          <w:tcPr>
            <w:tcW w:w="20" w:type="dxa"/>
            <w:vAlign w:val="bottom"/>
            <w:tcBorders>
              <w:top w:val="single" w:sz="8" w:color="auto"/>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
        </w:trPr>
        <w:tc>
          <w:tcPr>
            <w:tcW w:w="4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399"/>
        </w:trPr>
        <w:tc>
          <w:tcPr>
            <w:tcW w:w="4480" w:type="dxa"/>
            <w:vAlign w:val="bottom"/>
          </w:tcPr>
          <w:p>
            <w:pPr>
              <w:spacing w:after="0"/>
              <w:rPr>
                <w:sz w:val="20"/>
                <w:szCs w:val="20"/>
                <w:color w:val="auto"/>
              </w:rPr>
            </w:pPr>
            <w:r>
              <w:rPr>
                <w:rFonts w:ascii="Arial" w:cs="Arial" w:eastAsia="Arial" w:hAnsi="Arial"/>
                <w:sz w:val="13"/>
                <w:szCs w:val="13"/>
                <w:color w:val="auto"/>
              </w:rPr>
              <w:t>(in millions, except per share data)</w:t>
            </w: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right"/>
              <w:ind w:right="221"/>
              <w:spacing w:after="0"/>
              <w:rPr>
                <w:sz w:val="20"/>
                <w:szCs w:val="20"/>
                <w:color w:val="auto"/>
              </w:rPr>
            </w:pPr>
            <w:r>
              <w:rPr>
                <w:rFonts w:ascii="Arial" w:cs="Arial" w:eastAsia="Arial" w:hAnsi="Arial"/>
                <w:sz w:val="13"/>
                <w:szCs w:val="13"/>
                <w:b w:val="1"/>
                <w:bCs w:val="1"/>
                <w:color w:val="auto"/>
              </w:rPr>
              <w:t>4th Qtr.</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3"/>
          </w:tcPr>
          <w:p>
            <w:pPr>
              <w:jc w:val="right"/>
              <w:ind w:right="540"/>
              <w:spacing w:after="0"/>
              <w:rPr>
                <w:sz w:val="20"/>
                <w:szCs w:val="20"/>
                <w:color w:val="auto"/>
              </w:rPr>
            </w:pPr>
            <w:r>
              <w:rPr>
                <w:rFonts w:ascii="Arial" w:cs="Arial" w:eastAsia="Arial" w:hAnsi="Arial"/>
                <w:sz w:val="13"/>
                <w:szCs w:val="13"/>
                <w:b w:val="1"/>
                <w:bCs w:val="1"/>
                <w:color w:val="auto"/>
              </w:rPr>
              <w:t>3rd Qtr.</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2nd Qtr.</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gridSpan w:val="4"/>
          </w:tcPr>
          <w:p>
            <w:pPr>
              <w:jc w:val="right"/>
              <w:ind w:right="532"/>
              <w:spacing w:after="0"/>
              <w:rPr>
                <w:sz w:val="20"/>
                <w:szCs w:val="20"/>
                <w:color w:val="auto"/>
              </w:rPr>
            </w:pPr>
            <w:r>
              <w:rPr>
                <w:rFonts w:ascii="Arial" w:cs="Arial" w:eastAsia="Arial" w:hAnsi="Arial"/>
                <w:sz w:val="13"/>
                <w:szCs w:val="13"/>
                <w:b w:val="1"/>
                <w:bCs w:val="1"/>
                <w:color w:val="auto"/>
              </w:rPr>
              <w:t>1st Qtr.</w:t>
            </w:r>
          </w:p>
        </w:tc>
      </w:tr>
      <w:tr>
        <w:trPr>
          <w:trHeight w:val="198"/>
        </w:trPr>
        <w:tc>
          <w:tcPr>
            <w:tcW w:w="4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2016</w:t>
            </w:r>
          </w:p>
        </w:tc>
        <w:tc>
          <w:tcPr>
            <w:tcW w:w="62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2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2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80" w:type="dxa"/>
            <w:vAlign w:val="bottom"/>
          </w:tcPr>
          <w:p>
            <w:pPr>
              <w:spacing w:after="0"/>
              <w:rPr>
                <w:sz w:val="17"/>
                <w:szCs w:val="17"/>
                <w:color w:val="auto"/>
              </w:rPr>
            </w:pPr>
          </w:p>
        </w:tc>
      </w:tr>
      <w:tr>
        <w:trPr>
          <w:trHeight w:val="205"/>
        </w:trPr>
        <w:tc>
          <w:tcPr>
            <w:tcW w:w="4480" w:type="dxa"/>
            <w:vAlign w:val="bottom"/>
          </w:tcPr>
          <w:p>
            <w:pPr>
              <w:spacing w:after="0"/>
              <w:rPr>
                <w:sz w:val="20"/>
                <w:szCs w:val="20"/>
                <w:color w:val="auto"/>
              </w:rPr>
            </w:pPr>
            <w:r>
              <w:rPr>
                <w:rFonts w:ascii="Arial" w:cs="Arial" w:eastAsia="Arial" w:hAnsi="Arial"/>
                <w:sz w:val="16"/>
                <w:szCs w:val="16"/>
                <w:color w:val="auto"/>
              </w:rPr>
              <w:t>Net revenues from continuing operations</w:t>
            </w:r>
          </w:p>
        </w:tc>
        <w:tc>
          <w:tcPr>
            <w:tcW w:w="800" w:type="dxa"/>
            <w:vAlign w:val="bottom"/>
            <w:gridSpan w:val="3"/>
          </w:tcPr>
          <w:p>
            <w:pPr>
              <w:jc w:val="right"/>
              <w:ind w:right="4"/>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432</w:t>
            </w:r>
          </w:p>
        </w:tc>
        <w:tc>
          <w:tcPr>
            <w:tcW w:w="460" w:type="dxa"/>
            <w:vAlign w:val="bottom"/>
            <w:gridSpan w:val="4"/>
          </w:tcPr>
          <w:p>
            <w:pPr>
              <w:jc w:val="right"/>
              <w:ind w:right="5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411</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gridSpan w:val="3"/>
          </w:tcPr>
          <w:p>
            <w:pPr>
              <w:jc w:val="right"/>
              <w:ind w:right="4"/>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423</w:t>
            </w:r>
          </w:p>
        </w:tc>
        <w:tc>
          <w:tcPr>
            <w:tcW w:w="80" w:type="dxa"/>
            <w:vAlign w:val="bottom"/>
          </w:tcPr>
          <w:p>
            <w:pPr>
              <w:spacing w:after="0"/>
              <w:rPr>
                <w:sz w:val="17"/>
                <w:szCs w:val="17"/>
                <w:color w:val="auto"/>
              </w:rPr>
            </w:pPr>
          </w:p>
        </w:tc>
        <w:tc>
          <w:tcPr>
            <w:tcW w:w="380" w:type="dxa"/>
            <w:vAlign w:val="bottom"/>
            <w:gridSpan w:val="4"/>
          </w:tcPr>
          <w:p>
            <w:pPr>
              <w:jc w:val="right"/>
              <w:ind w:right="7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377</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5"/>
        </w:trPr>
        <w:tc>
          <w:tcPr>
            <w:tcW w:w="4480" w:type="dxa"/>
            <w:vAlign w:val="bottom"/>
            <w:shd w:val="clear" w:color="auto" w:fill="CFF0FC"/>
          </w:tcPr>
          <w:p>
            <w:pPr>
              <w:spacing w:after="0"/>
              <w:rPr>
                <w:sz w:val="20"/>
                <w:szCs w:val="20"/>
                <w:color w:val="auto"/>
              </w:rPr>
            </w:pPr>
            <w:r>
              <w:rPr>
                <w:rFonts w:ascii="Arial" w:cs="Arial" w:eastAsia="Arial" w:hAnsi="Arial"/>
                <w:sz w:val="16"/>
                <w:szCs w:val="16"/>
                <w:color w:val="auto"/>
              </w:rPr>
              <w:t>Gross profit from continuing operations</w:t>
            </w:r>
          </w:p>
        </w:tc>
        <w:tc>
          <w:tcPr>
            <w:tcW w:w="6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115</w:t>
            </w:r>
          </w:p>
        </w:tc>
        <w:tc>
          <w:tcPr>
            <w:tcW w:w="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93</w:t>
            </w:r>
          </w:p>
        </w:tc>
        <w:tc>
          <w:tcPr>
            <w:tcW w:w="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107</w:t>
            </w: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88</w:t>
            </w: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tcPr>
          <w:p>
            <w:pPr>
              <w:spacing w:after="0"/>
              <w:rPr>
                <w:sz w:val="17"/>
                <w:szCs w:val="17"/>
                <w:color w:val="auto"/>
              </w:rPr>
            </w:pPr>
          </w:p>
        </w:tc>
      </w:tr>
      <w:tr>
        <w:trPr>
          <w:trHeight w:val="205"/>
        </w:trPr>
        <w:tc>
          <w:tcPr>
            <w:tcW w:w="4480" w:type="dxa"/>
            <w:vAlign w:val="bottom"/>
          </w:tcPr>
          <w:p>
            <w:pPr>
              <w:spacing w:after="0"/>
              <w:rPr>
                <w:sz w:val="20"/>
                <w:szCs w:val="20"/>
                <w:color w:val="auto"/>
              </w:rPr>
            </w:pPr>
            <w:r>
              <w:rPr>
                <w:rFonts w:ascii="Arial" w:cs="Arial" w:eastAsia="Arial" w:hAnsi="Arial"/>
                <w:sz w:val="16"/>
                <w:szCs w:val="16"/>
                <w:color w:val="auto"/>
              </w:rPr>
              <w:t>Earnings (loss) from continuing operations</w:t>
            </w: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w:t>
            </w:r>
          </w:p>
        </w:tc>
        <w:tc>
          <w:tcPr>
            <w:tcW w:w="280" w:type="dxa"/>
            <w:vAlign w:val="bottom"/>
            <w:gridSpan w:val="2"/>
          </w:tcPr>
          <w:p>
            <w:pPr>
              <w:jc w:val="right"/>
              <w:ind w:right="20"/>
              <w:spacing w:after="0"/>
              <w:rPr>
                <w:sz w:val="20"/>
                <w:szCs w:val="20"/>
                <w:color w:val="auto"/>
              </w:rPr>
            </w:pPr>
            <w:r>
              <w:rPr>
                <w:rFonts w:ascii="Arial" w:cs="Arial" w:eastAsia="Arial" w:hAnsi="Arial"/>
                <w:sz w:val="14"/>
                <w:szCs w:val="14"/>
                <w:color w:val="auto"/>
              </w:rPr>
              <w:t>(2)</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3"/>
          </w:tcPr>
          <w:p>
            <w:pPr>
              <w:jc w:val="right"/>
              <w:ind w:right="60"/>
              <w:spacing w:after="0"/>
              <w:rPr>
                <w:sz w:val="20"/>
                <w:szCs w:val="20"/>
                <w:color w:val="auto"/>
              </w:rPr>
            </w:pPr>
            <w:r>
              <w:rPr>
                <w:rFonts w:ascii="Arial" w:cs="Arial" w:eastAsia="Arial" w:hAnsi="Arial"/>
                <w:sz w:val="16"/>
                <w:szCs w:val="16"/>
                <w:color w:val="auto"/>
              </w:rPr>
              <w:t>(14)</w:t>
            </w:r>
          </w:p>
        </w:tc>
        <w:tc>
          <w:tcPr>
            <w:tcW w:w="180" w:type="dxa"/>
            <w:vAlign w:val="bottom"/>
          </w:tcPr>
          <w:p>
            <w:pPr>
              <w:jc w:val="right"/>
              <w:spacing w:after="0"/>
              <w:rPr>
                <w:sz w:val="20"/>
                <w:szCs w:val="20"/>
                <w:color w:val="auto"/>
              </w:rPr>
            </w:pPr>
            <w:r>
              <w:rPr>
                <w:rFonts w:ascii="Arial" w:cs="Arial" w:eastAsia="Arial" w:hAnsi="Arial"/>
                <w:sz w:val="14"/>
                <w:szCs w:val="14"/>
                <w:color w:val="auto"/>
                <w:w w:val="81"/>
              </w:rPr>
              <w:t>(1)</w:t>
            </w:r>
          </w:p>
        </w:tc>
      </w:tr>
      <w:tr>
        <w:trPr>
          <w:trHeight w:val="205"/>
        </w:trPr>
        <w:tc>
          <w:tcPr>
            <w:tcW w:w="4480" w:type="dxa"/>
            <w:vAlign w:val="bottom"/>
            <w:shd w:val="clear" w:color="auto" w:fill="CFF0FC"/>
          </w:tcPr>
          <w:p>
            <w:pPr>
              <w:spacing w:after="0"/>
              <w:rPr>
                <w:sz w:val="20"/>
                <w:szCs w:val="20"/>
                <w:color w:val="auto"/>
              </w:rPr>
            </w:pPr>
            <w:r>
              <w:rPr>
                <w:rFonts w:ascii="Arial" w:cs="Arial" w:eastAsia="Arial" w:hAnsi="Arial"/>
                <w:sz w:val="16"/>
                <w:szCs w:val="16"/>
                <w:color w:val="auto"/>
              </w:rPr>
              <w:t xml:space="preserve">Loss from discontinued operations </w:t>
            </w:r>
            <w:r>
              <w:rPr>
                <w:rFonts w:ascii="Arial" w:cs="Arial" w:eastAsia="Arial" w:hAnsi="Arial"/>
                <w:sz w:val="13"/>
                <w:szCs w:val="13"/>
                <w:color w:val="auto"/>
              </w:rPr>
              <w:t>(7)</w:t>
            </w:r>
          </w:p>
        </w:tc>
        <w:tc>
          <w:tcPr>
            <w:tcW w:w="6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80" w:type="dxa"/>
            <w:vAlign w:val="bottom"/>
            <w:gridSpan w:val="3"/>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w:t>
            </w:r>
          </w:p>
        </w:tc>
        <w:tc>
          <w:tcPr>
            <w:tcW w:w="1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20" w:type="dxa"/>
            <w:vAlign w:val="bottom"/>
            <w:gridSpan w:val="3"/>
            <w:shd w:val="clear" w:color="auto" w:fill="CFF0FC"/>
          </w:tcPr>
          <w:p>
            <w:pPr>
              <w:jc w:val="right"/>
              <w:ind w:right="60"/>
              <w:spacing w:after="0"/>
              <w:rPr>
                <w:sz w:val="20"/>
                <w:szCs w:val="20"/>
                <w:color w:val="auto"/>
              </w:rPr>
            </w:pPr>
            <w:r>
              <w:rPr>
                <w:rFonts w:ascii="Arial" w:cs="Arial" w:eastAsia="Arial" w:hAnsi="Arial"/>
                <w:sz w:val="16"/>
                <w:szCs w:val="16"/>
                <w:color w:val="auto"/>
              </w:rPr>
              <w:t>(1)</w:t>
            </w:r>
          </w:p>
        </w:tc>
        <w:tc>
          <w:tcPr>
            <w:tcW w:w="180" w:type="dxa"/>
            <w:vAlign w:val="bottom"/>
          </w:tcPr>
          <w:p>
            <w:pPr>
              <w:spacing w:after="0"/>
              <w:rPr>
                <w:sz w:val="17"/>
                <w:szCs w:val="17"/>
                <w:color w:val="auto"/>
              </w:rPr>
            </w:pPr>
          </w:p>
        </w:tc>
      </w:tr>
      <w:tr>
        <w:trPr>
          <w:trHeight w:val="205"/>
        </w:trPr>
        <w:tc>
          <w:tcPr>
            <w:tcW w:w="4480" w:type="dxa"/>
            <w:vAlign w:val="bottom"/>
          </w:tcPr>
          <w:p>
            <w:pPr>
              <w:spacing w:after="0"/>
              <w:rPr>
                <w:sz w:val="20"/>
                <w:szCs w:val="20"/>
                <w:color w:val="auto"/>
              </w:rPr>
            </w:pPr>
            <w:r>
              <w:rPr>
                <w:rFonts w:ascii="Arial" w:cs="Arial" w:eastAsia="Arial" w:hAnsi="Arial"/>
                <w:sz w:val="16"/>
                <w:szCs w:val="16"/>
                <w:color w:val="auto"/>
              </w:rPr>
              <w:t>Net earnings (loss) attributable to Eastman Kodak Company</w:t>
            </w: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16</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3"/>
          </w:tcPr>
          <w:p>
            <w:pPr>
              <w:jc w:val="right"/>
              <w:ind w:right="60"/>
              <w:spacing w:after="0"/>
              <w:rPr>
                <w:sz w:val="20"/>
                <w:szCs w:val="20"/>
                <w:color w:val="auto"/>
              </w:rPr>
            </w:pPr>
            <w:r>
              <w:rPr>
                <w:rFonts w:ascii="Arial" w:cs="Arial" w:eastAsia="Arial" w:hAnsi="Arial"/>
                <w:sz w:val="16"/>
                <w:szCs w:val="16"/>
                <w:color w:val="auto"/>
              </w:rPr>
              <w:t>(18)</w:t>
            </w:r>
          </w:p>
        </w:tc>
        <w:tc>
          <w:tcPr>
            <w:tcW w:w="180" w:type="dxa"/>
            <w:vAlign w:val="bottom"/>
          </w:tcPr>
          <w:p>
            <w:pPr>
              <w:spacing w:after="0"/>
              <w:rPr>
                <w:sz w:val="17"/>
                <w:szCs w:val="17"/>
                <w:color w:val="auto"/>
              </w:rPr>
            </w:pPr>
          </w:p>
        </w:tc>
      </w:tr>
      <w:tr>
        <w:trPr>
          <w:trHeight w:val="192"/>
        </w:trPr>
        <w:tc>
          <w:tcPr>
            <w:tcW w:w="4480" w:type="dxa"/>
            <w:vAlign w:val="bottom"/>
            <w:shd w:val="clear" w:color="auto" w:fill="CFF0FC"/>
          </w:tcPr>
          <w:p>
            <w:pPr>
              <w:spacing w:after="0"/>
              <w:rPr>
                <w:sz w:val="20"/>
                <w:szCs w:val="20"/>
                <w:color w:val="auto"/>
              </w:rPr>
            </w:pPr>
            <w:r>
              <w:rPr>
                <w:rFonts w:ascii="Arial" w:cs="Arial" w:eastAsia="Arial" w:hAnsi="Arial"/>
                <w:sz w:val="16"/>
                <w:szCs w:val="16"/>
                <w:color w:val="auto"/>
              </w:rPr>
              <w:t>Basic net earnings (loss) per share attributable to</w:t>
            </w:r>
          </w:p>
        </w:tc>
        <w:tc>
          <w:tcPr>
            <w:tcW w:w="6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80" w:type="dxa"/>
            <w:vAlign w:val="bottom"/>
          </w:tcPr>
          <w:p>
            <w:pPr>
              <w:spacing w:after="0"/>
              <w:rPr>
                <w:sz w:val="16"/>
                <w:szCs w:val="16"/>
                <w:color w:val="auto"/>
              </w:rPr>
            </w:pPr>
          </w:p>
        </w:tc>
      </w:tr>
      <w:tr>
        <w:trPr>
          <w:trHeight w:val="207"/>
        </w:trPr>
        <w:tc>
          <w:tcPr>
            <w:tcW w:w="44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 xml:space="preserve">Eastman Kodak Company </w:t>
            </w:r>
            <w:r>
              <w:rPr>
                <w:rFonts w:ascii="Arial" w:cs="Arial" w:eastAsia="Arial" w:hAnsi="Arial"/>
                <w:sz w:val="13"/>
                <w:szCs w:val="13"/>
                <w:color w:val="auto"/>
              </w:rPr>
              <w:t>(8)</w:t>
            </w:r>
          </w:p>
        </w:tc>
        <w:tc>
          <w:tcPr>
            <w:tcW w:w="6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tcPr>
          <w:p>
            <w:pPr>
              <w:spacing w:after="0"/>
              <w:rPr>
                <w:sz w:val="17"/>
                <w:szCs w:val="17"/>
                <w:color w:val="auto"/>
              </w:rPr>
            </w:pPr>
          </w:p>
        </w:tc>
      </w:tr>
      <w:tr>
        <w:trPr>
          <w:trHeight w:val="205"/>
        </w:trPr>
        <w:tc>
          <w:tcPr>
            <w:tcW w:w="4480" w:type="dxa"/>
            <w:vAlign w:val="bottom"/>
          </w:tcPr>
          <w:p>
            <w:pPr>
              <w:ind w:left="220"/>
              <w:spacing w:after="0"/>
              <w:rPr>
                <w:sz w:val="20"/>
                <w:szCs w:val="20"/>
                <w:color w:val="auto"/>
              </w:rPr>
            </w:pPr>
            <w:r>
              <w:rPr>
                <w:rFonts w:ascii="Arial" w:cs="Arial" w:eastAsia="Arial" w:hAnsi="Arial"/>
                <w:sz w:val="16"/>
                <w:szCs w:val="16"/>
                <w:color w:val="auto"/>
              </w:rPr>
              <w:t>Continuing operations</w:t>
            </w:r>
          </w:p>
        </w:tc>
        <w:tc>
          <w:tcPr>
            <w:tcW w:w="800" w:type="dxa"/>
            <w:vAlign w:val="bottom"/>
            <w:gridSpan w:val="3"/>
          </w:tcPr>
          <w:p>
            <w:pPr>
              <w:jc w:val="right"/>
              <w:ind w:right="4"/>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0.17</w:t>
            </w:r>
          </w:p>
        </w:tc>
        <w:tc>
          <w:tcPr>
            <w:tcW w:w="460" w:type="dxa"/>
            <w:vAlign w:val="bottom"/>
            <w:gridSpan w:val="4"/>
          </w:tcPr>
          <w:p>
            <w:pPr>
              <w:jc w:val="right"/>
              <w:ind w:right="5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0.38</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gridSpan w:val="3"/>
          </w:tcPr>
          <w:p>
            <w:pPr>
              <w:jc w:val="right"/>
              <w:ind w:right="4"/>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0.19</w:t>
            </w:r>
          </w:p>
        </w:tc>
        <w:tc>
          <w:tcPr>
            <w:tcW w:w="80" w:type="dxa"/>
            <w:vAlign w:val="bottom"/>
          </w:tcPr>
          <w:p>
            <w:pPr>
              <w:spacing w:after="0"/>
              <w:rPr>
                <w:sz w:val="17"/>
                <w:szCs w:val="17"/>
                <w:color w:val="auto"/>
              </w:rPr>
            </w:pPr>
          </w:p>
        </w:tc>
        <w:tc>
          <w:tcPr>
            <w:tcW w:w="380" w:type="dxa"/>
            <w:vAlign w:val="bottom"/>
            <w:gridSpan w:val="4"/>
          </w:tcPr>
          <w:p>
            <w:pPr>
              <w:jc w:val="right"/>
              <w:ind w:right="70"/>
              <w:spacing w:after="0"/>
              <w:rPr>
                <w:sz w:val="20"/>
                <w:szCs w:val="20"/>
                <w:color w:val="auto"/>
              </w:rPr>
            </w:pPr>
            <w:r>
              <w:rPr>
                <w:rFonts w:ascii="Arial" w:cs="Arial" w:eastAsia="Arial" w:hAnsi="Arial"/>
                <w:sz w:val="16"/>
                <w:szCs w:val="16"/>
                <w:color w:val="auto"/>
              </w:rPr>
              <w:t>$</w:t>
            </w:r>
          </w:p>
        </w:tc>
        <w:tc>
          <w:tcPr>
            <w:tcW w:w="920" w:type="dxa"/>
            <w:vAlign w:val="bottom"/>
            <w:gridSpan w:val="3"/>
          </w:tcPr>
          <w:p>
            <w:pPr>
              <w:jc w:val="right"/>
              <w:ind w:right="60"/>
              <w:spacing w:after="0"/>
              <w:rPr>
                <w:sz w:val="20"/>
                <w:szCs w:val="20"/>
                <w:color w:val="auto"/>
              </w:rPr>
            </w:pPr>
            <w:r>
              <w:rPr>
                <w:rFonts w:ascii="Arial" w:cs="Arial" w:eastAsia="Arial" w:hAnsi="Arial"/>
                <w:sz w:val="16"/>
                <w:szCs w:val="16"/>
                <w:color w:val="auto"/>
              </w:rPr>
              <w:t>(0.41)</w:t>
            </w:r>
          </w:p>
        </w:tc>
        <w:tc>
          <w:tcPr>
            <w:tcW w:w="180" w:type="dxa"/>
            <w:vAlign w:val="bottom"/>
          </w:tcPr>
          <w:p>
            <w:pPr>
              <w:spacing w:after="0"/>
              <w:rPr>
                <w:sz w:val="17"/>
                <w:szCs w:val="17"/>
                <w:color w:val="auto"/>
              </w:rPr>
            </w:pPr>
          </w:p>
        </w:tc>
      </w:tr>
      <w:tr>
        <w:trPr>
          <w:trHeight w:val="205"/>
        </w:trPr>
        <w:tc>
          <w:tcPr>
            <w:tcW w:w="4480" w:type="dxa"/>
            <w:vAlign w:val="bottom"/>
            <w:shd w:val="clear" w:color="auto" w:fill="CFF0FC"/>
          </w:tcPr>
          <w:p>
            <w:pPr>
              <w:ind w:left="220"/>
              <w:spacing w:after="0"/>
              <w:rPr>
                <w:sz w:val="20"/>
                <w:szCs w:val="20"/>
                <w:color w:val="auto"/>
              </w:rPr>
            </w:pPr>
            <w:r>
              <w:rPr>
                <w:rFonts w:ascii="Arial" w:cs="Arial" w:eastAsia="Arial" w:hAnsi="Arial"/>
                <w:sz w:val="16"/>
                <w:szCs w:val="16"/>
                <w:color w:val="auto"/>
              </w:rPr>
              <w:t>Discontinued operations</w:t>
            </w:r>
          </w:p>
        </w:tc>
        <w:tc>
          <w:tcPr>
            <w:tcW w:w="6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80" w:type="dxa"/>
            <w:vAlign w:val="bottom"/>
            <w:gridSpan w:val="3"/>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(0.02)</w:t>
            </w:r>
          </w:p>
        </w:tc>
        <w:tc>
          <w:tcPr>
            <w:tcW w:w="1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20" w:type="dxa"/>
            <w:vAlign w:val="bottom"/>
            <w:gridSpan w:val="3"/>
            <w:shd w:val="clear" w:color="auto" w:fill="CFF0FC"/>
          </w:tcPr>
          <w:p>
            <w:pPr>
              <w:jc w:val="right"/>
              <w:ind w:right="60"/>
              <w:spacing w:after="0"/>
              <w:rPr>
                <w:sz w:val="20"/>
                <w:szCs w:val="20"/>
                <w:color w:val="auto"/>
              </w:rPr>
            </w:pPr>
            <w:r>
              <w:rPr>
                <w:rFonts w:ascii="Arial" w:cs="Arial" w:eastAsia="Arial" w:hAnsi="Arial"/>
                <w:sz w:val="16"/>
                <w:szCs w:val="16"/>
                <w:color w:val="auto"/>
              </w:rPr>
              <w:t>(0.02)</w:t>
            </w:r>
          </w:p>
        </w:tc>
        <w:tc>
          <w:tcPr>
            <w:tcW w:w="180" w:type="dxa"/>
            <w:vAlign w:val="bottom"/>
          </w:tcPr>
          <w:p>
            <w:pPr>
              <w:spacing w:after="0"/>
              <w:rPr>
                <w:sz w:val="17"/>
                <w:szCs w:val="17"/>
                <w:color w:val="auto"/>
              </w:rPr>
            </w:pPr>
          </w:p>
        </w:tc>
      </w:tr>
      <w:tr>
        <w:trPr>
          <w:trHeight w:val="238"/>
        </w:trPr>
        <w:tc>
          <w:tcPr>
            <w:tcW w:w="4480" w:type="dxa"/>
            <w:vAlign w:val="bottom"/>
            <w:tcBorders>
              <w:bottom w:val="single" w:sz="8" w:color="CFF0FC"/>
            </w:tcBorders>
          </w:tcPr>
          <w:p>
            <w:pPr>
              <w:ind w:left="440"/>
              <w:spacing w:after="0"/>
              <w:rPr>
                <w:sz w:val="20"/>
                <w:szCs w:val="20"/>
                <w:color w:val="auto"/>
              </w:rPr>
            </w:pPr>
            <w:r>
              <w:rPr>
                <w:rFonts w:ascii="Arial" w:cs="Arial" w:eastAsia="Arial" w:hAnsi="Arial"/>
                <w:sz w:val="16"/>
                <w:szCs w:val="16"/>
                <w:color w:val="auto"/>
              </w:rPr>
              <w:t>Total</w:t>
            </w:r>
          </w:p>
        </w:tc>
        <w:tc>
          <w:tcPr>
            <w:tcW w:w="640" w:type="dxa"/>
            <w:vAlign w:val="bottom"/>
            <w:tcBorders>
              <w:bottom w:val="single" w:sz="8" w:color="CFF0FC"/>
            </w:tcBorders>
            <w:gridSpan w:val="2"/>
          </w:tcPr>
          <w:p>
            <w:pPr>
              <w:spacing w:after="0"/>
              <w:rPr>
                <w:sz w:val="20"/>
                <w:szCs w:val="20"/>
                <w:color w:val="auto"/>
              </w:rPr>
            </w:pPr>
          </w:p>
        </w:tc>
        <w:tc>
          <w:tcPr>
            <w:tcW w:w="1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0.17</w:t>
            </w:r>
          </w:p>
        </w:tc>
        <w:tc>
          <w:tcPr>
            <w:tcW w:w="20" w:type="dxa"/>
            <w:vAlign w:val="bottom"/>
            <w:tcBorders>
              <w:top w:val="single" w:sz="8" w:color="auto"/>
              <w:bottom w:val="single" w:sz="8" w:color="auto"/>
            </w:tcBorders>
          </w:tcPr>
          <w:p>
            <w:pPr>
              <w:spacing w:after="0"/>
              <w:rPr>
                <w:sz w:val="20"/>
                <w:szCs w:val="20"/>
                <w:color w:val="auto"/>
              </w:rPr>
            </w:pPr>
          </w:p>
        </w:tc>
        <w:tc>
          <w:tcPr>
            <w:tcW w:w="280" w:type="dxa"/>
            <w:vAlign w:val="bottom"/>
            <w:tcBorders>
              <w:bottom w:val="single" w:sz="8" w:color="CFF0FC"/>
            </w:tcBorders>
            <w:gridSpan w:val="2"/>
          </w:tcPr>
          <w:p>
            <w:pPr>
              <w:spacing w:after="0"/>
              <w:rPr>
                <w:sz w:val="20"/>
                <w:szCs w:val="20"/>
                <w:color w:val="auto"/>
              </w:rPr>
            </w:pPr>
          </w:p>
        </w:tc>
        <w:tc>
          <w:tcPr>
            <w:tcW w:w="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0.38</w:t>
            </w:r>
          </w:p>
        </w:tc>
        <w:tc>
          <w:tcPr>
            <w:tcW w:w="20" w:type="dxa"/>
            <w:vAlign w:val="bottom"/>
            <w:tcBorders>
              <w:top w:val="single" w:sz="8" w:color="auto"/>
              <w:bottom w:val="single" w:sz="8" w:color="auto"/>
            </w:tcBorders>
          </w:tcPr>
          <w:p>
            <w:pPr>
              <w:spacing w:after="0"/>
              <w:rPr>
                <w:sz w:val="20"/>
                <w:szCs w:val="20"/>
                <w:color w:val="auto"/>
              </w:rPr>
            </w:pPr>
          </w:p>
        </w:tc>
        <w:tc>
          <w:tcPr>
            <w:tcW w:w="240" w:type="dxa"/>
            <w:vAlign w:val="bottom"/>
            <w:tcBorders>
              <w:bottom w:val="single" w:sz="8" w:color="CFF0FC"/>
            </w:tcBorders>
          </w:tcPr>
          <w:p>
            <w:pPr>
              <w:spacing w:after="0"/>
              <w:rPr>
                <w:sz w:val="20"/>
                <w:szCs w:val="20"/>
                <w:color w:val="auto"/>
              </w:rPr>
            </w:pPr>
          </w:p>
        </w:tc>
        <w:tc>
          <w:tcPr>
            <w:tcW w:w="40" w:type="dxa"/>
            <w:vAlign w:val="bottom"/>
            <w:tcBorders>
              <w:bottom w:val="single" w:sz="8" w:color="CFF0FC"/>
            </w:tcBorders>
            <w:gridSpan w:val="2"/>
          </w:tcPr>
          <w:p>
            <w:pPr>
              <w:spacing w:after="0"/>
              <w:rPr>
                <w:sz w:val="20"/>
                <w:szCs w:val="20"/>
                <w:color w:val="auto"/>
              </w:rPr>
            </w:pPr>
          </w:p>
        </w:tc>
        <w:tc>
          <w:tcPr>
            <w:tcW w:w="1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0.17</w:t>
            </w:r>
          </w:p>
        </w:tc>
        <w:tc>
          <w:tcPr>
            <w:tcW w:w="80" w:type="dxa"/>
            <w:vAlign w:val="bottom"/>
            <w:tcBorders>
              <w:bottom w:val="single" w:sz="8" w:color="CFF0FC"/>
            </w:tcBorders>
          </w:tcPr>
          <w:p>
            <w:pPr>
              <w:spacing w:after="0"/>
              <w:rPr>
                <w:sz w:val="20"/>
                <w:szCs w:val="20"/>
                <w:color w:val="auto"/>
              </w:rPr>
            </w:pPr>
          </w:p>
        </w:tc>
        <w:tc>
          <w:tcPr>
            <w:tcW w:w="200" w:type="dxa"/>
            <w:vAlign w:val="bottom"/>
            <w:tcBorders>
              <w:bottom w:val="single" w:sz="8" w:color="CFF0FC"/>
            </w:tcBorders>
            <w:gridSpan w:val="2"/>
          </w:tcPr>
          <w:p>
            <w:pPr>
              <w:spacing w:after="0"/>
              <w:rPr>
                <w:sz w:val="20"/>
                <w:szCs w:val="20"/>
                <w:color w:val="auto"/>
              </w:rPr>
            </w:pPr>
          </w:p>
        </w:tc>
        <w:tc>
          <w:tcPr>
            <w:tcW w:w="180" w:type="dxa"/>
            <w:vAlign w:val="bottom"/>
            <w:tcBorders>
              <w:top w:val="single" w:sz="8" w:color="auto"/>
              <w:bottom w:val="single" w:sz="8" w:color="auto"/>
            </w:tcBorders>
            <w:gridSpan w:val="2"/>
          </w:tcPr>
          <w:p>
            <w:pPr>
              <w:jc w:val="right"/>
              <w:ind w:right="70"/>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(0.43)</w:t>
            </w:r>
          </w:p>
        </w:tc>
        <w:tc>
          <w:tcPr>
            <w:tcW w:w="100" w:type="dxa"/>
            <w:vAlign w:val="bottom"/>
            <w:tcBorders>
              <w:bottom w:val="single" w:sz="8" w:color="CFF0FC"/>
            </w:tcBorders>
            <w:gridSpan w:val="2"/>
          </w:tcPr>
          <w:p>
            <w:pPr>
              <w:spacing w:after="0"/>
              <w:rPr>
                <w:sz w:val="20"/>
                <w:szCs w:val="20"/>
                <w:color w:val="auto"/>
              </w:rPr>
            </w:pPr>
          </w:p>
        </w:tc>
        <w:tc>
          <w:tcPr>
            <w:tcW w:w="180" w:type="dxa"/>
            <w:vAlign w:val="bottom"/>
          </w:tcPr>
          <w:p>
            <w:pPr>
              <w:spacing w:after="0"/>
              <w:rPr>
                <w:sz w:val="20"/>
                <w:szCs w:val="20"/>
                <w:color w:val="auto"/>
              </w:rPr>
            </w:pPr>
          </w:p>
        </w:tc>
      </w:tr>
      <w:tr>
        <w:trPr>
          <w:trHeight w:val="169"/>
        </w:trPr>
        <w:tc>
          <w:tcPr>
            <w:tcW w:w="4480" w:type="dxa"/>
            <w:vAlign w:val="bottom"/>
            <w:shd w:val="clear" w:color="auto" w:fill="CFF0FC"/>
          </w:tcPr>
          <w:p>
            <w:pPr>
              <w:spacing w:after="0" w:line="168" w:lineRule="exact"/>
              <w:rPr>
                <w:sz w:val="20"/>
                <w:szCs w:val="20"/>
                <w:color w:val="auto"/>
              </w:rPr>
            </w:pPr>
            <w:r>
              <w:rPr>
                <w:rFonts w:ascii="Arial" w:cs="Arial" w:eastAsia="Arial" w:hAnsi="Arial"/>
                <w:sz w:val="16"/>
                <w:szCs w:val="16"/>
                <w:color w:val="auto"/>
              </w:rPr>
              <w:t>Diluted net earnings (loss) per share attributable to Eastman</w:t>
            </w:r>
          </w:p>
        </w:tc>
        <w:tc>
          <w:tcPr>
            <w:tcW w:w="6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tcPr>
          <w:p>
            <w:pPr>
              <w:spacing w:after="0"/>
              <w:rPr>
                <w:sz w:val="14"/>
                <w:szCs w:val="14"/>
                <w:color w:val="auto"/>
              </w:rPr>
            </w:pPr>
          </w:p>
        </w:tc>
      </w:tr>
      <w:tr>
        <w:trPr>
          <w:trHeight w:val="207"/>
        </w:trPr>
        <w:tc>
          <w:tcPr>
            <w:tcW w:w="44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 xml:space="preserve">Kodak Company </w:t>
            </w:r>
            <w:r>
              <w:rPr>
                <w:rFonts w:ascii="Arial" w:cs="Arial" w:eastAsia="Arial" w:hAnsi="Arial"/>
                <w:sz w:val="13"/>
                <w:szCs w:val="13"/>
                <w:color w:val="auto"/>
              </w:rPr>
              <w:t>(8)</w:t>
            </w:r>
          </w:p>
        </w:tc>
        <w:tc>
          <w:tcPr>
            <w:tcW w:w="6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tcPr>
          <w:p>
            <w:pPr>
              <w:spacing w:after="0"/>
              <w:rPr>
                <w:sz w:val="17"/>
                <w:szCs w:val="17"/>
                <w:color w:val="auto"/>
              </w:rPr>
            </w:pPr>
          </w:p>
        </w:tc>
      </w:tr>
      <w:tr>
        <w:trPr>
          <w:trHeight w:val="205"/>
        </w:trPr>
        <w:tc>
          <w:tcPr>
            <w:tcW w:w="4480" w:type="dxa"/>
            <w:vAlign w:val="bottom"/>
          </w:tcPr>
          <w:p>
            <w:pPr>
              <w:ind w:left="220"/>
              <w:spacing w:after="0"/>
              <w:rPr>
                <w:sz w:val="20"/>
                <w:szCs w:val="20"/>
                <w:color w:val="auto"/>
              </w:rPr>
            </w:pPr>
            <w:r>
              <w:rPr>
                <w:rFonts w:ascii="Arial" w:cs="Arial" w:eastAsia="Arial" w:hAnsi="Arial"/>
                <w:sz w:val="16"/>
                <w:szCs w:val="16"/>
                <w:color w:val="auto"/>
              </w:rPr>
              <w:t>Continuing operations</w:t>
            </w:r>
          </w:p>
        </w:tc>
        <w:tc>
          <w:tcPr>
            <w:tcW w:w="800" w:type="dxa"/>
            <w:vAlign w:val="bottom"/>
            <w:gridSpan w:val="3"/>
          </w:tcPr>
          <w:p>
            <w:pPr>
              <w:jc w:val="right"/>
              <w:ind w:right="4"/>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0.16</w:t>
            </w:r>
          </w:p>
        </w:tc>
        <w:tc>
          <w:tcPr>
            <w:tcW w:w="460" w:type="dxa"/>
            <w:vAlign w:val="bottom"/>
            <w:gridSpan w:val="4"/>
          </w:tcPr>
          <w:p>
            <w:pPr>
              <w:jc w:val="right"/>
              <w:ind w:right="5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0.37</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gridSpan w:val="3"/>
          </w:tcPr>
          <w:p>
            <w:pPr>
              <w:jc w:val="right"/>
              <w:ind w:right="4"/>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0.18</w:t>
            </w:r>
          </w:p>
        </w:tc>
        <w:tc>
          <w:tcPr>
            <w:tcW w:w="80" w:type="dxa"/>
            <w:vAlign w:val="bottom"/>
          </w:tcPr>
          <w:p>
            <w:pPr>
              <w:spacing w:after="0"/>
              <w:rPr>
                <w:sz w:val="17"/>
                <w:szCs w:val="17"/>
                <w:color w:val="auto"/>
              </w:rPr>
            </w:pPr>
          </w:p>
        </w:tc>
        <w:tc>
          <w:tcPr>
            <w:tcW w:w="380" w:type="dxa"/>
            <w:vAlign w:val="bottom"/>
            <w:gridSpan w:val="4"/>
          </w:tcPr>
          <w:p>
            <w:pPr>
              <w:jc w:val="right"/>
              <w:ind w:right="70"/>
              <w:spacing w:after="0"/>
              <w:rPr>
                <w:sz w:val="20"/>
                <w:szCs w:val="20"/>
                <w:color w:val="auto"/>
              </w:rPr>
            </w:pPr>
            <w:r>
              <w:rPr>
                <w:rFonts w:ascii="Arial" w:cs="Arial" w:eastAsia="Arial" w:hAnsi="Arial"/>
                <w:sz w:val="16"/>
                <w:szCs w:val="16"/>
                <w:color w:val="auto"/>
              </w:rPr>
              <w:t>$</w:t>
            </w:r>
          </w:p>
        </w:tc>
        <w:tc>
          <w:tcPr>
            <w:tcW w:w="920" w:type="dxa"/>
            <w:vAlign w:val="bottom"/>
            <w:gridSpan w:val="3"/>
          </w:tcPr>
          <w:p>
            <w:pPr>
              <w:jc w:val="right"/>
              <w:ind w:right="60"/>
              <w:spacing w:after="0"/>
              <w:rPr>
                <w:sz w:val="20"/>
                <w:szCs w:val="20"/>
                <w:color w:val="auto"/>
              </w:rPr>
            </w:pPr>
            <w:r>
              <w:rPr>
                <w:rFonts w:ascii="Arial" w:cs="Arial" w:eastAsia="Arial" w:hAnsi="Arial"/>
                <w:sz w:val="16"/>
                <w:szCs w:val="16"/>
                <w:color w:val="auto"/>
              </w:rPr>
              <w:t>(0.41)</w:t>
            </w:r>
          </w:p>
        </w:tc>
        <w:tc>
          <w:tcPr>
            <w:tcW w:w="180" w:type="dxa"/>
            <w:vAlign w:val="bottom"/>
          </w:tcPr>
          <w:p>
            <w:pPr>
              <w:spacing w:after="0"/>
              <w:rPr>
                <w:sz w:val="17"/>
                <w:szCs w:val="17"/>
                <w:color w:val="auto"/>
              </w:rPr>
            </w:pPr>
          </w:p>
        </w:tc>
      </w:tr>
      <w:tr>
        <w:trPr>
          <w:trHeight w:val="205"/>
        </w:trPr>
        <w:tc>
          <w:tcPr>
            <w:tcW w:w="4480" w:type="dxa"/>
            <w:vAlign w:val="bottom"/>
            <w:shd w:val="clear" w:color="auto" w:fill="CFF0FC"/>
          </w:tcPr>
          <w:p>
            <w:pPr>
              <w:ind w:left="220"/>
              <w:spacing w:after="0"/>
              <w:rPr>
                <w:sz w:val="20"/>
                <w:szCs w:val="20"/>
                <w:color w:val="auto"/>
              </w:rPr>
            </w:pPr>
            <w:r>
              <w:rPr>
                <w:rFonts w:ascii="Arial" w:cs="Arial" w:eastAsia="Arial" w:hAnsi="Arial"/>
                <w:sz w:val="16"/>
                <w:szCs w:val="16"/>
                <w:color w:val="auto"/>
              </w:rPr>
              <w:t>Discontinued operations</w:t>
            </w:r>
          </w:p>
        </w:tc>
        <w:tc>
          <w:tcPr>
            <w:tcW w:w="6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80" w:type="dxa"/>
            <w:vAlign w:val="bottom"/>
            <w:gridSpan w:val="3"/>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(0.02)</w:t>
            </w:r>
          </w:p>
        </w:tc>
        <w:tc>
          <w:tcPr>
            <w:tcW w:w="1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20" w:type="dxa"/>
            <w:vAlign w:val="bottom"/>
            <w:gridSpan w:val="3"/>
            <w:shd w:val="clear" w:color="auto" w:fill="CFF0FC"/>
          </w:tcPr>
          <w:p>
            <w:pPr>
              <w:jc w:val="right"/>
              <w:ind w:right="60"/>
              <w:spacing w:after="0"/>
              <w:rPr>
                <w:sz w:val="20"/>
                <w:szCs w:val="20"/>
                <w:color w:val="auto"/>
              </w:rPr>
            </w:pPr>
            <w:r>
              <w:rPr>
                <w:rFonts w:ascii="Arial" w:cs="Arial" w:eastAsia="Arial" w:hAnsi="Arial"/>
                <w:sz w:val="16"/>
                <w:szCs w:val="16"/>
                <w:color w:val="auto"/>
              </w:rPr>
              <w:t>(0.02)</w:t>
            </w:r>
          </w:p>
        </w:tc>
        <w:tc>
          <w:tcPr>
            <w:tcW w:w="180" w:type="dxa"/>
            <w:vAlign w:val="bottom"/>
          </w:tcPr>
          <w:p>
            <w:pPr>
              <w:spacing w:after="0"/>
              <w:rPr>
                <w:sz w:val="17"/>
                <w:szCs w:val="17"/>
                <w:color w:val="auto"/>
              </w:rPr>
            </w:pPr>
          </w:p>
        </w:tc>
      </w:tr>
      <w:tr>
        <w:trPr>
          <w:trHeight w:val="198"/>
        </w:trPr>
        <w:tc>
          <w:tcPr>
            <w:tcW w:w="4480" w:type="dxa"/>
            <w:vAlign w:val="bottom"/>
          </w:tcPr>
          <w:p>
            <w:pPr>
              <w:ind w:left="440"/>
              <w:spacing w:after="0"/>
              <w:rPr>
                <w:sz w:val="20"/>
                <w:szCs w:val="20"/>
                <w:color w:val="auto"/>
              </w:rPr>
            </w:pPr>
            <w:r>
              <w:rPr>
                <w:rFonts w:ascii="Arial" w:cs="Arial" w:eastAsia="Arial" w:hAnsi="Arial"/>
                <w:sz w:val="16"/>
                <w:szCs w:val="16"/>
                <w:color w:val="auto"/>
              </w:rPr>
              <w:t>Total</w:t>
            </w:r>
          </w:p>
        </w:tc>
        <w:tc>
          <w:tcPr>
            <w:tcW w:w="640" w:type="dxa"/>
            <w:vAlign w:val="bottom"/>
            <w:gridSpan w:val="2"/>
          </w:tcPr>
          <w:p>
            <w:pPr>
              <w:spacing w:after="0"/>
              <w:rPr>
                <w:sz w:val="17"/>
                <w:szCs w:val="17"/>
                <w:color w:val="auto"/>
              </w:rPr>
            </w:pPr>
          </w:p>
        </w:tc>
        <w:tc>
          <w:tcPr>
            <w:tcW w:w="160" w:type="dxa"/>
            <w:vAlign w:val="bottom"/>
            <w:tcBorders>
              <w:top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0.16</w:t>
            </w:r>
          </w:p>
        </w:tc>
        <w:tc>
          <w:tcPr>
            <w:tcW w:w="20" w:type="dxa"/>
            <w:vAlign w:val="bottom"/>
            <w:tcBorders>
              <w:top w:val="single" w:sz="8" w:color="auto"/>
            </w:tcBorders>
          </w:tcPr>
          <w:p>
            <w:pPr>
              <w:spacing w:after="0"/>
              <w:rPr>
                <w:sz w:val="17"/>
                <w:szCs w:val="17"/>
                <w:color w:val="auto"/>
              </w:rPr>
            </w:pPr>
          </w:p>
        </w:tc>
        <w:tc>
          <w:tcPr>
            <w:tcW w:w="280" w:type="dxa"/>
            <w:vAlign w:val="bottom"/>
            <w:gridSpan w:val="2"/>
          </w:tcPr>
          <w:p>
            <w:pPr>
              <w:spacing w:after="0"/>
              <w:rPr>
                <w:sz w:val="17"/>
                <w:szCs w:val="17"/>
                <w:color w:val="auto"/>
              </w:rPr>
            </w:pPr>
          </w:p>
        </w:tc>
        <w:tc>
          <w:tcPr>
            <w:tcW w:w="160" w:type="dxa"/>
            <w:vAlign w:val="bottom"/>
            <w:tcBorders>
              <w:top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0.37</w:t>
            </w:r>
          </w:p>
        </w:tc>
        <w:tc>
          <w:tcPr>
            <w:tcW w:w="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gridSpan w:val="2"/>
          </w:tcPr>
          <w:p>
            <w:pPr>
              <w:spacing w:after="0"/>
              <w:rPr>
                <w:sz w:val="17"/>
                <w:szCs w:val="17"/>
                <w:color w:val="auto"/>
              </w:rPr>
            </w:pPr>
          </w:p>
        </w:tc>
        <w:tc>
          <w:tcPr>
            <w:tcW w:w="160" w:type="dxa"/>
            <w:vAlign w:val="bottom"/>
            <w:tcBorders>
              <w:top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0.16</w:t>
            </w:r>
          </w:p>
        </w:tc>
        <w:tc>
          <w:tcPr>
            <w:tcW w:w="80" w:type="dxa"/>
            <w:vAlign w:val="bottom"/>
          </w:tcPr>
          <w:p>
            <w:pPr>
              <w:spacing w:after="0"/>
              <w:rPr>
                <w:sz w:val="17"/>
                <w:szCs w:val="17"/>
                <w:color w:val="auto"/>
              </w:rPr>
            </w:pPr>
          </w:p>
        </w:tc>
        <w:tc>
          <w:tcPr>
            <w:tcW w:w="200" w:type="dxa"/>
            <w:vAlign w:val="bottom"/>
            <w:gridSpan w:val="2"/>
          </w:tcPr>
          <w:p>
            <w:pPr>
              <w:spacing w:after="0"/>
              <w:rPr>
                <w:sz w:val="17"/>
                <w:szCs w:val="17"/>
                <w:color w:val="auto"/>
              </w:rPr>
            </w:pPr>
          </w:p>
        </w:tc>
        <w:tc>
          <w:tcPr>
            <w:tcW w:w="180" w:type="dxa"/>
            <w:vAlign w:val="bottom"/>
            <w:tcBorders>
              <w:top w:val="single" w:sz="8" w:color="auto"/>
            </w:tcBorders>
            <w:gridSpan w:val="2"/>
          </w:tcPr>
          <w:p>
            <w:pPr>
              <w:jc w:val="right"/>
              <w:ind w:right="70"/>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(0.43)</w:t>
            </w:r>
          </w:p>
        </w:tc>
        <w:tc>
          <w:tcPr>
            <w:tcW w:w="100" w:type="dxa"/>
            <w:vAlign w:val="bottom"/>
            <w:gridSpan w:val="2"/>
          </w:tcPr>
          <w:p>
            <w:pPr>
              <w:spacing w:after="0"/>
              <w:rPr>
                <w:sz w:val="17"/>
                <w:szCs w:val="17"/>
                <w:color w:val="auto"/>
              </w:rPr>
            </w:pPr>
          </w:p>
        </w:tc>
        <w:tc>
          <w:tcPr>
            <w:tcW w:w="180" w:type="dxa"/>
            <w:vAlign w:val="bottom"/>
          </w:tcPr>
          <w:p>
            <w:pPr>
              <w:spacing w:after="0"/>
              <w:rPr>
                <w:sz w:val="17"/>
                <w:szCs w:val="17"/>
                <w:color w:val="auto"/>
              </w:rPr>
            </w:pPr>
          </w:p>
        </w:tc>
      </w:tr>
      <w:tr>
        <w:trPr>
          <w:trHeight w:val="20"/>
        </w:trPr>
        <w:tc>
          <w:tcPr>
            <w:tcW w:w="4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5" w:lineRule="exact"/>
        <w:rPr>
          <w:sz w:val="20"/>
          <w:szCs w:val="20"/>
          <w:color w:val="auto"/>
        </w:rPr>
      </w:pPr>
    </w:p>
    <w:p>
      <w:pPr>
        <w:ind w:left="383" w:hanging="383"/>
        <w:spacing w:after="0" w:line="280" w:lineRule="auto"/>
        <w:tabs>
          <w:tab w:leader="none" w:pos="383" w:val="left"/>
        </w:tabs>
        <w:numPr>
          <w:ilvl w:val="0"/>
          <w:numId w:val="44"/>
        </w:numPr>
        <w:rPr>
          <w:rFonts w:ascii="Arial" w:cs="Arial" w:eastAsia="Arial" w:hAnsi="Arial"/>
          <w:sz w:val="14"/>
          <w:szCs w:val="14"/>
          <w:color w:val="auto"/>
        </w:rPr>
      </w:pPr>
      <w:r>
        <w:rPr>
          <w:rFonts w:ascii="Arial" w:cs="Arial" w:eastAsia="Arial" w:hAnsi="Arial"/>
          <w:sz w:val="16"/>
          <w:szCs w:val="16"/>
          <w:color w:val="auto"/>
        </w:rPr>
        <w:t>Includes an impairment charge of $20 million due to Kodak’s exit of its position in silver metal mesh touch screen development and $10 million in income representing net litigation proceeds. Refer to Note 13, “Other Operating Expense (Income), net in the Notes to Financial Statements.</w:t>
      </w:r>
    </w:p>
    <w:p>
      <w:pPr>
        <w:spacing w:after="0" w:line="54" w:lineRule="exact"/>
        <w:rPr>
          <w:rFonts w:ascii="Arial" w:cs="Arial" w:eastAsia="Arial" w:hAnsi="Arial"/>
          <w:sz w:val="14"/>
          <w:szCs w:val="14"/>
          <w:color w:val="auto"/>
        </w:rPr>
      </w:pPr>
    </w:p>
    <w:p>
      <w:pPr>
        <w:ind w:left="383" w:right="40" w:hanging="383"/>
        <w:spacing w:after="0" w:line="280" w:lineRule="auto"/>
        <w:tabs>
          <w:tab w:leader="none" w:pos="383" w:val="left"/>
        </w:tabs>
        <w:numPr>
          <w:ilvl w:val="0"/>
          <w:numId w:val="44"/>
        </w:numPr>
        <w:rPr>
          <w:rFonts w:ascii="Arial" w:cs="Arial" w:eastAsia="Arial" w:hAnsi="Arial"/>
          <w:sz w:val="14"/>
          <w:szCs w:val="14"/>
          <w:color w:val="auto"/>
        </w:rPr>
      </w:pPr>
      <w:r>
        <w:rPr>
          <w:rFonts w:ascii="Arial" w:cs="Arial" w:eastAsia="Arial" w:hAnsi="Arial"/>
          <w:sz w:val="16"/>
          <w:szCs w:val="16"/>
          <w:color w:val="auto"/>
        </w:rPr>
        <w:t>Includes $15 million from the deconsolidation of RED. Refer to Note 1, “Summary of Significant Accounting Policies – Basis of Consolidation” in the Notes to Financial Statements.</w:t>
      </w:r>
    </w:p>
    <w:p>
      <w:pPr>
        <w:spacing w:after="0" w:line="54" w:lineRule="exact"/>
        <w:rPr>
          <w:rFonts w:ascii="Arial" w:cs="Arial" w:eastAsia="Arial" w:hAnsi="Arial"/>
          <w:sz w:val="14"/>
          <w:szCs w:val="14"/>
          <w:color w:val="auto"/>
        </w:rPr>
      </w:pPr>
    </w:p>
    <w:p>
      <w:pPr>
        <w:ind w:left="383" w:hanging="383"/>
        <w:spacing w:after="0" w:line="280" w:lineRule="auto"/>
        <w:tabs>
          <w:tab w:leader="none" w:pos="383" w:val="left"/>
        </w:tabs>
        <w:numPr>
          <w:ilvl w:val="0"/>
          <w:numId w:val="44"/>
        </w:numPr>
        <w:rPr>
          <w:rFonts w:ascii="Arial" w:cs="Arial" w:eastAsia="Arial" w:hAnsi="Arial"/>
          <w:sz w:val="14"/>
          <w:szCs w:val="14"/>
          <w:color w:val="auto"/>
        </w:rPr>
      </w:pPr>
      <w:r>
        <w:rPr>
          <w:rFonts w:ascii="Arial" w:cs="Arial" w:eastAsia="Arial" w:hAnsi="Arial"/>
          <w:sz w:val="16"/>
          <w:szCs w:val="16"/>
          <w:color w:val="auto"/>
        </w:rPr>
        <w:t>Includes $22 million of income from the revaluation of the embedded conversion features derivative and $12 million of expense from the reduction in the carrying value of Prosper assets, Refer to Note 12, “Financial Instruments and Note 25, “Discontinued Operations”.</w:t>
      </w:r>
    </w:p>
    <w:p>
      <w:pPr>
        <w:spacing w:after="0" w:line="54" w:lineRule="exact"/>
        <w:rPr>
          <w:rFonts w:ascii="Arial" w:cs="Arial" w:eastAsia="Arial" w:hAnsi="Arial"/>
          <w:sz w:val="14"/>
          <w:szCs w:val="14"/>
          <w:color w:val="auto"/>
        </w:rPr>
      </w:pPr>
    </w:p>
    <w:p>
      <w:pPr>
        <w:ind w:left="383" w:hanging="383"/>
        <w:spacing w:after="0"/>
        <w:tabs>
          <w:tab w:leader="none" w:pos="383" w:val="left"/>
        </w:tabs>
        <w:numPr>
          <w:ilvl w:val="0"/>
          <w:numId w:val="44"/>
        </w:numPr>
        <w:rPr>
          <w:rFonts w:ascii="Arial" w:cs="Arial" w:eastAsia="Arial" w:hAnsi="Arial"/>
          <w:sz w:val="14"/>
          <w:szCs w:val="14"/>
          <w:color w:val="auto"/>
        </w:rPr>
      </w:pPr>
      <w:r>
        <w:rPr>
          <w:rFonts w:ascii="Arial" w:cs="Arial" w:eastAsia="Arial" w:hAnsi="Arial"/>
          <w:sz w:val="16"/>
          <w:szCs w:val="16"/>
          <w:color w:val="auto"/>
        </w:rPr>
        <w:t>Includes $14 million of income from the revaluation of the embedded conversion features derivative, Refer to Note 12, “Financial Instruments.</w:t>
      </w:r>
    </w:p>
    <w:p>
      <w:pPr>
        <w:spacing w:after="0" w:line="106" w:lineRule="exact"/>
        <w:rPr>
          <w:rFonts w:ascii="Arial" w:cs="Arial" w:eastAsia="Arial" w:hAnsi="Arial"/>
          <w:sz w:val="14"/>
          <w:szCs w:val="14"/>
          <w:color w:val="auto"/>
        </w:rPr>
      </w:pPr>
    </w:p>
    <w:p>
      <w:pPr>
        <w:ind w:left="383" w:right="80" w:hanging="383"/>
        <w:spacing w:after="0" w:line="266" w:lineRule="auto"/>
        <w:tabs>
          <w:tab w:leader="none" w:pos="383" w:val="left"/>
        </w:tabs>
        <w:numPr>
          <w:ilvl w:val="0"/>
          <w:numId w:val="44"/>
        </w:numPr>
        <w:rPr>
          <w:rFonts w:ascii="Arial" w:cs="Arial" w:eastAsia="Arial" w:hAnsi="Arial"/>
          <w:sz w:val="14"/>
          <w:szCs w:val="14"/>
          <w:color w:val="auto"/>
        </w:rPr>
      </w:pPr>
      <w:r>
        <w:rPr>
          <w:rFonts w:ascii="Arial" w:cs="Arial" w:eastAsia="Arial" w:hAnsi="Arial"/>
          <w:sz w:val="16"/>
          <w:szCs w:val="16"/>
          <w:color w:val="auto"/>
        </w:rPr>
        <w:t>Includes a goodwill impairment charge of $56 million and the associated tax benefit of $18 million and an impairment charge of $12 million due to the cancellation of the copper metal mesh touch screen program partially offset by $7 million of income from the revaluation of embedded conversion features derivative. Refer to Note 13, “Other Operating Expense (Income), net” and Note 12, “Financial Instruments” in the Notes to Financial Statements.</w:t>
      </w:r>
    </w:p>
    <w:p>
      <w:pPr>
        <w:spacing w:after="0" w:line="65" w:lineRule="exact"/>
        <w:rPr>
          <w:rFonts w:ascii="Arial" w:cs="Arial" w:eastAsia="Arial" w:hAnsi="Arial"/>
          <w:sz w:val="14"/>
          <w:szCs w:val="14"/>
          <w:color w:val="auto"/>
        </w:rPr>
      </w:pPr>
    </w:p>
    <w:p>
      <w:pPr>
        <w:ind w:left="383" w:hanging="383"/>
        <w:spacing w:after="0"/>
        <w:tabs>
          <w:tab w:leader="none" w:pos="383" w:val="left"/>
        </w:tabs>
        <w:numPr>
          <w:ilvl w:val="0"/>
          <w:numId w:val="44"/>
        </w:numPr>
        <w:rPr>
          <w:rFonts w:ascii="Arial" w:cs="Arial" w:eastAsia="Arial" w:hAnsi="Arial"/>
          <w:sz w:val="14"/>
          <w:szCs w:val="14"/>
          <w:color w:val="auto"/>
        </w:rPr>
      </w:pPr>
      <w:r>
        <w:rPr>
          <w:rFonts w:ascii="Arial" w:cs="Arial" w:eastAsia="Arial" w:hAnsi="Arial"/>
          <w:sz w:val="16"/>
          <w:szCs w:val="16"/>
          <w:color w:val="auto"/>
        </w:rPr>
        <w:t>Includes the tax benefit of $101 million associated with the release of a deferred tax valuation allowance in a location outside the U.S.</w:t>
      </w:r>
    </w:p>
    <w:p>
      <w:pPr>
        <w:spacing w:after="0" w:line="106" w:lineRule="exact"/>
        <w:rPr>
          <w:rFonts w:ascii="Arial" w:cs="Arial" w:eastAsia="Arial" w:hAnsi="Arial"/>
          <w:sz w:val="14"/>
          <w:szCs w:val="14"/>
          <w:color w:val="auto"/>
        </w:rPr>
      </w:pPr>
    </w:p>
    <w:p>
      <w:pPr>
        <w:ind w:left="383" w:hanging="383"/>
        <w:spacing w:after="0"/>
        <w:tabs>
          <w:tab w:leader="none" w:pos="383" w:val="left"/>
        </w:tabs>
        <w:numPr>
          <w:ilvl w:val="0"/>
          <w:numId w:val="44"/>
        </w:numPr>
        <w:rPr>
          <w:rFonts w:ascii="Arial" w:cs="Arial" w:eastAsia="Arial" w:hAnsi="Arial"/>
          <w:sz w:val="14"/>
          <w:szCs w:val="14"/>
          <w:color w:val="auto"/>
        </w:rPr>
      </w:pPr>
      <w:r>
        <w:rPr>
          <w:rFonts w:ascii="Arial" w:cs="Arial" w:eastAsia="Arial" w:hAnsi="Arial"/>
          <w:sz w:val="16"/>
          <w:szCs w:val="16"/>
          <w:color w:val="auto"/>
        </w:rPr>
        <w:t>Refer to Note 25, “Discontinued Operations”, in the Notes to Financial Statements for a discussion regarding discontinued operations</w:t>
      </w:r>
    </w:p>
    <w:p>
      <w:pPr>
        <w:spacing w:after="0" w:line="106" w:lineRule="exact"/>
        <w:rPr>
          <w:rFonts w:ascii="Arial" w:cs="Arial" w:eastAsia="Arial" w:hAnsi="Arial"/>
          <w:sz w:val="14"/>
          <w:szCs w:val="14"/>
          <w:color w:val="auto"/>
        </w:rPr>
      </w:pPr>
    </w:p>
    <w:p>
      <w:pPr>
        <w:ind w:left="383" w:right="280" w:hanging="383"/>
        <w:spacing w:after="0" w:line="315" w:lineRule="auto"/>
        <w:tabs>
          <w:tab w:leader="none" w:pos="383" w:val="left"/>
        </w:tabs>
        <w:numPr>
          <w:ilvl w:val="0"/>
          <w:numId w:val="44"/>
        </w:numPr>
        <w:rPr>
          <w:rFonts w:ascii="Arial" w:cs="Arial" w:eastAsia="Arial" w:hAnsi="Arial"/>
          <w:sz w:val="13"/>
          <w:szCs w:val="13"/>
          <w:color w:val="auto"/>
        </w:rPr>
      </w:pPr>
      <w:r>
        <w:rPr>
          <w:rFonts w:ascii="Arial" w:cs="Arial" w:eastAsia="Arial" w:hAnsi="Arial"/>
          <w:sz w:val="15"/>
          <w:szCs w:val="15"/>
          <w:color w:val="auto"/>
        </w:rPr>
        <w:t>EPS for each quarter is computed using the weighted-average number of shares outstanding during the quarter, while EPS for the year is computed using the weighted-average shares outstanding during the year. Thus the sum of the EPS for each of the four quarters may not equal the EPS for the year.</w:t>
      </w:r>
    </w:p>
    <w:p>
      <w:pPr>
        <w:spacing w:after="0" w:line="127"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62865</wp:posOffset>
            </wp:positionV>
            <wp:extent cx="7301865" cy="406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301865" cy="40640"/>
                    </a:xfrm>
                    <a:prstGeom prst="rect">
                      <a:avLst/>
                    </a:prstGeom>
                    <a:noFill/>
                  </pic:spPr>
                </pic:pic>
              </a:graphicData>
            </a:graphic>
          </wp:anchor>
        </w:drawing>
      </w:r>
    </w:p>
    <w:p>
      <w:pPr>
        <w:sectPr>
          <w:pgSz w:w="11900" w:h="16838" w:orient="portrait"/>
          <w:cols w:equalWidth="0" w:num="1">
            <w:col w:w="11423"/>
          </w:cols>
          <w:pgMar w:left="237" w:top="123" w:right="239" w:bottom="1440" w:gutter="0" w:footer="0" w:header="0"/>
        </w:sectPr>
      </w:pPr>
    </w:p>
    <w:bookmarkStart w:id="103" w:name="page104"/>
    <w:bookmarkEnd w:id="103"/>
    <w:p>
      <w:pPr>
        <w:spacing w:after="0"/>
        <w:tabs>
          <w:tab w:leader="none" w:pos="1000" w:val="left"/>
        </w:tabs>
        <w:rPr>
          <w:sz w:val="20"/>
          <w:szCs w:val="20"/>
          <w:color w:val="auto"/>
        </w:rPr>
      </w:pPr>
      <w:r>
        <w:rPr>
          <w:rFonts w:ascii="Arial" w:cs="Arial" w:eastAsia="Arial" w:hAnsi="Arial"/>
          <w:sz w:val="16"/>
          <w:szCs w:val="16"/>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96" w:lineRule="exact"/>
        <w:rPr>
          <w:sz w:val="20"/>
          <w:szCs w:val="20"/>
          <w:color w:val="auto"/>
        </w:rPr>
      </w:pPr>
    </w:p>
    <w:p>
      <w:pPr>
        <w:spacing w:after="0"/>
        <w:tabs>
          <w:tab w:leader="none" w:pos="1000" w:val="left"/>
        </w:tabs>
        <w:rPr>
          <w:sz w:val="20"/>
          <w:szCs w:val="20"/>
          <w:color w:val="auto"/>
        </w:rPr>
      </w:pPr>
      <w:r>
        <w:rPr>
          <w:rFonts w:ascii="Arial" w:cs="Arial" w:eastAsia="Arial" w:hAnsi="Arial"/>
          <w:sz w:val="16"/>
          <w:szCs w:val="16"/>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Evaluation of Disclosure Controls and Procedures</w:t>
      </w:r>
    </w:p>
    <w:p>
      <w:pPr>
        <w:spacing w:after="0" w:line="110" w:lineRule="exact"/>
        <w:rPr>
          <w:sz w:val="20"/>
          <w:szCs w:val="20"/>
          <w:color w:val="auto"/>
        </w:rPr>
      </w:pPr>
    </w:p>
    <w:p>
      <w:pPr>
        <w:ind w:right="160"/>
        <w:spacing w:after="0" w:line="256" w:lineRule="auto"/>
        <w:rPr>
          <w:sz w:val="20"/>
          <w:szCs w:val="20"/>
          <w:color w:val="auto"/>
        </w:rPr>
      </w:pPr>
      <w:r>
        <w:rPr>
          <w:rFonts w:ascii="Arial" w:cs="Arial" w:eastAsia="Arial" w:hAnsi="Arial"/>
          <w:sz w:val="16"/>
          <w:szCs w:val="16"/>
          <w:color w:val="auto"/>
        </w:rPr>
        <w:t>Kodak maintains disclosure controls and procedures that are designed to ensure that information required to be disclosed in Kodak’s reports filed or submitted under the Securities Exchange Act of 1934 is recorded, processed, summarized and reported within the time periods specified in the SEC’s rules and forms, and that such information is accumulated and communicated to management, including Kodak’s Chief Executive Officer and Chief Financial Officer, as appropriate, to allow timely decisions regarding required disclosure. Kodak’s management, with participation of Kodak’s Chief Executive Officer and Chief Financial Officer, has evaluated the effectiveness of Kodak’s disclosure controls and procedures as of the end of the fiscal year covered by this Annual Report on Form 10-K. Kodak’s Chief Executive Officer and Chief Financial Officer have concluded that, as of the end of the period covered by this Annual Report on Form 10-K, Kodak’s disclosure controls and procedures (as defined in Rules 13a-15(e) and 15d-15(e) under the Exchange Act) were effective.</w:t>
      </w: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Management’s Report on Internal Control Over Financial Reporting</w:t>
      </w:r>
    </w:p>
    <w:p>
      <w:pPr>
        <w:spacing w:after="0" w:line="110"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The management of Kodak is responsible for establishing and maintaining adequate internal control over financial reporting. Kodak’s internal control over financial reporting is designed to provide reasonable assurance regarding the reliability of financial reporting and the preparation of financial statements for external purposes in accordance with generally accepted accounting principles in the United States of America. Kodak’s internal control over financial reporting includes those policies and procedures that: (i) pertain to the maintenance of records that, in reasonable detail, accurately and fairly reflect the transactions and dispositions of the assets of Kodak; (ii) provide reasonable assurance that transactions are recorded as necessary to permit preparation of financial statements in accordance with generally accepted accounting principles in the United States of America, and that receipts and expenditures of Kodak are being made only in accordance with authorizations of management and directors of Kodak; and (iii) provide reasonable assurance regarding prevention or timely detection of unauthorized acquisition, use or disposition of Kodak’s assets that could have a material effect on the financial statements.</w:t>
      </w:r>
    </w:p>
    <w:p>
      <w:pPr>
        <w:spacing w:after="0" w:line="171"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Internal control over financial reporting cannot provide absolute assurance of achieving financial reporting objectives because of its inherent limitations. Internal control over financial reporting is a process that involves human diligence and compliance and is subject to lapses in judgment or breakdowns resulting from human failures. Internal control over financial reporting also can be circumvented by collusion or improper management override.</w:t>
      </w:r>
    </w:p>
    <w:p>
      <w:pPr>
        <w:spacing w:after="0" w:line="162"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Because of such limitations, there is a risk that material misstatements may not be prevented or detected on a timely basis by internal control over financial reporting. However, these inherent limitations are known features of the financial reporting process. Therefore, it is possible to design into the process safeguards to reduce, though not eliminate, this risk.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68" w:lineRule="exact"/>
        <w:rPr>
          <w:sz w:val="20"/>
          <w:szCs w:val="20"/>
          <w:color w:val="auto"/>
        </w:rPr>
      </w:pPr>
    </w:p>
    <w:p>
      <w:pPr>
        <w:spacing w:after="0" w:line="280" w:lineRule="auto"/>
        <w:rPr>
          <w:sz w:val="20"/>
          <w:szCs w:val="20"/>
          <w:color w:val="auto"/>
        </w:rPr>
      </w:pPr>
      <w:r>
        <w:rPr>
          <w:rFonts w:ascii="Arial" w:cs="Arial" w:eastAsia="Arial" w:hAnsi="Arial"/>
          <w:sz w:val="15"/>
          <w:szCs w:val="15"/>
          <w:color w:val="auto"/>
        </w:rPr>
        <w:t>Management assessed the effectiveness of Kodak’s internal control over financial reporting as of December 31, 2017. In making this assessment, management used the criteria set forth by the Committee of Sponsoring Organizations of the Treadway Commission (“COSO”) in "Internal Control-Integrated Framework” (2013). Based on management’s assessment using the COSO criteria, management has concluded that Kodak's internal control over financial reporting was effective as of December 31, 2017. The effectiveness of Kodak’s internal control over financial reporting as of December 31, 2017 has been audited by PricewaterhouseCoopers LLP, Kodak’s independent registered public accounting firm, as stated in their report, refer to Item 8. Financial Statement and Supplementary Data.</w:t>
      </w: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Internal Control over Financial Reporting</w:t>
      </w:r>
    </w:p>
    <w:p>
      <w:pPr>
        <w:spacing w:after="0" w:line="110" w:lineRule="exact"/>
        <w:rPr>
          <w:sz w:val="20"/>
          <w:szCs w:val="20"/>
          <w:color w:val="auto"/>
        </w:rPr>
      </w:pPr>
    </w:p>
    <w:p>
      <w:pPr>
        <w:ind w:right="660"/>
        <w:spacing w:after="0" w:line="280" w:lineRule="auto"/>
        <w:rPr>
          <w:sz w:val="20"/>
          <w:szCs w:val="20"/>
          <w:color w:val="auto"/>
        </w:rPr>
      </w:pPr>
      <w:r>
        <w:rPr>
          <w:rFonts w:ascii="Arial" w:cs="Arial" w:eastAsia="Arial" w:hAnsi="Arial"/>
          <w:sz w:val="16"/>
          <w:szCs w:val="16"/>
          <w:color w:val="auto"/>
        </w:rPr>
        <w:t>There was no change identified in Kodak’s internal control over financial reporting that occurred during Kodak’s fourth fiscal quarter that has materially affected, or is reasonably likely to materially affect, Kodak’s internal control over financial reporting.</w:t>
      </w:r>
    </w:p>
    <w:p>
      <w:pPr>
        <w:spacing w:after="0" w:line="3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9B. OTHER INFORMATION</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62865</wp:posOffset>
            </wp:positionV>
            <wp:extent cx="7301865" cy="406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301865" cy="40640"/>
                    </a:xfrm>
                    <a:prstGeom prst="rect">
                      <a:avLst/>
                    </a:prstGeom>
                    <a:noFill/>
                  </pic:spPr>
                </pic:pic>
              </a:graphicData>
            </a:graphic>
          </wp:anchor>
        </w:drawing>
      </w:r>
    </w:p>
    <w:p>
      <w:pPr>
        <w:sectPr>
          <w:pgSz w:w="11900" w:h="16838" w:orient="portrait"/>
          <w:cols w:equalWidth="0" w:num="1">
            <w:col w:w="11400"/>
          </w:cols>
          <w:pgMar w:left="240" w:top="123" w:right="259" w:bottom="1440" w:gutter="0" w:footer="0" w:header="0"/>
        </w:sectPr>
      </w:pPr>
    </w:p>
    <w:bookmarkStart w:id="104" w:name="page105"/>
    <w:bookmarkEnd w:id="104"/>
    <w:p>
      <w:pPr>
        <w:jc w:val="center"/>
        <w:ind w:right="-102"/>
        <w:spacing w:after="0"/>
        <w:rPr>
          <w:sz w:val="20"/>
          <w:szCs w:val="20"/>
          <w:color w:val="auto"/>
        </w:rPr>
      </w:pPr>
      <w:r>
        <w:rPr>
          <w:rFonts w:ascii="Arial" w:cs="Arial" w:eastAsia="Arial" w:hAnsi="Arial"/>
          <w:sz w:val="16"/>
          <w:szCs w:val="16"/>
          <w:b w:val="1"/>
          <w:bCs w:val="1"/>
          <w:color w:val="auto"/>
        </w:rPr>
        <w:t>PART III</w:t>
      </w:r>
    </w:p>
    <w:p>
      <w:pPr>
        <w:spacing w:after="0" w:line="203" w:lineRule="exact"/>
        <w:rPr>
          <w:sz w:val="20"/>
          <w:szCs w:val="20"/>
          <w:color w:val="auto"/>
        </w:rPr>
      </w:pPr>
    </w:p>
    <w:p>
      <w:pPr>
        <w:ind w:left="3"/>
        <w:spacing w:after="0"/>
        <w:tabs>
          <w:tab w:leader="none" w:pos="1003" w:val="left"/>
        </w:tabs>
        <w:rPr>
          <w:sz w:val="20"/>
          <w:szCs w:val="20"/>
          <w:color w:val="auto"/>
        </w:rPr>
      </w:pPr>
      <w:r>
        <w:rPr>
          <w:rFonts w:ascii="Arial" w:cs="Arial" w:eastAsia="Arial" w:hAnsi="Arial"/>
          <w:sz w:val="16"/>
          <w:szCs w:val="16"/>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110" w:lineRule="exact"/>
        <w:rPr>
          <w:sz w:val="20"/>
          <w:szCs w:val="20"/>
          <w:color w:val="auto"/>
        </w:rPr>
      </w:pPr>
    </w:p>
    <w:p>
      <w:pPr>
        <w:jc w:val="both"/>
        <w:ind w:left="3" w:right="500"/>
        <w:spacing w:after="0" w:line="297" w:lineRule="auto"/>
        <w:rPr>
          <w:sz w:val="20"/>
          <w:szCs w:val="20"/>
          <w:color w:val="auto"/>
        </w:rPr>
      </w:pPr>
      <w:r>
        <w:rPr>
          <w:rFonts w:ascii="Arial" w:cs="Arial" w:eastAsia="Arial" w:hAnsi="Arial"/>
          <w:sz w:val="14"/>
          <w:szCs w:val="14"/>
          <w:color w:val="auto"/>
        </w:rPr>
        <w:t>The information required by Item 10 regarding directors is incorporated by reference from the information under the caption "Board of Directors and Corporate Governance - Director Nominees" in the Company's Notice of 2018 Annual Meeting and Proxy Statement (the “Proxy Statement”), which will be filed within 120 days after December 31,</w:t>
      </w:r>
    </w:p>
    <w:p>
      <w:pPr>
        <w:ind w:left="3"/>
        <w:spacing w:after="0" w:line="276" w:lineRule="auto"/>
        <w:rPr>
          <w:sz w:val="20"/>
          <w:szCs w:val="20"/>
          <w:color w:val="auto"/>
        </w:rPr>
      </w:pPr>
      <w:r>
        <w:rPr>
          <w:rFonts w:ascii="Arial" w:cs="Arial" w:eastAsia="Arial" w:hAnsi="Arial"/>
          <w:sz w:val="15"/>
          <w:szCs w:val="15"/>
          <w:color w:val="auto"/>
        </w:rPr>
        <w:t>2017. The information required by Item 10 regarding audit committee composition and audit committee financial expert disclosure is incorporated by reference from the information under the caption "Board of Directors and Corporate Governance - Committees of the Board - Audit and Finance Committee" in the Proxy Statement. The information required by Item 10 regarding executive officers is contained in Part I under the caption "Executive Officers of the Registrant". The information required by Item 10 regarding compliance with Section 16(a) of the Securities Exchange Act of 1934 is incorporated by reference from the information under the caption "Security Ownership of Certain Beneficial Owners and Management - Section 16(a) Beneficial Ownership Reporting Compliance" in the Proxy Statement.</w:t>
      </w:r>
    </w:p>
    <w:p>
      <w:pPr>
        <w:spacing w:after="0" w:line="156" w:lineRule="exact"/>
        <w:rPr>
          <w:sz w:val="20"/>
          <w:szCs w:val="20"/>
          <w:color w:val="auto"/>
        </w:rPr>
      </w:pPr>
    </w:p>
    <w:p>
      <w:pPr>
        <w:ind w:left="3" w:right="40"/>
        <w:spacing w:after="0" w:line="259" w:lineRule="auto"/>
        <w:rPr>
          <w:sz w:val="20"/>
          <w:szCs w:val="20"/>
          <w:color w:val="auto"/>
        </w:rPr>
      </w:pPr>
      <w:r>
        <w:rPr>
          <w:rFonts w:ascii="Arial" w:cs="Arial" w:eastAsia="Arial" w:hAnsi="Arial"/>
          <w:sz w:val="16"/>
          <w:szCs w:val="16"/>
          <w:color w:val="auto"/>
        </w:rPr>
        <w:t xml:space="preserve">We have adopted a Business Conduct Guide that applies to all of our officers and employees, including our principal executive, principal financial and principal accounting officers, or persons performing similar functions, as well as a Directors’ Code of Conduct that applies to our directors and Board observers. Our Business Conduct Guide and Directors’ Code of Conduct are posted on our website located at </w:t>
      </w:r>
      <w:r>
        <w:rPr>
          <w:rFonts w:ascii="Arial" w:cs="Arial" w:eastAsia="Arial" w:hAnsi="Arial"/>
          <w:sz w:val="16"/>
          <w:szCs w:val="16"/>
          <w:u w:val="single" w:color="auto"/>
          <w:color w:val="auto"/>
        </w:rPr>
        <w:t>http://ek.client.shareholder.com/supporting.cfm</w:t>
      </w:r>
      <w:r>
        <w:rPr>
          <w:rFonts w:ascii="Arial" w:cs="Arial" w:eastAsia="Arial" w:hAnsi="Arial"/>
          <w:sz w:val="16"/>
          <w:szCs w:val="16"/>
          <w:color w:val="auto"/>
        </w:rPr>
        <w:t>. We intend to disclose future amendments to certain provisions of the Business Conduct Guide and waivers of the Business Conduct Guide granted to executive officers, on the website within four business days following the date of the amendment or waiver.</w:t>
      </w:r>
    </w:p>
    <w:p>
      <w:pPr>
        <w:spacing w:after="0" w:line="260" w:lineRule="exact"/>
        <w:rPr>
          <w:sz w:val="20"/>
          <w:szCs w:val="20"/>
          <w:color w:val="auto"/>
        </w:rPr>
      </w:pPr>
    </w:p>
    <w:p>
      <w:pPr>
        <w:ind w:left="3"/>
        <w:spacing w:after="0"/>
        <w:tabs>
          <w:tab w:leader="none" w:pos="1003" w:val="left"/>
        </w:tabs>
        <w:rPr>
          <w:sz w:val="20"/>
          <w:szCs w:val="20"/>
          <w:color w:val="auto"/>
        </w:rPr>
      </w:pPr>
      <w:r>
        <w:rPr>
          <w:rFonts w:ascii="Arial" w:cs="Arial" w:eastAsia="Arial" w:hAnsi="Arial"/>
          <w:sz w:val="16"/>
          <w:szCs w:val="16"/>
          <w:b w:val="1"/>
          <w:bCs w:val="1"/>
          <w:color w:val="auto"/>
        </w:rPr>
        <w:t>ITEM 11.</w:t>
      </w:r>
      <w:r>
        <w:rPr>
          <w:sz w:val="20"/>
          <w:szCs w:val="20"/>
          <w:color w:val="auto"/>
        </w:rPr>
        <w:tab/>
      </w:r>
      <w:r>
        <w:rPr>
          <w:rFonts w:ascii="Arial" w:cs="Arial" w:eastAsia="Arial" w:hAnsi="Arial"/>
          <w:sz w:val="16"/>
          <w:szCs w:val="16"/>
          <w:b w:val="1"/>
          <w:bCs w:val="1"/>
          <w:color w:val="auto"/>
        </w:rPr>
        <w:t>EXECUTIVE COMPENSATION</w:t>
      </w:r>
    </w:p>
    <w:p>
      <w:pPr>
        <w:spacing w:after="0" w:line="110" w:lineRule="exact"/>
        <w:rPr>
          <w:sz w:val="20"/>
          <w:szCs w:val="20"/>
          <w:color w:val="auto"/>
        </w:rPr>
      </w:pPr>
    </w:p>
    <w:p>
      <w:pPr>
        <w:ind w:left="3" w:right="100"/>
        <w:spacing w:after="0" w:line="315" w:lineRule="auto"/>
        <w:rPr>
          <w:sz w:val="20"/>
          <w:szCs w:val="20"/>
          <w:color w:val="auto"/>
        </w:rPr>
      </w:pPr>
      <w:r>
        <w:rPr>
          <w:rFonts w:ascii="Arial" w:cs="Arial" w:eastAsia="Arial" w:hAnsi="Arial"/>
          <w:sz w:val="15"/>
          <w:szCs w:val="15"/>
          <w:color w:val="auto"/>
        </w:rPr>
        <w:t>The information required by Item 11 is incorporated herein by reference from the information under the following captions in the Proxy Statement: "Executive Compensation”, “Director Compensation” and “Board of Directors and Corporate Governance – Executive Compensation Committee Interlocks and Insider Participation.”</w:t>
      </w:r>
    </w:p>
    <w:p>
      <w:pPr>
        <w:spacing w:after="0" w:line="220" w:lineRule="exact"/>
        <w:rPr>
          <w:sz w:val="20"/>
          <w:szCs w:val="20"/>
          <w:color w:val="auto"/>
        </w:rPr>
      </w:pPr>
    </w:p>
    <w:p>
      <w:pPr>
        <w:ind w:left="3"/>
        <w:spacing w:after="0"/>
        <w:tabs>
          <w:tab w:leader="none" w:pos="1003" w:val="left"/>
        </w:tabs>
        <w:rPr>
          <w:sz w:val="20"/>
          <w:szCs w:val="20"/>
          <w:color w:val="auto"/>
        </w:rPr>
      </w:pPr>
      <w:r>
        <w:rPr>
          <w:rFonts w:ascii="Arial" w:cs="Arial" w:eastAsia="Arial" w:hAnsi="Arial"/>
          <w:sz w:val="16"/>
          <w:szCs w:val="16"/>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110" w:lineRule="exact"/>
        <w:rPr>
          <w:sz w:val="20"/>
          <w:szCs w:val="20"/>
          <w:color w:val="auto"/>
        </w:rPr>
      </w:pPr>
    </w:p>
    <w:p>
      <w:pPr>
        <w:ind w:left="3"/>
        <w:spacing w:after="0"/>
        <w:rPr>
          <w:sz w:val="20"/>
          <w:szCs w:val="20"/>
          <w:color w:val="auto"/>
        </w:rPr>
      </w:pPr>
      <w:r>
        <w:rPr>
          <w:rFonts w:ascii="Arial" w:cs="Arial" w:eastAsia="Arial" w:hAnsi="Arial"/>
          <w:sz w:val="14"/>
          <w:szCs w:val="14"/>
          <w:color w:val="auto"/>
        </w:rPr>
        <w:t>The information required by Item 12 is incorporated by reference from the information under the captions "Security Ownership of Certain Beneficial Owners and Management"</w:t>
      </w:r>
    </w:p>
    <w:p>
      <w:pPr>
        <w:spacing w:after="0" w:line="45" w:lineRule="exact"/>
        <w:rPr>
          <w:sz w:val="20"/>
          <w:szCs w:val="20"/>
          <w:color w:val="auto"/>
        </w:rPr>
      </w:pPr>
    </w:p>
    <w:p>
      <w:pPr>
        <w:ind w:left="3"/>
        <w:spacing w:after="0"/>
        <w:rPr>
          <w:sz w:val="20"/>
          <w:szCs w:val="20"/>
          <w:color w:val="auto"/>
        </w:rPr>
      </w:pPr>
      <w:r>
        <w:rPr>
          <w:rFonts w:ascii="Arial" w:cs="Arial" w:eastAsia="Arial" w:hAnsi="Arial"/>
          <w:sz w:val="16"/>
          <w:szCs w:val="16"/>
          <w:color w:val="auto"/>
        </w:rPr>
        <w:t>in the Proxy Statement. "Securities Authorized for Issuance Under Equity Compensation Plans" is shown below:</w:t>
      </w:r>
    </w:p>
    <w:p>
      <w:pPr>
        <w:spacing w:after="0" w:line="283"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EQUITY COMPENSATION PLAN INFORMATION</w:t>
      </w:r>
    </w:p>
    <w:p>
      <w:pPr>
        <w:spacing w:after="0" w:line="110" w:lineRule="exact"/>
        <w:rPr>
          <w:sz w:val="20"/>
          <w:szCs w:val="20"/>
          <w:color w:val="auto"/>
        </w:rPr>
      </w:pPr>
    </w:p>
    <w:p>
      <w:pPr>
        <w:ind w:left="3"/>
        <w:spacing w:after="0"/>
        <w:rPr>
          <w:sz w:val="20"/>
          <w:szCs w:val="20"/>
          <w:color w:val="auto"/>
        </w:rPr>
      </w:pPr>
      <w:r>
        <w:rPr>
          <w:rFonts w:ascii="Arial" w:cs="Arial" w:eastAsia="Arial" w:hAnsi="Arial"/>
          <w:sz w:val="16"/>
          <w:szCs w:val="16"/>
          <w:color w:val="auto"/>
        </w:rPr>
        <w:t>As of December 31, 2017, information about the Company’s equity compensation plans is as follows:</w:t>
      </w:r>
    </w:p>
    <w:p>
      <w:pPr>
        <w:spacing w:after="0" w:line="219" w:lineRule="exact"/>
        <w:rPr>
          <w:sz w:val="20"/>
          <w:szCs w:val="20"/>
          <w:color w:val="auto"/>
        </w:rPr>
      </w:pPr>
    </w:p>
    <w:tbl>
      <w:tblPr>
        <w:tblLayout w:type="fixed"/>
        <w:tblInd w:w="583" w:type="dxa"/>
        <w:tblCellMar>
          <w:top w:w="0" w:type="dxa"/>
          <w:left w:w="0" w:type="dxa"/>
          <w:bottom w:w="0" w:type="dxa"/>
          <w:right w:w="0" w:type="dxa"/>
        </w:tblCellMar>
      </w:tblPr>
      <w:tr>
        <w:trPr>
          <w:trHeight w:val="149"/>
        </w:trPr>
        <w:tc>
          <w:tcPr>
            <w:tcW w:w="5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tcPr>
          <w:p>
            <w:pPr>
              <w:jc w:val="center"/>
              <w:spacing w:after="0"/>
              <w:rPr>
                <w:sz w:val="20"/>
                <w:szCs w:val="20"/>
                <w:color w:val="auto"/>
              </w:rPr>
            </w:pPr>
            <w:r>
              <w:rPr>
                <w:rFonts w:ascii="Arial" w:cs="Arial" w:eastAsia="Arial" w:hAnsi="Arial"/>
                <w:sz w:val="13"/>
                <w:szCs w:val="13"/>
                <w:color w:val="auto"/>
                <w:w w:val="90"/>
              </w:rPr>
              <w:t>Number of Securities</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60" w:type="dxa"/>
            <w:vAlign w:val="bottom"/>
            <w:gridSpan w:val="2"/>
          </w:tcPr>
          <w:p>
            <w:pPr>
              <w:jc w:val="center"/>
              <w:ind w:right="120"/>
              <w:spacing w:after="0"/>
              <w:rPr>
                <w:sz w:val="20"/>
                <w:szCs w:val="20"/>
                <w:color w:val="auto"/>
              </w:rPr>
            </w:pPr>
            <w:r>
              <w:rPr>
                <w:rFonts w:ascii="Arial" w:cs="Arial" w:eastAsia="Arial" w:hAnsi="Arial"/>
                <w:sz w:val="13"/>
                <w:szCs w:val="13"/>
                <w:color w:val="auto"/>
                <w:w w:val="90"/>
              </w:rPr>
              <w:t>Number of Securities</w:t>
            </w:r>
          </w:p>
        </w:tc>
      </w:tr>
      <w:tr>
        <w:trPr>
          <w:trHeight w:val="133"/>
        </w:trPr>
        <w:tc>
          <w:tcPr>
            <w:tcW w:w="5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00" w:type="dxa"/>
            <w:vAlign w:val="bottom"/>
          </w:tcPr>
          <w:p>
            <w:pPr>
              <w:jc w:val="center"/>
              <w:spacing w:after="0" w:line="133" w:lineRule="exact"/>
              <w:rPr>
                <w:sz w:val="20"/>
                <w:szCs w:val="20"/>
                <w:color w:val="auto"/>
              </w:rPr>
            </w:pPr>
            <w:r>
              <w:rPr>
                <w:rFonts w:ascii="Arial" w:cs="Arial" w:eastAsia="Arial" w:hAnsi="Arial"/>
                <w:sz w:val="13"/>
                <w:szCs w:val="13"/>
                <w:color w:val="auto"/>
                <w:w w:val="87"/>
              </w:rPr>
              <w:t>to be Issued Upon</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0" w:type="dxa"/>
            <w:vAlign w:val="bottom"/>
            <w:gridSpan w:val="2"/>
          </w:tcPr>
          <w:p>
            <w:pPr>
              <w:jc w:val="center"/>
              <w:ind w:right="320"/>
              <w:spacing w:after="0" w:line="133" w:lineRule="exact"/>
              <w:rPr>
                <w:sz w:val="20"/>
                <w:szCs w:val="20"/>
                <w:color w:val="auto"/>
              </w:rPr>
            </w:pPr>
            <w:r>
              <w:rPr>
                <w:rFonts w:ascii="Arial" w:cs="Arial" w:eastAsia="Arial" w:hAnsi="Arial"/>
                <w:sz w:val="13"/>
                <w:szCs w:val="13"/>
                <w:color w:val="auto"/>
                <w:w w:val="87"/>
              </w:rPr>
              <w:t>Weighted-</w:t>
            </w:r>
          </w:p>
        </w:tc>
        <w:tc>
          <w:tcPr>
            <w:tcW w:w="120" w:type="dxa"/>
            <w:vAlign w:val="bottom"/>
          </w:tcPr>
          <w:p>
            <w:pPr>
              <w:spacing w:after="0"/>
              <w:rPr>
                <w:sz w:val="11"/>
                <w:szCs w:val="11"/>
                <w:color w:val="auto"/>
              </w:rPr>
            </w:pPr>
          </w:p>
        </w:tc>
        <w:tc>
          <w:tcPr>
            <w:tcW w:w="1660" w:type="dxa"/>
            <w:vAlign w:val="bottom"/>
            <w:gridSpan w:val="2"/>
          </w:tcPr>
          <w:p>
            <w:pPr>
              <w:jc w:val="center"/>
              <w:ind w:right="120"/>
              <w:spacing w:after="0" w:line="133" w:lineRule="exact"/>
              <w:rPr>
                <w:sz w:val="20"/>
                <w:szCs w:val="20"/>
                <w:color w:val="auto"/>
              </w:rPr>
            </w:pPr>
            <w:r>
              <w:rPr>
                <w:rFonts w:ascii="Arial" w:cs="Arial" w:eastAsia="Arial" w:hAnsi="Arial"/>
                <w:sz w:val="13"/>
                <w:szCs w:val="13"/>
                <w:color w:val="auto"/>
                <w:w w:val="91"/>
              </w:rPr>
              <w:t>Remaining Available for</w:t>
            </w:r>
          </w:p>
        </w:tc>
      </w:tr>
      <w:tr>
        <w:trPr>
          <w:trHeight w:val="133"/>
        </w:trPr>
        <w:tc>
          <w:tcPr>
            <w:tcW w:w="5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00" w:type="dxa"/>
            <w:vAlign w:val="bottom"/>
          </w:tcPr>
          <w:p>
            <w:pPr>
              <w:jc w:val="center"/>
              <w:spacing w:after="0" w:line="133" w:lineRule="exact"/>
              <w:rPr>
                <w:sz w:val="20"/>
                <w:szCs w:val="20"/>
                <w:color w:val="auto"/>
              </w:rPr>
            </w:pPr>
            <w:r>
              <w:rPr>
                <w:rFonts w:ascii="Arial" w:cs="Arial" w:eastAsia="Arial" w:hAnsi="Arial"/>
                <w:sz w:val="13"/>
                <w:szCs w:val="13"/>
                <w:color w:val="auto"/>
                <w:w w:val="90"/>
              </w:rPr>
              <w:t>Exercise of</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0" w:type="dxa"/>
            <w:vAlign w:val="bottom"/>
            <w:gridSpan w:val="2"/>
          </w:tcPr>
          <w:p>
            <w:pPr>
              <w:jc w:val="center"/>
              <w:ind w:right="320"/>
              <w:spacing w:after="0" w:line="133" w:lineRule="exact"/>
              <w:rPr>
                <w:sz w:val="20"/>
                <w:szCs w:val="20"/>
                <w:color w:val="auto"/>
              </w:rPr>
            </w:pPr>
            <w:r>
              <w:rPr>
                <w:rFonts w:ascii="Arial" w:cs="Arial" w:eastAsia="Arial" w:hAnsi="Arial"/>
                <w:sz w:val="13"/>
                <w:szCs w:val="13"/>
                <w:color w:val="auto"/>
                <w:w w:val="90"/>
              </w:rPr>
              <w:t>Average</w:t>
            </w:r>
          </w:p>
        </w:tc>
        <w:tc>
          <w:tcPr>
            <w:tcW w:w="120" w:type="dxa"/>
            <w:vAlign w:val="bottom"/>
          </w:tcPr>
          <w:p>
            <w:pPr>
              <w:spacing w:after="0"/>
              <w:rPr>
                <w:sz w:val="11"/>
                <w:szCs w:val="11"/>
                <w:color w:val="auto"/>
              </w:rPr>
            </w:pPr>
          </w:p>
        </w:tc>
        <w:tc>
          <w:tcPr>
            <w:tcW w:w="1660" w:type="dxa"/>
            <w:vAlign w:val="bottom"/>
            <w:gridSpan w:val="2"/>
          </w:tcPr>
          <w:p>
            <w:pPr>
              <w:jc w:val="center"/>
              <w:ind w:right="120"/>
              <w:spacing w:after="0" w:line="133" w:lineRule="exact"/>
              <w:rPr>
                <w:sz w:val="20"/>
                <w:szCs w:val="20"/>
                <w:color w:val="auto"/>
              </w:rPr>
            </w:pPr>
            <w:r>
              <w:rPr>
                <w:rFonts w:ascii="Arial" w:cs="Arial" w:eastAsia="Arial" w:hAnsi="Arial"/>
                <w:sz w:val="13"/>
                <w:szCs w:val="13"/>
                <w:color w:val="auto"/>
                <w:w w:val="89"/>
              </w:rPr>
              <w:t>Future Issuance Under Equity</w:t>
            </w:r>
          </w:p>
        </w:tc>
      </w:tr>
      <w:tr>
        <w:trPr>
          <w:trHeight w:val="133"/>
        </w:trPr>
        <w:tc>
          <w:tcPr>
            <w:tcW w:w="5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00" w:type="dxa"/>
            <w:vAlign w:val="bottom"/>
          </w:tcPr>
          <w:p>
            <w:pPr>
              <w:jc w:val="center"/>
              <w:spacing w:after="0" w:line="133" w:lineRule="exact"/>
              <w:rPr>
                <w:sz w:val="20"/>
                <w:szCs w:val="20"/>
                <w:color w:val="auto"/>
              </w:rPr>
            </w:pPr>
            <w:r>
              <w:rPr>
                <w:rFonts w:ascii="Arial" w:cs="Arial" w:eastAsia="Arial" w:hAnsi="Arial"/>
                <w:sz w:val="13"/>
                <w:szCs w:val="13"/>
                <w:color w:val="auto"/>
                <w:w w:val="91"/>
              </w:rPr>
              <w:t>Outstanding Options</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0" w:type="dxa"/>
            <w:vAlign w:val="bottom"/>
            <w:gridSpan w:val="2"/>
          </w:tcPr>
          <w:p>
            <w:pPr>
              <w:jc w:val="center"/>
              <w:ind w:right="320"/>
              <w:spacing w:after="0" w:line="133" w:lineRule="exact"/>
              <w:rPr>
                <w:sz w:val="20"/>
                <w:szCs w:val="20"/>
                <w:color w:val="auto"/>
              </w:rPr>
            </w:pPr>
            <w:r>
              <w:rPr>
                <w:rFonts w:ascii="Arial" w:cs="Arial" w:eastAsia="Arial" w:hAnsi="Arial"/>
                <w:sz w:val="13"/>
                <w:szCs w:val="13"/>
                <w:color w:val="auto"/>
                <w:w w:val="90"/>
              </w:rPr>
              <w:t>Exercise Price of</w:t>
            </w:r>
          </w:p>
        </w:tc>
        <w:tc>
          <w:tcPr>
            <w:tcW w:w="120" w:type="dxa"/>
            <w:vAlign w:val="bottom"/>
          </w:tcPr>
          <w:p>
            <w:pPr>
              <w:spacing w:after="0"/>
              <w:rPr>
                <w:sz w:val="11"/>
                <w:szCs w:val="11"/>
                <w:color w:val="auto"/>
              </w:rPr>
            </w:pPr>
          </w:p>
        </w:tc>
        <w:tc>
          <w:tcPr>
            <w:tcW w:w="1660" w:type="dxa"/>
            <w:vAlign w:val="bottom"/>
            <w:gridSpan w:val="2"/>
          </w:tcPr>
          <w:p>
            <w:pPr>
              <w:jc w:val="center"/>
              <w:ind w:right="120"/>
              <w:spacing w:after="0" w:line="133" w:lineRule="exact"/>
              <w:rPr>
                <w:sz w:val="20"/>
                <w:szCs w:val="20"/>
                <w:color w:val="auto"/>
              </w:rPr>
            </w:pPr>
            <w:r>
              <w:rPr>
                <w:rFonts w:ascii="Arial" w:cs="Arial" w:eastAsia="Arial" w:hAnsi="Arial"/>
                <w:sz w:val="13"/>
                <w:szCs w:val="13"/>
                <w:color w:val="auto"/>
                <w:w w:val="88"/>
              </w:rPr>
              <w:t>Compensation Plans</w:t>
            </w:r>
          </w:p>
        </w:tc>
      </w:tr>
      <w:tr>
        <w:trPr>
          <w:trHeight w:val="133"/>
        </w:trPr>
        <w:tc>
          <w:tcPr>
            <w:tcW w:w="5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00" w:type="dxa"/>
            <w:vAlign w:val="bottom"/>
          </w:tcPr>
          <w:p>
            <w:pPr>
              <w:jc w:val="center"/>
              <w:spacing w:after="0" w:line="133" w:lineRule="exact"/>
              <w:rPr>
                <w:sz w:val="20"/>
                <w:szCs w:val="20"/>
                <w:color w:val="auto"/>
              </w:rPr>
            </w:pPr>
            <w:r>
              <w:rPr>
                <w:rFonts w:ascii="Arial" w:cs="Arial" w:eastAsia="Arial" w:hAnsi="Arial"/>
                <w:sz w:val="13"/>
                <w:szCs w:val="13"/>
                <w:color w:val="auto"/>
                <w:w w:val="88"/>
              </w:rPr>
              <w:t>and Restricted</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0" w:type="dxa"/>
            <w:vAlign w:val="bottom"/>
            <w:gridSpan w:val="2"/>
          </w:tcPr>
          <w:p>
            <w:pPr>
              <w:jc w:val="center"/>
              <w:ind w:right="320"/>
              <w:spacing w:after="0" w:line="133" w:lineRule="exact"/>
              <w:rPr>
                <w:sz w:val="20"/>
                <w:szCs w:val="20"/>
                <w:color w:val="auto"/>
              </w:rPr>
            </w:pPr>
            <w:r>
              <w:rPr>
                <w:rFonts w:ascii="Arial" w:cs="Arial" w:eastAsia="Arial" w:hAnsi="Arial"/>
                <w:sz w:val="13"/>
                <w:szCs w:val="13"/>
                <w:color w:val="auto"/>
                <w:w w:val="91"/>
              </w:rPr>
              <w:t>Outstanding</w:t>
            </w:r>
          </w:p>
        </w:tc>
        <w:tc>
          <w:tcPr>
            <w:tcW w:w="120" w:type="dxa"/>
            <w:vAlign w:val="bottom"/>
          </w:tcPr>
          <w:p>
            <w:pPr>
              <w:spacing w:after="0"/>
              <w:rPr>
                <w:sz w:val="11"/>
                <w:szCs w:val="11"/>
                <w:color w:val="auto"/>
              </w:rPr>
            </w:pPr>
          </w:p>
        </w:tc>
        <w:tc>
          <w:tcPr>
            <w:tcW w:w="1660" w:type="dxa"/>
            <w:vAlign w:val="bottom"/>
            <w:gridSpan w:val="2"/>
          </w:tcPr>
          <w:p>
            <w:pPr>
              <w:jc w:val="center"/>
              <w:ind w:right="120"/>
              <w:spacing w:after="0" w:line="133" w:lineRule="exact"/>
              <w:rPr>
                <w:sz w:val="20"/>
                <w:szCs w:val="20"/>
                <w:color w:val="auto"/>
              </w:rPr>
            </w:pPr>
            <w:r>
              <w:rPr>
                <w:rFonts w:ascii="Arial" w:cs="Arial" w:eastAsia="Arial" w:hAnsi="Arial"/>
                <w:sz w:val="13"/>
                <w:szCs w:val="13"/>
                <w:color w:val="auto"/>
                <w:w w:val="90"/>
              </w:rPr>
              <w:t>(Excluding Securities</w:t>
            </w:r>
          </w:p>
        </w:tc>
      </w:tr>
      <w:tr>
        <w:trPr>
          <w:trHeight w:val="149"/>
        </w:trPr>
        <w:tc>
          <w:tcPr>
            <w:tcW w:w="5200" w:type="dxa"/>
            <w:vAlign w:val="bottom"/>
            <w:gridSpan w:val="2"/>
          </w:tcPr>
          <w:p>
            <w:pPr>
              <w:spacing w:after="0"/>
              <w:rPr>
                <w:sz w:val="20"/>
                <w:szCs w:val="20"/>
                <w:color w:val="auto"/>
              </w:rPr>
            </w:pPr>
            <w:r>
              <w:rPr>
                <w:rFonts w:ascii="Arial" w:cs="Arial" w:eastAsia="Arial" w:hAnsi="Arial"/>
                <w:sz w:val="13"/>
                <w:szCs w:val="13"/>
                <w:color w:val="auto"/>
              </w:rPr>
              <w:t>Plan Category</w:t>
            </w:r>
          </w:p>
        </w:tc>
        <w:tc>
          <w:tcPr>
            <w:tcW w:w="1500" w:type="dxa"/>
            <w:vAlign w:val="bottom"/>
          </w:tcPr>
          <w:p>
            <w:pPr>
              <w:jc w:val="center"/>
              <w:spacing w:after="0"/>
              <w:rPr>
                <w:sz w:val="20"/>
                <w:szCs w:val="20"/>
                <w:color w:val="auto"/>
              </w:rPr>
            </w:pPr>
            <w:r>
              <w:rPr>
                <w:rFonts w:ascii="Arial" w:cs="Arial" w:eastAsia="Arial" w:hAnsi="Arial"/>
                <w:sz w:val="13"/>
                <w:szCs w:val="13"/>
                <w:color w:val="auto"/>
                <w:w w:val="91"/>
              </w:rPr>
              <w:t>Stock Units</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3"/>
                <w:szCs w:val="13"/>
                <w:color w:val="auto"/>
                <w:w w:val="89"/>
              </w:rPr>
              <w:t>Options</w:t>
            </w:r>
          </w:p>
        </w:tc>
        <w:tc>
          <w:tcPr>
            <w:tcW w:w="120" w:type="dxa"/>
            <w:vAlign w:val="bottom"/>
          </w:tcPr>
          <w:p>
            <w:pPr>
              <w:spacing w:after="0"/>
              <w:rPr>
                <w:sz w:val="12"/>
                <w:szCs w:val="12"/>
                <w:color w:val="auto"/>
              </w:rPr>
            </w:pPr>
          </w:p>
        </w:tc>
        <w:tc>
          <w:tcPr>
            <w:tcW w:w="1660" w:type="dxa"/>
            <w:vAlign w:val="bottom"/>
            <w:gridSpan w:val="2"/>
          </w:tcPr>
          <w:p>
            <w:pPr>
              <w:jc w:val="center"/>
              <w:ind w:right="120"/>
              <w:spacing w:after="0"/>
              <w:rPr>
                <w:sz w:val="20"/>
                <w:szCs w:val="20"/>
                <w:color w:val="auto"/>
              </w:rPr>
            </w:pPr>
            <w:r>
              <w:rPr>
                <w:rFonts w:ascii="Arial" w:cs="Arial" w:eastAsia="Arial" w:hAnsi="Arial"/>
                <w:sz w:val="13"/>
                <w:szCs w:val="13"/>
                <w:color w:val="auto"/>
                <w:w w:val="92"/>
              </w:rPr>
              <w:t>Reflected in Column (a))</w:t>
            </w:r>
          </w:p>
        </w:tc>
      </w:tr>
      <w:tr>
        <w:trPr>
          <w:trHeight w:val="137"/>
        </w:trPr>
        <w:tc>
          <w:tcPr>
            <w:tcW w:w="5080" w:type="dxa"/>
            <w:vAlign w:val="bottom"/>
            <w:tcBorders>
              <w:top w:val="single" w:sz="8" w:color="auto"/>
              <w:bottom w:val="single" w:sz="8" w:color="CFF0FC"/>
            </w:tcBorders>
          </w:tcPr>
          <w:p>
            <w:pPr>
              <w:spacing w:after="0"/>
              <w:rPr>
                <w:sz w:val="11"/>
                <w:szCs w:val="11"/>
                <w:color w:val="auto"/>
              </w:rPr>
            </w:pPr>
          </w:p>
        </w:tc>
        <w:tc>
          <w:tcPr>
            <w:tcW w:w="120" w:type="dxa"/>
            <w:vAlign w:val="bottom"/>
            <w:tcBorders>
              <w:bottom w:val="single" w:sz="8" w:color="CFF0FC"/>
            </w:tcBorders>
          </w:tcPr>
          <w:p>
            <w:pPr>
              <w:spacing w:after="0"/>
              <w:rPr>
                <w:sz w:val="11"/>
                <w:szCs w:val="11"/>
                <w:color w:val="auto"/>
              </w:rPr>
            </w:pPr>
          </w:p>
        </w:tc>
        <w:tc>
          <w:tcPr>
            <w:tcW w:w="1500" w:type="dxa"/>
            <w:vAlign w:val="bottom"/>
            <w:tcBorders>
              <w:top w:val="single" w:sz="8" w:color="auto"/>
              <w:bottom w:val="single" w:sz="8" w:color="auto"/>
            </w:tcBorders>
          </w:tcPr>
          <w:p>
            <w:pPr>
              <w:jc w:val="center"/>
              <w:spacing w:after="0" w:line="138" w:lineRule="exact"/>
              <w:rPr>
                <w:sz w:val="20"/>
                <w:szCs w:val="20"/>
                <w:color w:val="auto"/>
              </w:rPr>
            </w:pPr>
            <w:r>
              <w:rPr>
                <w:rFonts w:ascii="Arial" w:cs="Arial" w:eastAsia="Arial" w:hAnsi="Arial"/>
                <w:sz w:val="13"/>
                <w:szCs w:val="13"/>
                <w:color w:val="auto"/>
                <w:w w:val="87"/>
              </w:rPr>
              <w:t>(a)</w:t>
            </w:r>
          </w:p>
        </w:tc>
        <w:tc>
          <w:tcPr>
            <w:tcW w:w="220" w:type="dxa"/>
            <w:vAlign w:val="bottom"/>
            <w:tcBorders>
              <w:bottom w:val="single" w:sz="8" w:color="CFF0FC"/>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1300" w:type="dxa"/>
            <w:vAlign w:val="bottom"/>
            <w:tcBorders>
              <w:top w:val="single" w:sz="8" w:color="auto"/>
              <w:bottom w:val="single" w:sz="8" w:color="auto"/>
            </w:tcBorders>
          </w:tcPr>
          <w:p>
            <w:pPr>
              <w:jc w:val="center"/>
              <w:ind w:right="153"/>
              <w:spacing w:after="0" w:line="138" w:lineRule="exact"/>
              <w:rPr>
                <w:sz w:val="20"/>
                <w:szCs w:val="20"/>
                <w:color w:val="auto"/>
              </w:rPr>
            </w:pPr>
            <w:r>
              <w:rPr>
                <w:rFonts w:ascii="Arial" w:cs="Arial" w:eastAsia="Arial" w:hAnsi="Arial"/>
                <w:sz w:val="13"/>
                <w:szCs w:val="13"/>
                <w:color w:val="auto"/>
              </w:rPr>
              <w:t>(b)</w:t>
            </w:r>
          </w:p>
        </w:tc>
        <w:tc>
          <w:tcPr>
            <w:tcW w:w="100" w:type="dxa"/>
            <w:vAlign w:val="bottom"/>
            <w:tcBorders>
              <w:bottom w:val="single" w:sz="8" w:color="CFF0FC"/>
            </w:tcBorders>
          </w:tcPr>
          <w:p>
            <w:pPr>
              <w:spacing w:after="0"/>
              <w:rPr>
                <w:sz w:val="11"/>
                <w:szCs w:val="11"/>
                <w:color w:val="auto"/>
              </w:rPr>
            </w:pPr>
          </w:p>
        </w:tc>
        <w:tc>
          <w:tcPr>
            <w:tcW w:w="120" w:type="dxa"/>
            <w:vAlign w:val="bottom"/>
          </w:tcPr>
          <w:p>
            <w:pPr>
              <w:spacing w:after="0"/>
              <w:rPr>
                <w:sz w:val="11"/>
                <w:szCs w:val="11"/>
                <w:color w:val="auto"/>
              </w:rPr>
            </w:pPr>
          </w:p>
        </w:tc>
        <w:tc>
          <w:tcPr>
            <w:tcW w:w="1560" w:type="dxa"/>
            <w:vAlign w:val="bottom"/>
            <w:tcBorders>
              <w:top w:val="single" w:sz="8" w:color="auto"/>
              <w:bottom w:val="single" w:sz="8" w:color="auto"/>
            </w:tcBorders>
          </w:tcPr>
          <w:p>
            <w:pPr>
              <w:jc w:val="center"/>
              <w:spacing w:after="0" w:line="138" w:lineRule="exact"/>
              <w:rPr>
                <w:sz w:val="20"/>
                <w:szCs w:val="20"/>
                <w:color w:val="auto"/>
              </w:rPr>
            </w:pPr>
            <w:r>
              <w:rPr>
                <w:rFonts w:ascii="Arial" w:cs="Arial" w:eastAsia="Arial" w:hAnsi="Arial"/>
                <w:sz w:val="13"/>
                <w:szCs w:val="13"/>
                <w:color w:val="auto"/>
                <w:w w:val="92"/>
              </w:rPr>
              <w:t>(c)</w:t>
            </w:r>
          </w:p>
        </w:tc>
        <w:tc>
          <w:tcPr>
            <w:tcW w:w="100" w:type="dxa"/>
            <w:vAlign w:val="bottom"/>
            <w:tcBorders>
              <w:bottom w:val="single" w:sz="8" w:color="CFF0FC"/>
            </w:tcBorders>
          </w:tcPr>
          <w:p>
            <w:pPr>
              <w:spacing w:after="0"/>
              <w:rPr>
                <w:sz w:val="11"/>
                <w:szCs w:val="11"/>
                <w:color w:val="auto"/>
              </w:rPr>
            </w:pPr>
          </w:p>
        </w:tc>
      </w:tr>
      <w:tr>
        <w:trPr>
          <w:trHeight w:val="198"/>
        </w:trPr>
        <w:tc>
          <w:tcPr>
            <w:tcW w:w="52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 xml:space="preserve">Equity compensation plans not approved by security holders </w:t>
            </w:r>
            <w:r>
              <w:rPr>
                <w:rFonts w:ascii="Arial" w:cs="Arial" w:eastAsia="Arial" w:hAnsi="Arial"/>
                <w:sz w:val="13"/>
                <w:szCs w:val="13"/>
                <w:color w:val="auto"/>
              </w:rPr>
              <w:t>(1)</w:t>
            </w: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5,266,478</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jc w:val="right"/>
              <w:ind w:right="70"/>
              <w:spacing w:after="0"/>
              <w:rPr>
                <w:sz w:val="20"/>
                <w:szCs w:val="20"/>
                <w:color w:val="auto"/>
              </w:rPr>
            </w:pPr>
            <w:r>
              <w:rPr>
                <w:rFonts w:ascii="Arial" w:cs="Arial" w:eastAsia="Arial" w:hAnsi="Arial"/>
                <w:sz w:val="10"/>
                <w:szCs w:val="10"/>
                <w:color w:val="auto"/>
                <w:w w:val="71"/>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14.30</w:t>
            </w:r>
          </w:p>
        </w:tc>
        <w:tc>
          <w:tcPr>
            <w:tcW w:w="100" w:type="dxa"/>
            <w:vAlign w:val="bottom"/>
            <w:shd w:val="clear" w:color="auto" w:fill="CFF0FC"/>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shd w:val="clear" w:color="auto" w:fill="CFF0FC"/>
          </w:tcPr>
          <w:p>
            <w:pPr>
              <w:ind w:left="1380"/>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CFF0FC"/>
          </w:tcPr>
          <w:p>
            <w:pPr>
              <w:spacing w:after="0"/>
              <w:rPr>
                <w:sz w:val="17"/>
                <w:szCs w:val="17"/>
                <w:color w:val="auto"/>
              </w:rPr>
            </w:pPr>
          </w:p>
        </w:tc>
      </w:tr>
    </w:tbl>
    <w:p>
      <w:pPr>
        <w:spacing w:after="0" w:line="205" w:lineRule="exact"/>
        <w:rPr>
          <w:sz w:val="20"/>
          <w:szCs w:val="20"/>
          <w:color w:val="auto"/>
        </w:rPr>
      </w:pPr>
    </w:p>
    <w:p>
      <w:pPr>
        <w:jc w:val="both"/>
        <w:ind w:left="503" w:right="100" w:hanging="503"/>
        <w:spacing w:after="0" w:line="292" w:lineRule="auto"/>
        <w:tabs>
          <w:tab w:leader="none" w:pos="503" w:val="left"/>
        </w:tabs>
        <w:numPr>
          <w:ilvl w:val="0"/>
          <w:numId w:val="45"/>
        </w:numPr>
        <w:rPr>
          <w:rFonts w:ascii="Arial" w:cs="Arial" w:eastAsia="Arial" w:hAnsi="Arial"/>
          <w:sz w:val="13"/>
          <w:szCs w:val="13"/>
          <w:color w:val="auto"/>
        </w:rPr>
      </w:pPr>
      <w:r>
        <w:rPr>
          <w:rFonts w:ascii="Arial" w:cs="Arial" w:eastAsia="Arial" w:hAnsi="Arial"/>
          <w:sz w:val="15"/>
          <w:szCs w:val="15"/>
          <w:color w:val="auto"/>
        </w:rPr>
        <w:t>The Company's equity compensation plan not approved by security holders is the 2013 Omnibus Incentive Plan which was approved by the Bankruptcy Court pursuant to the Plan of Reorganization, the material terms of which were summarized in the Company’s Current Report on Form 8-K filed on September 10, 2013, and a copy of which was filed with the Quarterly Report on Form 10-Q for the period ending September 30, 2013 and is incorporated herein by reference.</w:t>
      </w:r>
    </w:p>
    <w:p>
      <w:pPr>
        <w:spacing w:after="0" w:line="237" w:lineRule="exact"/>
        <w:rPr>
          <w:sz w:val="20"/>
          <w:szCs w:val="20"/>
          <w:color w:val="auto"/>
        </w:rPr>
      </w:pPr>
    </w:p>
    <w:p>
      <w:pPr>
        <w:ind w:left="3"/>
        <w:spacing w:after="0"/>
        <w:tabs>
          <w:tab w:leader="none" w:pos="1003" w:val="left"/>
        </w:tabs>
        <w:rPr>
          <w:sz w:val="20"/>
          <w:szCs w:val="20"/>
          <w:color w:val="auto"/>
        </w:rPr>
      </w:pPr>
      <w:r>
        <w:rPr>
          <w:rFonts w:ascii="Arial" w:cs="Arial" w:eastAsia="Arial" w:hAnsi="Arial"/>
          <w:sz w:val="16"/>
          <w:szCs w:val="16"/>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110" w:lineRule="exact"/>
        <w:rPr>
          <w:sz w:val="20"/>
          <w:szCs w:val="20"/>
          <w:color w:val="auto"/>
        </w:rPr>
      </w:pPr>
    </w:p>
    <w:p>
      <w:pPr>
        <w:ind w:left="3" w:right="420"/>
        <w:spacing w:after="0" w:line="280" w:lineRule="auto"/>
        <w:rPr>
          <w:sz w:val="20"/>
          <w:szCs w:val="20"/>
          <w:color w:val="auto"/>
        </w:rPr>
      </w:pPr>
      <w:r>
        <w:rPr>
          <w:rFonts w:ascii="Arial" w:cs="Arial" w:eastAsia="Arial" w:hAnsi="Arial"/>
          <w:sz w:val="16"/>
          <w:szCs w:val="16"/>
          <w:color w:val="auto"/>
        </w:rPr>
        <w:t>The information required by Item 13 is incorporated by reference from the information under the captions "Certain Relationships and Related Transactions" and "Board of Directors and Corporate Governance - Director and Nominee Independence" in the Proxy Statement.</w:t>
      </w:r>
    </w:p>
    <w:p>
      <w:pPr>
        <w:spacing w:after="0" w:line="244" w:lineRule="exact"/>
        <w:rPr>
          <w:sz w:val="20"/>
          <w:szCs w:val="20"/>
          <w:color w:val="auto"/>
        </w:rPr>
      </w:pPr>
    </w:p>
    <w:p>
      <w:pPr>
        <w:ind w:left="3"/>
        <w:spacing w:after="0"/>
        <w:tabs>
          <w:tab w:leader="none" w:pos="1003" w:val="left"/>
        </w:tabs>
        <w:rPr>
          <w:sz w:val="20"/>
          <w:szCs w:val="20"/>
          <w:color w:val="auto"/>
        </w:rPr>
      </w:pPr>
      <w:r>
        <w:rPr>
          <w:rFonts w:ascii="Arial" w:cs="Arial" w:eastAsia="Arial" w:hAnsi="Arial"/>
          <w:sz w:val="16"/>
          <w:szCs w:val="16"/>
          <w:b w:val="1"/>
          <w:bCs w:val="1"/>
          <w:color w:val="auto"/>
        </w:rPr>
        <w:t>ITEM 14.</w:t>
      </w:r>
      <w:r>
        <w:rPr>
          <w:sz w:val="20"/>
          <w:szCs w:val="20"/>
          <w:color w:val="auto"/>
        </w:rPr>
        <w:tab/>
      </w:r>
      <w:r>
        <w:rPr>
          <w:rFonts w:ascii="Arial" w:cs="Arial" w:eastAsia="Arial" w:hAnsi="Arial"/>
          <w:sz w:val="16"/>
          <w:szCs w:val="16"/>
          <w:b w:val="1"/>
          <w:bCs w:val="1"/>
          <w:color w:val="auto"/>
        </w:rPr>
        <w:t>PRINCIPAL ACCOUNTING FEES AND SERVICES</w:t>
      </w:r>
    </w:p>
    <w:p>
      <w:pPr>
        <w:spacing w:after="0" w:line="110" w:lineRule="exact"/>
        <w:rPr>
          <w:sz w:val="20"/>
          <w:szCs w:val="20"/>
          <w:color w:val="auto"/>
        </w:rPr>
      </w:pPr>
    </w:p>
    <w:p>
      <w:pPr>
        <w:ind w:left="3"/>
        <w:spacing w:after="0"/>
        <w:rPr>
          <w:sz w:val="20"/>
          <w:szCs w:val="20"/>
          <w:color w:val="auto"/>
        </w:rPr>
      </w:pPr>
      <w:r>
        <w:rPr>
          <w:rFonts w:ascii="Arial" w:cs="Arial" w:eastAsia="Arial" w:hAnsi="Arial"/>
          <w:sz w:val="15"/>
          <w:szCs w:val="15"/>
          <w:color w:val="auto"/>
        </w:rPr>
        <w:t>The information required by Item 14 is incorporated by reference from the information under the caption “Principal Accounting Fees and Services” in the Proxy Statement.</w:t>
      </w:r>
    </w:p>
    <w:p>
      <w:pPr>
        <w:spacing w:after="0" w:line="200" w:lineRule="exact"/>
        <w:rPr>
          <w:sz w:val="20"/>
          <w:szCs w:val="20"/>
          <w:color w:val="auto"/>
        </w:rPr>
      </w:pPr>
    </w:p>
    <w:p>
      <w:pPr>
        <w:spacing w:after="0" w:line="377"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62865</wp:posOffset>
            </wp:positionV>
            <wp:extent cx="7301865" cy="406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301865" cy="40640"/>
                    </a:xfrm>
                    <a:prstGeom prst="rect">
                      <a:avLst/>
                    </a:prstGeom>
                    <a:noFill/>
                  </pic:spPr>
                </pic:pic>
              </a:graphicData>
            </a:graphic>
          </wp:anchor>
        </w:drawing>
      </w:r>
    </w:p>
    <w:p>
      <w:pPr>
        <w:sectPr>
          <w:pgSz w:w="11900" w:h="16838" w:orient="portrait"/>
          <w:cols w:equalWidth="0" w:num="1">
            <w:col w:w="11423"/>
          </w:cols>
          <w:pgMar w:left="237" w:top="341" w:right="239" w:bottom="1440" w:gutter="0" w:footer="0" w:header="0"/>
        </w:sectPr>
      </w:pPr>
    </w:p>
    <w:bookmarkStart w:id="105" w:name="page106"/>
    <w:bookmarkEnd w:id="105"/>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PART IV</w:t>
            </w: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7"/>
        </w:trPr>
        <w:tc>
          <w:tcPr>
            <w:tcW w:w="6140" w:type="dxa"/>
            <w:vAlign w:val="bottom"/>
            <w:gridSpan w:val="13"/>
          </w:tcPr>
          <w:p>
            <w:pPr>
              <w:spacing w:after="0"/>
              <w:rPr>
                <w:sz w:val="20"/>
                <w:szCs w:val="20"/>
                <w:color w:val="auto"/>
              </w:rPr>
            </w:pPr>
            <w:r>
              <w:rPr>
                <w:rFonts w:ascii="Arial" w:cs="Arial" w:eastAsia="Arial" w:hAnsi="Arial"/>
                <w:sz w:val="16"/>
                <w:szCs w:val="16"/>
                <w:b w:val="1"/>
                <w:bCs w:val="1"/>
                <w:color w:val="auto"/>
              </w:rPr>
              <w:t>ITEM 15. FINANCIAL STATEMENT SCHEDULES, EXHIBITS</w:t>
            </w: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6"/>
                <w:szCs w:val="16"/>
                <w:color w:val="auto"/>
              </w:rPr>
              <w:t>Page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4360" w:type="dxa"/>
            <w:vAlign w:val="bottom"/>
            <w:gridSpan w:val="11"/>
          </w:tcPr>
          <w:p>
            <w:pPr>
              <w:spacing w:after="0"/>
              <w:rPr>
                <w:sz w:val="20"/>
                <w:szCs w:val="20"/>
                <w:color w:val="auto"/>
              </w:rPr>
            </w:pPr>
            <w:r>
              <w:rPr>
                <w:rFonts w:ascii="Arial" w:cs="Arial" w:eastAsia="Arial" w:hAnsi="Arial"/>
                <w:sz w:val="16"/>
                <w:szCs w:val="16"/>
                <w:color w:val="auto"/>
              </w:rPr>
              <w:t>(a)  1. Consolidated financial statements:</w:t>
            </w: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780" w:type="dxa"/>
            <w:vAlign w:val="bottom"/>
            <w:gridSpan w:val="9"/>
          </w:tcPr>
          <w:p>
            <w:pPr>
              <w:spacing w:after="0" w:line="181" w:lineRule="exact"/>
              <w:rPr>
                <w:rFonts w:ascii="Arial" w:cs="Arial" w:eastAsia="Arial" w:hAnsi="Arial"/>
                <w:sz w:val="16"/>
                <w:szCs w:val="16"/>
                <w:color w:val="0000EE"/>
                <w:w w:val="95"/>
              </w:rPr>
            </w:pPr>
            <w:hyperlink w:anchor="page52">
              <w:r>
                <w:rPr>
                  <w:rFonts w:ascii="Arial" w:cs="Arial" w:eastAsia="Arial" w:hAnsi="Arial"/>
                  <w:sz w:val="16"/>
                  <w:szCs w:val="16"/>
                  <w:color w:val="0000EE"/>
                  <w:w w:val="95"/>
                </w:rPr>
                <w:t>Report of independent registered public accounting firm</w:t>
              </w:r>
            </w:hyperlink>
          </w:p>
        </w:tc>
        <w:tc>
          <w:tcPr>
            <w:tcW w:w="1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jc w:val="center"/>
              <w:ind w:right="61"/>
              <w:spacing w:after="0" w:line="181" w:lineRule="exact"/>
              <w:rPr>
                <w:sz w:val="20"/>
                <w:szCs w:val="20"/>
                <w:color w:val="auto"/>
              </w:rPr>
            </w:pPr>
            <w:r>
              <w:rPr>
                <w:rFonts w:ascii="Arial" w:cs="Arial" w:eastAsia="Arial" w:hAnsi="Arial"/>
                <w:sz w:val="16"/>
                <w:szCs w:val="16"/>
                <w:color w:val="auto"/>
                <w:w w:val="89"/>
              </w:rPr>
              <w:t>52</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0" w:type="dxa"/>
            <w:vAlign w:val="bottom"/>
            <w:tcBorders>
              <w:top w:val="single" w:sz="8" w:color="0000EE"/>
              <w:bottom w:val="single" w:sz="8" w:color="0000EE"/>
            </w:tcBorders>
            <w:gridSpan w:val="2"/>
          </w:tcPr>
          <w:p>
            <w:pPr>
              <w:spacing w:after="0" w:line="174" w:lineRule="exact"/>
              <w:rPr>
                <w:rFonts w:ascii="Arial" w:cs="Arial" w:eastAsia="Arial" w:hAnsi="Arial"/>
                <w:sz w:val="16"/>
                <w:szCs w:val="16"/>
                <w:color w:val="0000EE"/>
                <w:w w:val="89"/>
              </w:rPr>
            </w:pPr>
            <w:hyperlink w:anchor="page53">
              <w:r>
                <w:rPr>
                  <w:rFonts w:ascii="Arial" w:cs="Arial" w:eastAsia="Arial" w:hAnsi="Arial"/>
                  <w:sz w:val="16"/>
                  <w:szCs w:val="16"/>
                  <w:color w:val="0000EE"/>
                  <w:w w:val="89"/>
                </w:rPr>
                <w:t>Consolidated statement of operations</w:t>
              </w:r>
            </w:hyperlink>
          </w:p>
        </w:tc>
        <w:tc>
          <w:tcPr>
            <w:tcW w:w="1220" w:type="dxa"/>
            <w:vAlign w:val="bottom"/>
            <w:tcBorders>
              <w:top w:val="single" w:sz="8" w:color="0000EE"/>
            </w:tcBorders>
            <w:gridSpan w:val="6"/>
          </w:tcPr>
          <w:p>
            <w:pPr>
              <w:spacing w:after="0"/>
              <w:rPr>
                <w:sz w:val="15"/>
                <w:szCs w:val="15"/>
                <w:color w:val="auto"/>
              </w:rPr>
            </w:pPr>
          </w:p>
        </w:tc>
        <w:tc>
          <w:tcPr>
            <w:tcW w:w="1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jc w:val="center"/>
              <w:ind w:right="61"/>
              <w:spacing w:after="0" w:line="174" w:lineRule="exact"/>
              <w:rPr>
                <w:sz w:val="20"/>
                <w:szCs w:val="20"/>
                <w:color w:val="auto"/>
              </w:rPr>
            </w:pPr>
            <w:r>
              <w:rPr>
                <w:rFonts w:ascii="Arial" w:cs="Arial" w:eastAsia="Arial" w:hAnsi="Arial"/>
                <w:sz w:val="16"/>
                <w:szCs w:val="16"/>
                <w:color w:val="auto"/>
                <w:w w:val="89"/>
              </w:rPr>
              <w:t>53</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780" w:type="dxa"/>
            <w:vAlign w:val="bottom"/>
            <w:gridSpan w:val="9"/>
          </w:tcPr>
          <w:p>
            <w:pPr>
              <w:spacing w:after="0" w:line="174" w:lineRule="exact"/>
              <w:rPr>
                <w:rFonts w:ascii="Arial" w:cs="Arial" w:eastAsia="Arial" w:hAnsi="Arial"/>
                <w:sz w:val="16"/>
                <w:szCs w:val="16"/>
                <w:color w:val="0000EE"/>
              </w:rPr>
            </w:pPr>
            <w:hyperlink w:anchor="page54">
              <w:r>
                <w:rPr>
                  <w:rFonts w:ascii="Arial" w:cs="Arial" w:eastAsia="Arial" w:hAnsi="Arial"/>
                  <w:sz w:val="16"/>
                  <w:szCs w:val="16"/>
                  <w:color w:val="0000EE"/>
                </w:rPr>
                <w:t>Consolidated statement of comprehensive loss</w:t>
              </w:r>
            </w:hyperlink>
          </w:p>
        </w:tc>
        <w:tc>
          <w:tcPr>
            <w:tcW w:w="1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jc w:val="center"/>
              <w:ind w:right="61"/>
              <w:spacing w:after="0" w:line="174" w:lineRule="exact"/>
              <w:rPr>
                <w:sz w:val="20"/>
                <w:szCs w:val="20"/>
                <w:color w:val="auto"/>
              </w:rPr>
            </w:pPr>
            <w:r>
              <w:rPr>
                <w:rFonts w:ascii="Arial" w:cs="Arial" w:eastAsia="Arial" w:hAnsi="Arial"/>
                <w:sz w:val="16"/>
                <w:szCs w:val="16"/>
                <w:color w:val="auto"/>
                <w:w w:val="89"/>
              </w:rPr>
              <w:t>54</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980" w:type="dxa"/>
            <w:vAlign w:val="bottom"/>
            <w:tcBorders>
              <w:top w:val="single" w:sz="8" w:color="0000EE"/>
            </w:tcBorders>
            <w:gridSpan w:val="7"/>
          </w:tcPr>
          <w:p>
            <w:pPr>
              <w:spacing w:after="0" w:line="174" w:lineRule="exact"/>
              <w:rPr>
                <w:rFonts w:ascii="Arial" w:cs="Arial" w:eastAsia="Arial" w:hAnsi="Arial"/>
                <w:sz w:val="16"/>
                <w:szCs w:val="16"/>
                <w:color w:val="0000EE"/>
                <w:w w:val="95"/>
              </w:rPr>
            </w:pPr>
            <w:hyperlink w:anchor="page55">
              <w:r>
                <w:rPr>
                  <w:rFonts w:ascii="Arial" w:cs="Arial" w:eastAsia="Arial" w:hAnsi="Arial"/>
                  <w:sz w:val="16"/>
                  <w:szCs w:val="16"/>
                  <w:color w:val="0000EE"/>
                  <w:w w:val="95"/>
                </w:rPr>
                <w:t>Consolidated statement of financial position</w:t>
              </w:r>
            </w:hyperlink>
          </w:p>
        </w:tc>
        <w:tc>
          <w:tcPr>
            <w:tcW w:w="800" w:type="dxa"/>
            <w:vAlign w:val="bottom"/>
            <w:gridSpan w:val="2"/>
          </w:tcPr>
          <w:p>
            <w:pPr>
              <w:spacing w:after="0"/>
              <w:rPr>
                <w:sz w:val="15"/>
                <w:szCs w:val="15"/>
                <w:color w:val="auto"/>
              </w:rPr>
            </w:pPr>
          </w:p>
        </w:tc>
        <w:tc>
          <w:tcPr>
            <w:tcW w:w="1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jc w:val="center"/>
              <w:ind w:right="61"/>
              <w:spacing w:after="0" w:line="174" w:lineRule="exact"/>
              <w:rPr>
                <w:sz w:val="20"/>
                <w:szCs w:val="20"/>
                <w:color w:val="auto"/>
              </w:rPr>
            </w:pPr>
            <w:r>
              <w:rPr>
                <w:rFonts w:ascii="Arial" w:cs="Arial" w:eastAsia="Arial" w:hAnsi="Arial"/>
                <w:sz w:val="16"/>
                <w:szCs w:val="16"/>
                <w:color w:val="auto"/>
                <w:w w:val="89"/>
              </w:rPr>
              <w:t>55</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40" w:type="dxa"/>
            <w:vAlign w:val="bottom"/>
            <w:tcBorders>
              <w:top w:val="single" w:sz="8" w:color="0000EE"/>
            </w:tcBorders>
            <w:gridSpan w:val="5"/>
          </w:tcPr>
          <w:p>
            <w:pPr>
              <w:spacing w:after="0" w:line="174" w:lineRule="exact"/>
              <w:rPr>
                <w:rFonts w:ascii="Arial" w:cs="Arial" w:eastAsia="Arial" w:hAnsi="Arial"/>
                <w:sz w:val="16"/>
                <w:szCs w:val="16"/>
                <w:color w:val="0000EE"/>
                <w:w w:val="97"/>
              </w:rPr>
            </w:pPr>
            <w:hyperlink w:anchor="page56">
              <w:r>
                <w:rPr>
                  <w:rFonts w:ascii="Arial" w:cs="Arial" w:eastAsia="Arial" w:hAnsi="Arial"/>
                  <w:sz w:val="16"/>
                  <w:szCs w:val="16"/>
                  <w:color w:val="0000EE"/>
                  <w:w w:val="97"/>
                </w:rPr>
                <w:t>Consolidated statement of equity (deficit)</w:t>
              </w:r>
            </w:hyperlink>
          </w:p>
        </w:tc>
        <w:tc>
          <w:tcPr>
            <w:tcW w:w="940" w:type="dxa"/>
            <w:vAlign w:val="bottom"/>
            <w:gridSpan w:val="4"/>
          </w:tcPr>
          <w:p>
            <w:pPr>
              <w:spacing w:after="0"/>
              <w:rPr>
                <w:sz w:val="15"/>
                <w:szCs w:val="15"/>
                <w:color w:val="auto"/>
              </w:rPr>
            </w:pPr>
          </w:p>
        </w:tc>
        <w:tc>
          <w:tcPr>
            <w:tcW w:w="1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jc w:val="center"/>
              <w:ind w:right="61"/>
              <w:spacing w:after="0" w:line="174" w:lineRule="exact"/>
              <w:rPr>
                <w:sz w:val="20"/>
                <w:szCs w:val="20"/>
                <w:color w:val="auto"/>
              </w:rPr>
            </w:pPr>
            <w:r>
              <w:rPr>
                <w:rFonts w:ascii="Arial" w:cs="Arial" w:eastAsia="Arial" w:hAnsi="Arial"/>
                <w:sz w:val="16"/>
                <w:szCs w:val="16"/>
                <w:color w:val="auto"/>
                <w:w w:val="89"/>
              </w:rPr>
              <w:t>56</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80" w:type="dxa"/>
            <w:vAlign w:val="bottom"/>
            <w:tcBorders>
              <w:top w:val="single" w:sz="8" w:color="0000EE"/>
            </w:tcBorders>
            <w:gridSpan w:val="4"/>
          </w:tcPr>
          <w:p>
            <w:pPr>
              <w:spacing w:after="0" w:line="174" w:lineRule="exact"/>
              <w:rPr>
                <w:rFonts w:ascii="Arial" w:cs="Arial" w:eastAsia="Arial" w:hAnsi="Arial"/>
                <w:sz w:val="16"/>
                <w:szCs w:val="16"/>
                <w:color w:val="0000EE"/>
              </w:rPr>
            </w:pPr>
            <w:hyperlink w:anchor="page58">
              <w:r>
                <w:rPr>
                  <w:rFonts w:ascii="Arial" w:cs="Arial" w:eastAsia="Arial" w:hAnsi="Arial"/>
                  <w:sz w:val="16"/>
                  <w:szCs w:val="16"/>
                  <w:color w:val="0000EE"/>
                </w:rPr>
                <w:t>Consolidated statement of cash flows</w:t>
              </w:r>
            </w:hyperlink>
          </w:p>
        </w:tc>
        <w:tc>
          <w:tcPr>
            <w:tcW w:w="1100" w:type="dxa"/>
            <w:vAlign w:val="bottom"/>
            <w:gridSpan w:val="5"/>
          </w:tcPr>
          <w:p>
            <w:pPr>
              <w:spacing w:after="0"/>
              <w:rPr>
                <w:sz w:val="15"/>
                <w:szCs w:val="15"/>
                <w:color w:val="auto"/>
              </w:rPr>
            </w:pPr>
          </w:p>
        </w:tc>
        <w:tc>
          <w:tcPr>
            <w:tcW w:w="1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jc w:val="center"/>
              <w:ind w:right="61"/>
              <w:spacing w:after="0" w:line="174" w:lineRule="exact"/>
              <w:rPr>
                <w:sz w:val="20"/>
                <w:szCs w:val="20"/>
                <w:color w:val="auto"/>
              </w:rPr>
            </w:pPr>
            <w:r>
              <w:rPr>
                <w:rFonts w:ascii="Arial" w:cs="Arial" w:eastAsia="Arial" w:hAnsi="Arial"/>
                <w:sz w:val="16"/>
                <w:szCs w:val="16"/>
                <w:color w:val="auto"/>
                <w:w w:val="89"/>
              </w:rPr>
              <w:t>58</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0" w:type="dxa"/>
            <w:vAlign w:val="bottom"/>
            <w:tcBorders>
              <w:top w:val="single" w:sz="8" w:color="0000EE"/>
            </w:tcBorders>
            <w:gridSpan w:val="2"/>
          </w:tcPr>
          <w:p>
            <w:pPr>
              <w:spacing w:after="0" w:line="174" w:lineRule="exact"/>
              <w:rPr>
                <w:rFonts w:ascii="Arial" w:cs="Arial" w:eastAsia="Arial" w:hAnsi="Arial"/>
                <w:sz w:val="16"/>
                <w:szCs w:val="16"/>
                <w:color w:val="0000EE"/>
              </w:rPr>
            </w:pPr>
            <w:hyperlink w:anchor="page60">
              <w:r>
                <w:rPr>
                  <w:rFonts w:ascii="Arial" w:cs="Arial" w:eastAsia="Arial" w:hAnsi="Arial"/>
                  <w:sz w:val="16"/>
                  <w:szCs w:val="16"/>
                  <w:color w:val="0000EE"/>
                </w:rPr>
                <w:t>Notes to financial statements</w:t>
              </w:r>
            </w:hyperlink>
          </w:p>
        </w:tc>
        <w:tc>
          <w:tcPr>
            <w:tcW w:w="1380" w:type="dxa"/>
            <w:vAlign w:val="bottom"/>
            <w:gridSpan w:val="7"/>
          </w:tcPr>
          <w:p>
            <w:pPr>
              <w:spacing w:after="0"/>
              <w:rPr>
                <w:sz w:val="15"/>
                <w:szCs w:val="15"/>
                <w:color w:val="auto"/>
              </w:rPr>
            </w:pPr>
          </w:p>
        </w:tc>
        <w:tc>
          <w:tcPr>
            <w:tcW w:w="1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jc w:val="center"/>
              <w:ind w:right="61"/>
              <w:spacing w:after="0" w:line="174" w:lineRule="exact"/>
              <w:rPr>
                <w:sz w:val="20"/>
                <w:szCs w:val="20"/>
                <w:color w:val="auto"/>
              </w:rPr>
            </w:pPr>
            <w:r>
              <w:rPr>
                <w:rFonts w:ascii="Arial" w:cs="Arial" w:eastAsia="Arial" w:hAnsi="Arial"/>
                <w:sz w:val="16"/>
                <w:szCs w:val="16"/>
                <w:color w:val="auto"/>
                <w:w w:val="89"/>
              </w:rPr>
              <w:t>60</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7"/>
        </w:trPr>
        <w:tc>
          <w:tcPr>
            <w:tcW w:w="20" w:type="dxa"/>
            <w:vAlign w:val="bottom"/>
          </w:tcPr>
          <w:p>
            <w:pPr>
              <w:spacing w:after="0"/>
              <w:rPr>
                <w:sz w:val="24"/>
                <w:szCs w:val="24"/>
                <w:color w:val="auto"/>
              </w:rPr>
            </w:pPr>
          </w:p>
        </w:tc>
        <w:tc>
          <w:tcPr>
            <w:tcW w:w="4340" w:type="dxa"/>
            <w:vAlign w:val="bottom"/>
            <w:gridSpan w:val="10"/>
          </w:tcPr>
          <w:p>
            <w:pPr>
              <w:ind w:left="380"/>
              <w:spacing w:after="0"/>
              <w:rPr>
                <w:sz w:val="20"/>
                <w:szCs w:val="20"/>
                <w:color w:val="auto"/>
              </w:rPr>
            </w:pPr>
            <w:r>
              <w:rPr>
                <w:rFonts w:ascii="Arial" w:cs="Arial" w:eastAsia="Arial" w:hAnsi="Arial"/>
                <w:sz w:val="16"/>
                <w:szCs w:val="16"/>
                <w:color w:val="auto"/>
              </w:rPr>
              <w:t>2. Financial statement schedule:</w:t>
            </w:r>
          </w:p>
        </w:tc>
        <w:tc>
          <w:tcPr>
            <w:tcW w:w="1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40" w:type="dxa"/>
            <w:vAlign w:val="bottom"/>
            <w:tcBorders>
              <w:bottom w:val="single" w:sz="8" w:color="0000EE"/>
            </w:tcBorders>
            <w:gridSpan w:val="3"/>
          </w:tcPr>
          <w:p>
            <w:pPr>
              <w:spacing w:after="0" w:line="181" w:lineRule="exact"/>
              <w:rPr>
                <w:rFonts w:ascii="Arial" w:cs="Arial" w:eastAsia="Arial" w:hAnsi="Arial"/>
                <w:sz w:val="16"/>
                <w:szCs w:val="16"/>
                <w:color w:val="0000EE"/>
                <w:w w:val="92"/>
              </w:rPr>
            </w:pPr>
            <w:hyperlink w:anchor="page106">
              <w:r>
                <w:rPr>
                  <w:rFonts w:ascii="Arial" w:cs="Arial" w:eastAsia="Arial" w:hAnsi="Arial"/>
                  <w:sz w:val="16"/>
                  <w:szCs w:val="16"/>
                  <w:color w:val="0000EE"/>
                  <w:w w:val="92"/>
                </w:rPr>
                <w:t>II - Valuation and qualifying accounts</w:t>
              </w:r>
            </w:hyperlink>
          </w:p>
        </w:tc>
        <w:tc>
          <w:tcPr>
            <w:tcW w:w="1340" w:type="dxa"/>
            <w:vAlign w:val="bottom"/>
            <w:gridSpan w:val="6"/>
          </w:tcPr>
          <w:p>
            <w:pPr>
              <w:spacing w:after="0"/>
              <w:rPr>
                <w:sz w:val="15"/>
                <w:szCs w:val="15"/>
                <w:color w:val="auto"/>
              </w:rPr>
            </w:pPr>
          </w:p>
        </w:tc>
        <w:tc>
          <w:tcPr>
            <w:tcW w:w="1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jc w:val="center"/>
              <w:ind w:right="61"/>
              <w:spacing w:after="0" w:line="181" w:lineRule="exact"/>
              <w:rPr>
                <w:sz w:val="20"/>
                <w:szCs w:val="20"/>
                <w:color w:val="auto"/>
              </w:rPr>
            </w:pPr>
            <w:r>
              <w:rPr>
                <w:rFonts w:ascii="Arial" w:cs="Arial" w:eastAsia="Arial" w:hAnsi="Arial"/>
                <w:sz w:val="16"/>
                <w:szCs w:val="16"/>
                <w:color w:val="auto"/>
                <w:w w:val="89"/>
              </w:rPr>
              <w:t>107</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5"/>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540" w:type="dxa"/>
            <w:vAlign w:val="bottom"/>
            <w:gridSpan w:val="17"/>
          </w:tcPr>
          <w:p>
            <w:pPr>
              <w:spacing w:after="0"/>
              <w:rPr>
                <w:sz w:val="20"/>
                <w:szCs w:val="20"/>
                <w:color w:val="auto"/>
              </w:rPr>
            </w:pPr>
            <w:r>
              <w:rPr>
                <w:rFonts w:ascii="Arial" w:cs="Arial" w:eastAsia="Arial" w:hAnsi="Arial"/>
                <w:sz w:val="16"/>
                <w:szCs w:val="16"/>
                <w:color w:val="auto"/>
                <w:w w:val="94"/>
              </w:rPr>
              <w:t>All other schedules have been omitted because they are not applicable or the information required is shown in the financial statements or notes</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780" w:type="dxa"/>
            <w:vAlign w:val="bottom"/>
            <w:gridSpan w:val="9"/>
          </w:tcPr>
          <w:p>
            <w:pPr>
              <w:spacing w:after="0"/>
              <w:rPr>
                <w:sz w:val="20"/>
                <w:szCs w:val="20"/>
                <w:color w:val="auto"/>
              </w:rPr>
            </w:pPr>
            <w:r>
              <w:rPr>
                <w:rFonts w:ascii="Arial" w:cs="Arial" w:eastAsia="Arial" w:hAnsi="Arial"/>
                <w:sz w:val="16"/>
                <w:szCs w:val="16"/>
                <w:color w:val="auto"/>
              </w:rPr>
              <w:t>thereto.</w:t>
            </w:r>
          </w:p>
        </w:tc>
        <w:tc>
          <w:tcPr>
            <w:tcW w:w="1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1"/>
        </w:trPr>
        <w:tc>
          <w:tcPr>
            <w:tcW w:w="20" w:type="dxa"/>
            <w:vAlign w:val="bottom"/>
          </w:tcPr>
          <w:p>
            <w:pPr>
              <w:spacing w:after="0"/>
              <w:rPr>
                <w:sz w:val="24"/>
                <w:szCs w:val="24"/>
                <w:color w:val="auto"/>
              </w:rPr>
            </w:pPr>
          </w:p>
        </w:tc>
        <w:tc>
          <w:tcPr>
            <w:tcW w:w="4340" w:type="dxa"/>
            <w:vAlign w:val="bottom"/>
            <w:gridSpan w:val="10"/>
          </w:tcPr>
          <w:p>
            <w:pPr>
              <w:ind w:left="380"/>
              <w:spacing w:after="0"/>
              <w:rPr>
                <w:sz w:val="20"/>
                <w:szCs w:val="20"/>
                <w:color w:val="auto"/>
              </w:rPr>
            </w:pPr>
            <w:r>
              <w:rPr>
                <w:rFonts w:ascii="Arial" w:cs="Arial" w:eastAsia="Arial" w:hAnsi="Arial"/>
                <w:sz w:val="16"/>
                <w:szCs w:val="16"/>
                <w:color w:val="auto"/>
              </w:rPr>
              <w:t>3. Supplemental data:</w:t>
            </w:r>
          </w:p>
        </w:tc>
        <w:tc>
          <w:tcPr>
            <w:tcW w:w="1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920" w:type="dxa"/>
            <w:vAlign w:val="bottom"/>
            <w:tcBorders>
              <w:bottom w:val="single" w:sz="8" w:color="0000EE"/>
            </w:tcBorders>
            <w:gridSpan w:val="6"/>
          </w:tcPr>
          <w:p>
            <w:pPr>
              <w:spacing w:after="0" w:line="181" w:lineRule="exact"/>
              <w:rPr>
                <w:rFonts w:ascii="Arial" w:cs="Arial" w:eastAsia="Arial" w:hAnsi="Arial"/>
                <w:sz w:val="16"/>
                <w:szCs w:val="16"/>
                <w:color w:val="0000EE"/>
                <w:w w:val="89"/>
              </w:rPr>
            </w:pPr>
            <w:hyperlink w:anchor="page103">
              <w:r>
                <w:rPr>
                  <w:rFonts w:ascii="Arial" w:cs="Arial" w:eastAsia="Arial" w:hAnsi="Arial"/>
                  <w:sz w:val="16"/>
                  <w:szCs w:val="16"/>
                  <w:color w:val="0000EE"/>
                  <w:w w:val="89"/>
                </w:rPr>
                <w:t>Quarterly sales and earnings data (unaudited)</w:t>
              </w:r>
            </w:hyperlink>
          </w:p>
        </w:tc>
        <w:tc>
          <w:tcPr>
            <w:tcW w:w="860" w:type="dxa"/>
            <w:vAlign w:val="bottom"/>
            <w:gridSpan w:val="3"/>
          </w:tcPr>
          <w:p>
            <w:pPr>
              <w:spacing w:after="0"/>
              <w:rPr>
                <w:sz w:val="15"/>
                <w:szCs w:val="15"/>
                <w:color w:val="auto"/>
              </w:rPr>
            </w:pPr>
          </w:p>
        </w:tc>
        <w:tc>
          <w:tcPr>
            <w:tcW w:w="1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jc w:val="center"/>
              <w:ind w:right="61"/>
              <w:spacing w:after="0" w:line="181" w:lineRule="exact"/>
              <w:rPr>
                <w:sz w:val="20"/>
                <w:szCs w:val="20"/>
                <w:color w:val="auto"/>
              </w:rPr>
            </w:pPr>
            <w:r>
              <w:rPr>
                <w:rFonts w:ascii="Arial" w:cs="Arial" w:eastAsia="Arial" w:hAnsi="Arial"/>
                <w:sz w:val="16"/>
                <w:szCs w:val="16"/>
                <w:color w:val="auto"/>
                <w:w w:val="89"/>
              </w:rPr>
              <w:t>104</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4"/>
        </w:trPr>
        <w:tc>
          <w:tcPr>
            <w:tcW w:w="4360" w:type="dxa"/>
            <w:vAlign w:val="bottom"/>
            <w:gridSpan w:val="11"/>
          </w:tcPr>
          <w:p>
            <w:pPr>
              <w:spacing w:after="0"/>
              <w:rPr>
                <w:sz w:val="20"/>
                <w:szCs w:val="20"/>
                <w:color w:val="auto"/>
              </w:rPr>
            </w:pPr>
            <w:r>
              <w:rPr>
                <w:rFonts w:ascii="Arial" w:cs="Arial" w:eastAsia="Arial" w:hAnsi="Arial"/>
                <w:sz w:val="16"/>
                <w:szCs w:val="16"/>
                <w:b w:val="1"/>
                <w:bCs w:val="1"/>
                <w:color w:val="auto"/>
              </w:rPr>
              <w:t>ITEM 16. FORM 10-K SUMMARY</w:t>
            </w:r>
          </w:p>
        </w:tc>
        <w:tc>
          <w:tcPr>
            <w:tcW w:w="1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4360" w:type="dxa"/>
            <w:vAlign w:val="bottom"/>
            <w:gridSpan w:val="11"/>
          </w:tcPr>
          <w:p>
            <w:pPr>
              <w:spacing w:after="0"/>
              <w:rPr>
                <w:sz w:val="20"/>
                <w:szCs w:val="20"/>
                <w:color w:val="auto"/>
              </w:rPr>
            </w:pPr>
            <w:r>
              <w:rPr>
                <w:rFonts w:ascii="Arial" w:cs="Arial" w:eastAsia="Arial" w:hAnsi="Arial"/>
                <w:sz w:val="16"/>
                <w:szCs w:val="16"/>
                <w:color w:val="auto"/>
              </w:rPr>
              <w:t>None.</w:t>
            </w:r>
          </w:p>
        </w:tc>
        <w:tc>
          <w:tcPr>
            <w:tcW w:w="1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gridSpan w:val="2"/>
            <w:vMerge w:val="restart"/>
          </w:tcPr>
          <w:p>
            <w:pPr>
              <w:ind w:left="560"/>
              <w:spacing w:after="0"/>
              <w:rPr>
                <w:sz w:val="20"/>
                <w:szCs w:val="20"/>
                <w:color w:val="auto"/>
              </w:rPr>
            </w:pPr>
            <w:r>
              <w:rPr>
                <w:rFonts w:ascii="Arial" w:cs="Arial" w:eastAsia="Arial" w:hAnsi="Arial"/>
                <w:sz w:val="16"/>
                <w:szCs w:val="16"/>
                <w:b w:val="1"/>
                <w:bCs w:val="1"/>
                <w:color w:val="auto"/>
                <w:w w:val="94"/>
              </w:rPr>
              <w:t>Schedule II</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5"/>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980" w:type="dxa"/>
            <w:vAlign w:val="bottom"/>
            <w:gridSpan w:val="4"/>
          </w:tcPr>
          <w:p>
            <w:pPr>
              <w:jc w:val="center"/>
              <w:ind w:right="280"/>
              <w:spacing w:after="0"/>
              <w:rPr>
                <w:sz w:val="20"/>
                <w:szCs w:val="20"/>
                <w:color w:val="auto"/>
              </w:rPr>
            </w:pPr>
            <w:r>
              <w:rPr>
                <w:rFonts w:ascii="Arial" w:cs="Arial" w:eastAsia="Arial" w:hAnsi="Arial"/>
                <w:sz w:val="16"/>
                <w:szCs w:val="16"/>
                <w:b w:val="1"/>
                <w:bCs w:val="1"/>
                <w:color w:val="auto"/>
                <w:w w:val="92"/>
              </w:rPr>
              <w:t>Eastman Kodak Company</w:t>
            </w: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80" w:type="dxa"/>
            <w:vAlign w:val="bottom"/>
            <w:gridSpan w:val="4"/>
          </w:tcPr>
          <w:p>
            <w:pPr>
              <w:jc w:val="center"/>
              <w:ind w:right="280"/>
              <w:spacing w:after="0"/>
              <w:rPr>
                <w:sz w:val="20"/>
                <w:szCs w:val="20"/>
                <w:color w:val="auto"/>
              </w:rPr>
            </w:pPr>
            <w:r>
              <w:rPr>
                <w:rFonts w:ascii="Arial" w:cs="Arial" w:eastAsia="Arial" w:hAnsi="Arial"/>
                <w:sz w:val="16"/>
                <w:szCs w:val="16"/>
                <w:b w:val="1"/>
                <w:bCs w:val="1"/>
                <w:color w:val="auto"/>
                <w:w w:val="91"/>
              </w:rPr>
              <w:t>Valuation and Qualifying Accounts</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5"/>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3"/>
                <w:szCs w:val="13"/>
                <w:b w:val="1"/>
                <w:bCs w:val="1"/>
                <w:color w:val="auto"/>
                <w:w w:val="88"/>
              </w:rPr>
              <w:t>Beginning</w:t>
            </w: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Net Deductions</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3"/>
                <w:szCs w:val="13"/>
                <w:b w:val="1"/>
                <w:bCs w:val="1"/>
                <w:color w:val="auto"/>
              </w:rPr>
              <w:t>Ending</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360" w:type="dxa"/>
            <w:vAlign w:val="bottom"/>
            <w:gridSpan w:val="11"/>
          </w:tcPr>
          <w:p>
            <w:pPr>
              <w:spacing w:after="0"/>
              <w:rPr>
                <w:sz w:val="20"/>
                <w:szCs w:val="20"/>
                <w:color w:val="auto"/>
              </w:rPr>
            </w:pPr>
            <w:r>
              <w:rPr>
                <w:rFonts w:ascii="Arial" w:cs="Arial" w:eastAsia="Arial" w:hAnsi="Arial"/>
                <w:sz w:val="13"/>
                <w:szCs w:val="13"/>
                <w:color w:val="auto"/>
              </w:rPr>
              <w:t>(in millions)</w:t>
            </w:r>
          </w:p>
        </w:tc>
        <w:tc>
          <w:tcPr>
            <w:tcW w:w="1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3"/>
                <w:szCs w:val="13"/>
                <w:b w:val="1"/>
                <w:bCs w:val="1"/>
                <w:color w:val="auto"/>
                <w:w w:val="88"/>
              </w:rPr>
              <w:t>Balance</w:t>
            </w:r>
          </w:p>
        </w:tc>
        <w:tc>
          <w:tcPr>
            <w:tcW w:w="1400" w:type="dxa"/>
            <w:vAlign w:val="bottom"/>
            <w:gridSpan w:val="2"/>
          </w:tcPr>
          <w:p>
            <w:pPr>
              <w:ind w:left="320"/>
              <w:spacing w:after="0"/>
              <w:rPr>
                <w:sz w:val="20"/>
                <w:szCs w:val="20"/>
                <w:color w:val="auto"/>
              </w:rPr>
            </w:pPr>
            <w:r>
              <w:rPr>
                <w:rFonts w:ascii="Arial" w:cs="Arial" w:eastAsia="Arial" w:hAnsi="Arial"/>
                <w:sz w:val="13"/>
                <w:szCs w:val="13"/>
                <w:b w:val="1"/>
                <w:bCs w:val="1"/>
                <w:color w:val="auto"/>
              </w:rPr>
              <w:t>Additions</w:t>
            </w:r>
          </w:p>
        </w:tc>
        <w:tc>
          <w:tcPr>
            <w:tcW w:w="13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1"/>
              </w:rPr>
              <w:t>and Other</w:t>
            </w: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3"/>
                <w:szCs w:val="13"/>
                <w:b w:val="1"/>
                <w:bCs w:val="1"/>
                <w:color w:val="auto"/>
              </w:rPr>
              <w:t>Balance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340" w:type="dxa"/>
            <w:vAlign w:val="bottom"/>
            <w:tcBorders>
              <w:top w:val="single" w:sz="8" w:color="CFF0FC"/>
            </w:tcBorders>
            <w:gridSpan w:val="10"/>
            <w:shd w:val="clear" w:color="auto" w:fill="CFF0FC"/>
          </w:tcPr>
          <w:p>
            <w:pPr>
              <w:spacing w:after="0"/>
              <w:rPr>
                <w:sz w:val="20"/>
                <w:szCs w:val="20"/>
                <w:color w:val="auto"/>
              </w:rPr>
            </w:pPr>
            <w:r>
              <w:rPr>
                <w:rFonts w:ascii="Arial" w:cs="Arial" w:eastAsia="Arial" w:hAnsi="Arial"/>
                <w:sz w:val="16"/>
                <w:szCs w:val="16"/>
                <w:b w:val="1"/>
                <w:bCs w:val="1"/>
                <w:color w:val="auto"/>
              </w:rPr>
              <w:t>Year ended December 31, 2017</w:t>
            </w:r>
          </w:p>
        </w:tc>
        <w:tc>
          <w:tcPr>
            <w:tcW w:w="160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4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340" w:type="dxa"/>
            <w:vAlign w:val="bottom"/>
            <w:gridSpan w:val="10"/>
          </w:tcPr>
          <w:p>
            <w:pPr>
              <w:spacing w:after="0"/>
              <w:rPr>
                <w:sz w:val="20"/>
                <w:szCs w:val="20"/>
                <w:color w:val="auto"/>
              </w:rPr>
            </w:pPr>
            <w:r>
              <w:rPr>
                <w:rFonts w:ascii="Arial" w:cs="Arial" w:eastAsia="Arial" w:hAnsi="Arial"/>
                <w:sz w:val="16"/>
                <w:szCs w:val="16"/>
                <w:color w:val="auto"/>
              </w:rPr>
              <w:t>Reserve for doubtful accounts</w:t>
            </w:r>
          </w:p>
        </w:tc>
        <w:tc>
          <w:tcPr>
            <w:tcW w:w="17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8</w:t>
            </w:r>
          </w:p>
        </w:tc>
        <w:tc>
          <w:tcPr>
            <w:tcW w:w="2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w:t>
            </w:r>
          </w:p>
        </w:tc>
        <w:tc>
          <w:tcPr>
            <w:tcW w:w="2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w:t>
            </w:r>
          </w:p>
        </w:tc>
        <w:tc>
          <w:tcPr>
            <w:tcW w:w="220" w:type="dxa"/>
            <w:vAlign w:val="bottom"/>
          </w:tcPr>
          <w:p>
            <w:pPr>
              <w:spacing w:after="0"/>
              <w:rPr>
                <w:sz w:val="17"/>
                <w:szCs w:val="17"/>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340" w:type="dxa"/>
            <w:vAlign w:val="bottom"/>
            <w:gridSpan w:val="10"/>
            <w:shd w:val="clear" w:color="auto" w:fill="CFF0FC"/>
          </w:tcPr>
          <w:p>
            <w:pPr>
              <w:spacing w:after="0"/>
              <w:rPr>
                <w:sz w:val="20"/>
                <w:szCs w:val="20"/>
                <w:color w:val="auto"/>
              </w:rPr>
            </w:pPr>
            <w:r>
              <w:rPr>
                <w:rFonts w:ascii="Arial" w:cs="Arial" w:eastAsia="Arial" w:hAnsi="Arial"/>
                <w:sz w:val="16"/>
                <w:szCs w:val="16"/>
                <w:color w:val="auto"/>
              </w:rPr>
              <w:t>Deferred tax valuation allowance</w:t>
            </w:r>
          </w:p>
        </w:tc>
        <w:tc>
          <w:tcPr>
            <w:tcW w:w="17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1,209</w:t>
            </w:r>
          </w:p>
        </w:tc>
        <w:tc>
          <w:tcPr>
            <w:tcW w:w="24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140</w:t>
            </w:r>
          </w:p>
        </w:tc>
        <w:tc>
          <w:tcPr>
            <w:tcW w:w="24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493</w:t>
            </w:r>
          </w:p>
        </w:tc>
        <w:tc>
          <w:tcPr>
            <w:tcW w:w="220" w:type="dxa"/>
            <w:vAlign w:val="bottom"/>
            <w:shd w:val="clear" w:color="auto" w:fill="CFF0FC"/>
          </w:tcPr>
          <w:p>
            <w:pPr>
              <w:spacing w:after="0"/>
              <w:rPr>
                <w:sz w:val="17"/>
                <w:szCs w:val="17"/>
                <w:color w:val="auto"/>
              </w:rPr>
            </w:pPr>
          </w:p>
        </w:tc>
        <w:tc>
          <w:tcPr>
            <w:tcW w:w="2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856</w:t>
            </w:r>
          </w:p>
        </w:tc>
        <w:tc>
          <w:tcPr>
            <w:tcW w:w="12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5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4340" w:type="dxa"/>
            <w:vAlign w:val="bottom"/>
            <w:gridSpan w:val="10"/>
            <w:shd w:val="clear" w:color="auto" w:fill="CFF0FC"/>
          </w:tcPr>
          <w:p>
            <w:pPr>
              <w:spacing w:after="0"/>
              <w:rPr>
                <w:sz w:val="20"/>
                <w:szCs w:val="20"/>
                <w:color w:val="auto"/>
              </w:rPr>
            </w:pPr>
            <w:r>
              <w:rPr>
                <w:rFonts w:ascii="Arial" w:cs="Arial" w:eastAsia="Arial" w:hAnsi="Arial"/>
                <w:sz w:val="16"/>
                <w:szCs w:val="16"/>
                <w:b w:val="1"/>
                <w:bCs w:val="1"/>
                <w:color w:val="auto"/>
              </w:rPr>
              <w:t>Year ended December 31, 2016</w:t>
            </w:r>
          </w:p>
        </w:tc>
        <w:tc>
          <w:tcPr>
            <w:tcW w:w="16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340" w:type="dxa"/>
            <w:vAlign w:val="bottom"/>
            <w:gridSpan w:val="10"/>
          </w:tcPr>
          <w:p>
            <w:pPr>
              <w:spacing w:after="0"/>
              <w:rPr>
                <w:sz w:val="20"/>
                <w:szCs w:val="20"/>
                <w:color w:val="auto"/>
              </w:rPr>
            </w:pPr>
            <w:r>
              <w:rPr>
                <w:rFonts w:ascii="Arial" w:cs="Arial" w:eastAsia="Arial" w:hAnsi="Arial"/>
                <w:sz w:val="16"/>
                <w:szCs w:val="16"/>
                <w:color w:val="auto"/>
              </w:rPr>
              <w:t>Reserve for doubtful accounts</w:t>
            </w:r>
          </w:p>
        </w:tc>
        <w:tc>
          <w:tcPr>
            <w:tcW w:w="17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10</w:t>
            </w:r>
          </w:p>
        </w:tc>
        <w:tc>
          <w:tcPr>
            <w:tcW w:w="2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w:t>
            </w:r>
          </w:p>
        </w:tc>
        <w:tc>
          <w:tcPr>
            <w:tcW w:w="2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w:t>
            </w:r>
          </w:p>
        </w:tc>
        <w:tc>
          <w:tcPr>
            <w:tcW w:w="220" w:type="dxa"/>
            <w:vAlign w:val="bottom"/>
          </w:tcPr>
          <w:p>
            <w:pPr>
              <w:spacing w:after="0"/>
              <w:rPr>
                <w:sz w:val="17"/>
                <w:szCs w:val="17"/>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340" w:type="dxa"/>
            <w:vAlign w:val="bottom"/>
            <w:gridSpan w:val="10"/>
            <w:shd w:val="clear" w:color="auto" w:fill="CFF0FC"/>
          </w:tcPr>
          <w:p>
            <w:pPr>
              <w:spacing w:after="0"/>
              <w:rPr>
                <w:sz w:val="20"/>
                <w:szCs w:val="20"/>
                <w:color w:val="auto"/>
              </w:rPr>
            </w:pPr>
            <w:r>
              <w:rPr>
                <w:rFonts w:ascii="Arial" w:cs="Arial" w:eastAsia="Arial" w:hAnsi="Arial"/>
                <w:sz w:val="16"/>
                <w:szCs w:val="16"/>
                <w:color w:val="auto"/>
              </w:rPr>
              <w:t>Deferred tax valuation allowance</w:t>
            </w:r>
          </w:p>
        </w:tc>
        <w:tc>
          <w:tcPr>
            <w:tcW w:w="17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1,201</w:t>
            </w:r>
          </w:p>
        </w:tc>
        <w:tc>
          <w:tcPr>
            <w:tcW w:w="24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176</w:t>
            </w:r>
          </w:p>
        </w:tc>
        <w:tc>
          <w:tcPr>
            <w:tcW w:w="24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168</w:t>
            </w:r>
          </w:p>
        </w:tc>
        <w:tc>
          <w:tcPr>
            <w:tcW w:w="220" w:type="dxa"/>
            <w:vAlign w:val="bottom"/>
            <w:shd w:val="clear" w:color="auto" w:fill="CFF0FC"/>
          </w:tcPr>
          <w:p>
            <w:pPr>
              <w:spacing w:after="0"/>
              <w:rPr>
                <w:sz w:val="17"/>
                <w:szCs w:val="17"/>
                <w:color w:val="auto"/>
              </w:rPr>
            </w:pPr>
          </w:p>
        </w:tc>
        <w:tc>
          <w:tcPr>
            <w:tcW w:w="2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1,209</w:t>
            </w:r>
          </w:p>
        </w:tc>
        <w:tc>
          <w:tcPr>
            <w:tcW w:w="12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5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4340" w:type="dxa"/>
            <w:vAlign w:val="bottom"/>
            <w:gridSpan w:val="10"/>
            <w:shd w:val="clear" w:color="auto" w:fill="CFF0FC"/>
          </w:tcPr>
          <w:p>
            <w:pPr>
              <w:spacing w:after="0"/>
              <w:rPr>
                <w:sz w:val="20"/>
                <w:szCs w:val="20"/>
                <w:color w:val="auto"/>
              </w:rPr>
            </w:pPr>
            <w:r>
              <w:rPr>
                <w:rFonts w:ascii="Arial" w:cs="Arial" w:eastAsia="Arial" w:hAnsi="Arial"/>
                <w:sz w:val="16"/>
                <w:szCs w:val="16"/>
                <w:b w:val="1"/>
                <w:bCs w:val="1"/>
                <w:color w:val="auto"/>
              </w:rPr>
              <w:t>Year ended December 31, 2015</w:t>
            </w:r>
          </w:p>
        </w:tc>
        <w:tc>
          <w:tcPr>
            <w:tcW w:w="16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340" w:type="dxa"/>
            <w:vAlign w:val="bottom"/>
            <w:gridSpan w:val="10"/>
          </w:tcPr>
          <w:p>
            <w:pPr>
              <w:spacing w:after="0"/>
              <w:rPr>
                <w:sz w:val="20"/>
                <w:szCs w:val="20"/>
                <w:color w:val="auto"/>
              </w:rPr>
            </w:pPr>
            <w:r>
              <w:rPr>
                <w:rFonts w:ascii="Arial" w:cs="Arial" w:eastAsia="Arial" w:hAnsi="Arial"/>
                <w:sz w:val="16"/>
                <w:szCs w:val="16"/>
                <w:color w:val="auto"/>
              </w:rPr>
              <w:t>Reserve for doubtful accounts</w:t>
            </w:r>
          </w:p>
        </w:tc>
        <w:tc>
          <w:tcPr>
            <w:tcW w:w="17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11</w:t>
            </w:r>
          </w:p>
        </w:tc>
        <w:tc>
          <w:tcPr>
            <w:tcW w:w="2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w:t>
            </w:r>
          </w:p>
        </w:tc>
        <w:tc>
          <w:tcPr>
            <w:tcW w:w="2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w:t>
            </w:r>
          </w:p>
        </w:tc>
        <w:tc>
          <w:tcPr>
            <w:tcW w:w="220" w:type="dxa"/>
            <w:vAlign w:val="bottom"/>
          </w:tcPr>
          <w:p>
            <w:pPr>
              <w:spacing w:after="0"/>
              <w:rPr>
                <w:sz w:val="17"/>
                <w:szCs w:val="17"/>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340" w:type="dxa"/>
            <w:vAlign w:val="bottom"/>
            <w:gridSpan w:val="10"/>
            <w:shd w:val="clear" w:color="auto" w:fill="CFF0FC"/>
          </w:tcPr>
          <w:p>
            <w:pPr>
              <w:spacing w:after="0"/>
              <w:rPr>
                <w:sz w:val="20"/>
                <w:szCs w:val="20"/>
                <w:color w:val="auto"/>
              </w:rPr>
            </w:pPr>
            <w:r>
              <w:rPr>
                <w:rFonts w:ascii="Arial" w:cs="Arial" w:eastAsia="Arial" w:hAnsi="Arial"/>
                <w:sz w:val="16"/>
                <w:szCs w:val="16"/>
                <w:color w:val="auto"/>
              </w:rPr>
              <w:t>Deferred tax valuation allowance</w:t>
            </w:r>
          </w:p>
        </w:tc>
        <w:tc>
          <w:tcPr>
            <w:tcW w:w="17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1,127</w:t>
            </w:r>
          </w:p>
        </w:tc>
        <w:tc>
          <w:tcPr>
            <w:tcW w:w="24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182</w:t>
            </w:r>
          </w:p>
        </w:tc>
        <w:tc>
          <w:tcPr>
            <w:tcW w:w="24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108</w:t>
            </w:r>
          </w:p>
        </w:tc>
        <w:tc>
          <w:tcPr>
            <w:tcW w:w="220" w:type="dxa"/>
            <w:vAlign w:val="bottom"/>
            <w:shd w:val="clear" w:color="auto" w:fill="CFF0FC"/>
          </w:tcPr>
          <w:p>
            <w:pPr>
              <w:spacing w:after="0"/>
              <w:rPr>
                <w:sz w:val="17"/>
                <w:szCs w:val="17"/>
                <w:color w:val="auto"/>
              </w:rPr>
            </w:pPr>
          </w:p>
        </w:tc>
        <w:tc>
          <w:tcPr>
            <w:tcW w:w="2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1,201</w:t>
            </w:r>
          </w:p>
        </w:tc>
        <w:tc>
          <w:tcPr>
            <w:tcW w:w="12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4"/>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jc w:val="center"/>
              <w:ind w:left="1039"/>
              <w:spacing w:after="0"/>
              <w:rPr>
                <w:sz w:val="20"/>
                <w:szCs w:val="20"/>
                <w:color w:val="auto"/>
              </w:rPr>
            </w:pPr>
            <w:r>
              <w:rPr>
                <w:rFonts w:ascii="Arial" w:cs="Arial" w:eastAsia="Arial" w:hAnsi="Arial"/>
                <w:sz w:val="16"/>
                <w:szCs w:val="16"/>
                <w:color w:val="auto"/>
                <w:w w:val="89"/>
              </w:rPr>
              <w:t>106</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186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6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7253605</wp:posOffset>
            </wp:positionH>
            <wp:positionV relativeFrom="paragraph">
              <wp:posOffset>-27305</wp:posOffset>
            </wp:positionV>
            <wp:extent cx="33020" cy="406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-27305</wp:posOffset>
            </wp:positionV>
            <wp:extent cx="33020" cy="406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460"/>
          </w:cols>
          <w:pgMar w:left="240" w:top="123" w:right="199" w:bottom="144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193"/>
        </w:trPr>
        <w:tc>
          <w:tcPr>
            <w:tcW w:w="162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780" w:type="dxa"/>
            <w:vAlign w:val="bottom"/>
            <w:gridSpan w:val="27"/>
          </w:tcPr>
          <w:p>
            <w:pPr>
              <w:jc w:val="center"/>
              <w:ind w:right="4720"/>
              <w:spacing w:after="0"/>
              <w:rPr>
                <w:sz w:val="20"/>
                <w:szCs w:val="20"/>
                <w:color w:val="auto"/>
              </w:rPr>
            </w:pPr>
            <w:r>
              <w:rPr>
                <w:rFonts w:ascii="Arial" w:cs="Arial" w:eastAsia="Arial" w:hAnsi="Arial"/>
                <w:sz w:val="16"/>
                <w:szCs w:val="16"/>
                <w:b w:val="1"/>
                <w:bCs w:val="1"/>
                <w:color w:val="auto"/>
                <w:w w:val="92"/>
              </w:rPr>
              <w:t>Eastman Kodak Company</w:t>
            </w:r>
          </w:p>
        </w:tc>
        <w:tc>
          <w:tcPr>
            <w:tcW w:w="0" w:type="dxa"/>
            <w:vAlign w:val="bottom"/>
          </w:tcPr>
          <w:p>
            <w:pPr>
              <w:spacing w:after="0"/>
              <w:rPr>
                <w:sz w:val="1"/>
                <w:szCs w:val="1"/>
                <w:color w:val="auto"/>
              </w:rPr>
            </w:pPr>
          </w:p>
        </w:tc>
      </w:tr>
      <w:tr>
        <w:trPr>
          <w:trHeight w:val="210"/>
        </w:trPr>
        <w:tc>
          <w:tcPr>
            <w:tcW w:w="1620" w:type="dxa"/>
            <w:vAlign w:val="bottom"/>
            <w:vMerge w:val="restart"/>
          </w:tcPr>
          <w:p>
            <w:pPr>
              <w:spacing w:after="0"/>
              <w:rPr>
                <w:sz w:val="20"/>
                <w:szCs w:val="20"/>
                <w:color w:val="auto"/>
              </w:rPr>
            </w:pPr>
            <w:r>
              <w:rPr>
                <w:rFonts w:ascii="Arial" w:cs="Arial" w:eastAsia="Arial" w:hAnsi="Arial"/>
                <w:sz w:val="16"/>
                <w:szCs w:val="16"/>
                <w:b w:val="1"/>
                <w:bCs w:val="1"/>
                <w:color w:val="auto"/>
              </w:rPr>
              <w:t>Exhibit</w:t>
            </w:r>
          </w:p>
        </w:tc>
        <w:tc>
          <w:tcPr>
            <w:tcW w:w="2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360" w:type="dxa"/>
            <w:vAlign w:val="bottom"/>
            <w:gridSpan w:val="26"/>
          </w:tcPr>
          <w:p>
            <w:pPr>
              <w:jc w:val="center"/>
              <w:ind w:right="5140"/>
              <w:spacing w:after="0"/>
              <w:rPr>
                <w:sz w:val="20"/>
                <w:szCs w:val="20"/>
                <w:color w:val="auto"/>
              </w:rPr>
            </w:pPr>
            <w:r>
              <w:rPr>
                <w:rFonts w:ascii="Arial" w:cs="Arial" w:eastAsia="Arial" w:hAnsi="Arial"/>
                <w:sz w:val="16"/>
                <w:szCs w:val="16"/>
                <w:b w:val="1"/>
                <w:bCs w:val="1"/>
                <w:color w:val="auto"/>
                <w:w w:val="92"/>
              </w:rPr>
              <w:t>Index to Exhibits</w:t>
            </w:r>
          </w:p>
        </w:tc>
        <w:tc>
          <w:tcPr>
            <w:tcW w:w="0" w:type="dxa"/>
            <w:vAlign w:val="bottom"/>
          </w:tcPr>
          <w:p>
            <w:pPr>
              <w:spacing w:after="0"/>
              <w:rPr>
                <w:sz w:val="1"/>
                <w:szCs w:val="1"/>
                <w:color w:val="auto"/>
              </w:rPr>
            </w:pPr>
          </w:p>
        </w:tc>
      </w:tr>
      <w:tr>
        <w:trPr>
          <w:trHeight w:val="177"/>
        </w:trPr>
        <w:tc>
          <w:tcPr>
            <w:tcW w:w="1620" w:type="dxa"/>
            <w:vAlign w:val="bottom"/>
            <w:vMerge w:val="continue"/>
          </w:tcPr>
          <w:p>
            <w:pPr>
              <w:spacing w:after="0"/>
              <w:rPr>
                <w:sz w:val="15"/>
                <w:szCs w:val="15"/>
                <w:color w:val="auto"/>
              </w:rPr>
            </w:pPr>
          </w:p>
        </w:tc>
        <w:tc>
          <w:tcPr>
            <w:tcW w:w="23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620" w:type="dxa"/>
            <w:vAlign w:val="bottom"/>
          </w:tcPr>
          <w:p>
            <w:pPr>
              <w:spacing w:after="0"/>
              <w:rPr>
                <w:sz w:val="20"/>
                <w:szCs w:val="20"/>
                <w:color w:val="auto"/>
              </w:rPr>
            </w:pPr>
            <w:r>
              <w:rPr>
                <w:rFonts w:ascii="Arial" w:cs="Arial" w:eastAsia="Arial" w:hAnsi="Arial"/>
                <w:sz w:val="16"/>
                <w:szCs w:val="16"/>
                <w:b w:val="1"/>
                <w:bCs w:val="1"/>
                <w:color w:val="auto"/>
              </w:rPr>
              <w:t>Number</w:t>
            </w:r>
          </w:p>
        </w:tc>
        <w:tc>
          <w:tcPr>
            <w:tcW w:w="2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5"/>
        </w:trPr>
        <w:tc>
          <w:tcPr>
            <w:tcW w:w="1620" w:type="dxa"/>
            <w:vAlign w:val="bottom"/>
          </w:tcPr>
          <w:p>
            <w:pPr>
              <w:spacing w:after="0"/>
              <w:rPr>
                <w:sz w:val="20"/>
                <w:szCs w:val="20"/>
                <w:color w:val="auto"/>
              </w:rPr>
            </w:pPr>
            <w:r>
              <w:rPr>
                <w:rFonts w:ascii="Arial" w:cs="Arial" w:eastAsia="Arial" w:hAnsi="Arial"/>
                <w:sz w:val="16"/>
                <w:szCs w:val="16"/>
                <w:color w:val="auto"/>
              </w:rPr>
              <w:t>(3.1)</w:t>
            </w:r>
          </w:p>
        </w:tc>
        <w:tc>
          <w:tcPr>
            <w:tcW w:w="9840" w:type="dxa"/>
            <w:vAlign w:val="bottom"/>
            <w:gridSpan w:val="29"/>
          </w:tcPr>
          <w:p>
            <w:pPr>
              <w:spacing w:after="0"/>
              <w:rPr>
                <w:rFonts w:ascii="Arial" w:cs="Arial" w:eastAsia="Arial" w:hAnsi="Arial"/>
                <w:sz w:val="16"/>
                <w:szCs w:val="16"/>
                <w:color w:val="0000EE"/>
                <w:w w:val="93"/>
              </w:rPr>
            </w:pPr>
            <w:hyperlink r:id="rId144">
              <w:r>
                <w:rPr>
                  <w:rFonts w:ascii="Arial" w:cs="Arial" w:eastAsia="Arial" w:hAnsi="Arial"/>
                  <w:sz w:val="16"/>
                  <w:szCs w:val="16"/>
                  <w:color w:val="0000EE"/>
                  <w:w w:val="93"/>
                </w:rPr>
                <w:t>Second Amended and Restated Certificate of Incorporation of Eastman Kodak Company (Incorporated by reference to Exhibit 4.1 of the Company’s</w:t>
              </w:r>
            </w:hyperlink>
          </w:p>
        </w:tc>
        <w:tc>
          <w:tcPr>
            <w:tcW w:w="0" w:type="dxa"/>
            <w:vAlign w:val="bottom"/>
          </w:tcPr>
          <w:p>
            <w:pPr>
              <w:spacing w:after="0"/>
              <w:rPr>
                <w:sz w:val="1"/>
                <w:szCs w:val="1"/>
                <w:color w:val="auto"/>
              </w:rPr>
            </w:pPr>
          </w:p>
        </w:tc>
      </w:tr>
      <w:tr>
        <w:trPr>
          <w:trHeight w:val="173"/>
        </w:trPr>
        <w:tc>
          <w:tcPr>
            <w:tcW w:w="1620" w:type="dxa"/>
            <w:vAlign w:val="bottom"/>
          </w:tcPr>
          <w:p>
            <w:pPr>
              <w:spacing w:after="0"/>
              <w:rPr>
                <w:sz w:val="15"/>
                <w:szCs w:val="15"/>
                <w:color w:val="auto"/>
              </w:rPr>
            </w:pPr>
          </w:p>
        </w:tc>
        <w:tc>
          <w:tcPr>
            <w:tcW w:w="9580" w:type="dxa"/>
            <w:vAlign w:val="bottom"/>
            <w:tcBorders>
              <w:top w:val="single" w:sz="8" w:color="0000EE"/>
            </w:tcBorders>
            <w:gridSpan w:val="23"/>
          </w:tcPr>
          <w:p>
            <w:pPr>
              <w:spacing w:after="0" w:line="174" w:lineRule="exact"/>
              <w:rPr>
                <w:rFonts w:ascii="Arial" w:cs="Arial" w:eastAsia="Arial" w:hAnsi="Arial"/>
                <w:sz w:val="16"/>
                <w:szCs w:val="16"/>
                <w:color w:val="0000EE"/>
              </w:rPr>
            </w:pPr>
            <w:hyperlink r:id="rId144">
              <w:r>
                <w:rPr>
                  <w:rFonts w:ascii="Arial" w:cs="Arial" w:eastAsia="Arial" w:hAnsi="Arial"/>
                  <w:sz w:val="16"/>
                  <w:szCs w:val="16"/>
                  <w:color w:val="0000EE"/>
                </w:rPr>
                <w:t>Registration Statement on Form S-8 as filed on September 3, 2013).</w:t>
              </w:r>
            </w:hyperlink>
          </w:p>
        </w:tc>
        <w:tc>
          <w:tcPr>
            <w:tcW w:w="260" w:type="dxa"/>
            <w:vAlign w:val="bottom"/>
            <w:gridSpan w:val="6"/>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2340" w:type="dxa"/>
            <w:vAlign w:val="bottom"/>
            <w:tcBorders>
              <w:right w:val="single" w:sz="8" w:color="0000EE"/>
            </w:tcBorders>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1"/>
        </w:trPr>
        <w:tc>
          <w:tcPr>
            <w:tcW w:w="1620" w:type="dxa"/>
            <w:vAlign w:val="bottom"/>
          </w:tcPr>
          <w:p>
            <w:pPr>
              <w:spacing w:after="0"/>
              <w:rPr>
                <w:sz w:val="20"/>
                <w:szCs w:val="20"/>
                <w:color w:val="auto"/>
              </w:rPr>
            </w:pPr>
            <w:r>
              <w:rPr>
                <w:rFonts w:ascii="Arial" w:cs="Arial" w:eastAsia="Arial" w:hAnsi="Arial"/>
                <w:sz w:val="16"/>
                <w:szCs w:val="16"/>
                <w:color w:val="auto"/>
              </w:rPr>
              <w:t>(3.2)</w:t>
            </w:r>
          </w:p>
        </w:tc>
        <w:tc>
          <w:tcPr>
            <w:tcW w:w="9840" w:type="dxa"/>
            <w:vAlign w:val="bottom"/>
            <w:gridSpan w:val="29"/>
          </w:tcPr>
          <w:p>
            <w:pPr>
              <w:spacing w:after="0"/>
              <w:rPr>
                <w:rFonts w:ascii="Arial" w:cs="Arial" w:eastAsia="Arial" w:hAnsi="Arial"/>
                <w:sz w:val="16"/>
                <w:szCs w:val="16"/>
                <w:color w:val="0000EE"/>
                <w:w w:val="91"/>
              </w:rPr>
            </w:pPr>
            <w:hyperlink r:id="rId145">
              <w:r>
                <w:rPr>
                  <w:rFonts w:ascii="Arial" w:cs="Arial" w:eastAsia="Arial" w:hAnsi="Arial"/>
                  <w:sz w:val="16"/>
                  <w:szCs w:val="16"/>
                  <w:color w:val="0000EE"/>
                  <w:w w:val="91"/>
                </w:rPr>
                <w:t>Certificate of Amendment to the Second Amended and Restated Certificate of Incorporation of Eastman Kodak Company. (Incorporated by reference to</w:t>
              </w:r>
            </w:hyperlink>
          </w:p>
        </w:tc>
        <w:tc>
          <w:tcPr>
            <w:tcW w:w="0" w:type="dxa"/>
            <w:vAlign w:val="bottom"/>
          </w:tcPr>
          <w:p>
            <w:pPr>
              <w:spacing w:after="0"/>
              <w:rPr>
                <w:sz w:val="1"/>
                <w:szCs w:val="1"/>
                <w:color w:val="auto"/>
              </w:rPr>
            </w:pPr>
          </w:p>
        </w:tc>
      </w:tr>
      <w:tr>
        <w:trPr>
          <w:trHeight w:val="173"/>
        </w:trPr>
        <w:tc>
          <w:tcPr>
            <w:tcW w:w="1620" w:type="dxa"/>
            <w:vAlign w:val="bottom"/>
          </w:tcPr>
          <w:p>
            <w:pPr>
              <w:spacing w:after="0"/>
              <w:rPr>
                <w:sz w:val="15"/>
                <w:szCs w:val="15"/>
                <w:color w:val="auto"/>
              </w:rPr>
            </w:pPr>
          </w:p>
        </w:tc>
        <w:tc>
          <w:tcPr>
            <w:tcW w:w="5720" w:type="dxa"/>
            <w:vAlign w:val="bottom"/>
            <w:tcBorders>
              <w:top w:val="single" w:sz="8" w:color="0000EE"/>
              <w:bottom w:val="single" w:sz="8" w:color="0000EE"/>
            </w:tcBorders>
            <w:gridSpan w:val="7"/>
          </w:tcPr>
          <w:p>
            <w:pPr>
              <w:spacing w:after="0" w:line="174" w:lineRule="exact"/>
              <w:rPr>
                <w:rFonts w:ascii="Arial" w:cs="Arial" w:eastAsia="Arial" w:hAnsi="Arial"/>
                <w:sz w:val="16"/>
                <w:szCs w:val="16"/>
                <w:color w:val="0000EE"/>
                <w:w w:val="92"/>
              </w:rPr>
            </w:pPr>
            <w:hyperlink r:id="rId145">
              <w:r>
                <w:rPr>
                  <w:rFonts w:ascii="Arial" w:cs="Arial" w:eastAsia="Arial" w:hAnsi="Arial"/>
                  <w:sz w:val="16"/>
                  <w:szCs w:val="16"/>
                  <w:color w:val="0000EE"/>
                  <w:w w:val="92"/>
                </w:rPr>
                <w:t>Exhibit 3.1 of the Company’s Current Report on Form 8-K as filed November 16, 2016).</w:t>
              </w:r>
            </w:hyperlink>
          </w:p>
        </w:tc>
        <w:tc>
          <w:tcPr>
            <w:tcW w:w="4080" w:type="dxa"/>
            <w:vAlign w:val="bottom"/>
            <w:tcBorders>
              <w:top w:val="single" w:sz="8" w:color="0000EE"/>
            </w:tcBorders>
            <w:gridSpan w:val="21"/>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1"/>
        </w:trPr>
        <w:tc>
          <w:tcPr>
            <w:tcW w:w="1620" w:type="dxa"/>
            <w:vAlign w:val="bottom"/>
          </w:tcPr>
          <w:p>
            <w:pPr>
              <w:spacing w:after="0"/>
              <w:rPr>
                <w:sz w:val="20"/>
                <w:szCs w:val="20"/>
                <w:color w:val="auto"/>
              </w:rPr>
            </w:pPr>
            <w:r>
              <w:rPr>
                <w:rFonts w:ascii="Arial" w:cs="Arial" w:eastAsia="Arial" w:hAnsi="Arial"/>
                <w:sz w:val="16"/>
                <w:szCs w:val="16"/>
                <w:color w:val="auto"/>
              </w:rPr>
              <w:t>(3.3)</w:t>
            </w:r>
          </w:p>
        </w:tc>
        <w:tc>
          <w:tcPr>
            <w:tcW w:w="9620" w:type="dxa"/>
            <w:vAlign w:val="bottom"/>
            <w:tcBorders>
              <w:bottom w:val="single" w:sz="8" w:color="0000EE"/>
            </w:tcBorders>
            <w:gridSpan w:val="25"/>
          </w:tcPr>
          <w:p>
            <w:pPr>
              <w:spacing w:after="0"/>
              <w:rPr>
                <w:rFonts w:ascii="Arial" w:cs="Arial" w:eastAsia="Arial" w:hAnsi="Arial"/>
                <w:sz w:val="16"/>
                <w:szCs w:val="16"/>
                <w:color w:val="0000EE"/>
                <w:w w:val="91"/>
              </w:rPr>
            </w:pPr>
            <w:hyperlink r:id="rId146">
              <w:r>
                <w:rPr>
                  <w:rFonts w:ascii="Arial" w:cs="Arial" w:eastAsia="Arial" w:hAnsi="Arial"/>
                  <w:sz w:val="16"/>
                  <w:szCs w:val="16"/>
                  <w:color w:val="0000EE"/>
                  <w:w w:val="91"/>
                </w:rPr>
                <w:t>Fourth Amended and Restated By-Laws of Eastman Kodak Company. (Incorporated by reference to Exhibit 3.1 of the Company’s Current Report on</w:t>
              </w:r>
            </w:hyperlink>
          </w:p>
        </w:tc>
        <w:tc>
          <w:tcPr>
            <w:tcW w:w="22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1620" w:type="dxa"/>
            <w:vAlign w:val="bottom"/>
          </w:tcPr>
          <w:p>
            <w:pPr>
              <w:spacing w:after="0"/>
              <w:rPr>
                <w:sz w:val="15"/>
                <w:szCs w:val="15"/>
                <w:color w:val="auto"/>
              </w:rPr>
            </w:pPr>
          </w:p>
        </w:tc>
        <w:tc>
          <w:tcPr>
            <w:tcW w:w="9840" w:type="dxa"/>
            <w:vAlign w:val="bottom"/>
            <w:gridSpan w:val="29"/>
          </w:tcPr>
          <w:p>
            <w:pPr>
              <w:spacing w:after="0" w:line="174" w:lineRule="exact"/>
              <w:rPr>
                <w:rFonts w:ascii="Arial" w:cs="Arial" w:eastAsia="Arial" w:hAnsi="Arial"/>
                <w:sz w:val="16"/>
                <w:szCs w:val="16"/>
                <w:color w:val="0000EE"/>
              </w:rPr>
            </w:pPr>
            <w:hyperlink r:id="rId146">
              <w:r>
                <w:rPr>
                  <w:rFonts w:ascii="Arial" w:cs="Arial" w:eastAsia="Arial" w:hAnsi="Arial"/>
                  <w:sz w:val="16"/>
                  <w:szCs w:val="16"/>
                  <w:color w:val="0000EE"/>
                </w:rPr>
                <w:t>Form8-K as filed on May 25, 2017).</w:t>
              </w:r>
            </w:hyperlink>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2340" w:type="dxa"/>
            <w:vAlign w:val="bottom"/>
            <w:tcBorders>
              <w:right w:val="single" w:sz="8" w:color="0000EE"/>
            </w:tcBorders>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1"/>
        </w:trPr>
        <w:tc>
          <w:tcPr>
            <w:tcW w:w="1620" w:type="dxa"/>
            <w:vAlign w:val="bottom"/>
          </w:tcPr>
          <w:p>
            <w:pPr>
              <w:spacing w:after="0"/>
              <w:rPr>
                <w:sz w:val="20"/>
                <w:szCs w:val="20"/>
                <w:color w:val="auto"/>
              </w:rPr>
            </w:pPr>
            <w:r>
              <w:rPr>
                <w:rFonts w:ascii="Arial" w:cs="Arial" w:eastAsia="Arial" w:hAnsi="Arial"/>
                <w:sz w:val="16"/>
                <w:szCs w:val="16"/>
                <w:color w:val="auto"/>
              </w:rPr>
              <w:t>(4.1)</w:t>
            </w:r>
          </w:p>
        </w:tc>
        <w:tc>
          <w:tcPr>
            <w:tcW w:w="9480" w:type="dxa"/>
            <w:vAlign w:val="bottom"/>
            <w:tcBorders>
              <w:bottom w:val="single" w:sz="8" w:color="0000EE"/>
            </w:tcBorders>
            <w:gridSpan w:val="18"/>
          </w:tcPr>
          <w:p>
            <w:pPr>
              <w:spacing w:after="0"/>
              <w:rPr>
                <w:rFonts w:ascii="Arial" w:cs="Arial" w:eastAsia="Arial" w:hAnsi="Arial"/>
                <w:sz w:val="16"/>
                <w:szCs w:val="16"/>
                <w:color w:val="0000EE"/>
                <w:w w:val="90"/>
              </w:rPr>
            </w:pPr>
            <w:hyperlink r:id="rId147">
              <w:r>
                <w:rPr>
                  <w:rFonts w:ascii="Arial" w:cs="Arial" w:eastAsia="Arial" w:hAnsi="Arial"/>
                  <w:sz w:val="16"/>
                  <w:szCs w:val="16"/>
                  <w:color w:val="0000EE"/>
                  <w:w w:val="90"/>
                </w:rPr>
                <w:t>Registration Rights Agreement between Eastman Kodak Company and certain stockholders listed on Schedule 1 thereto, dated September 3, 2013.</w:t>
              </w:r>
            </w:hyperlink>
          </w:p>
        </w:tc>
        <w:tc>
          <w:tcPr>
            <w:tcW w:w="36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1620" w:type="dxa"/>
            <w:vAlign w:val="bottom"/>
          </w:tcPr>
          <w:p>
            <w:pPr>
              <w:spacing w:after="0"/>
              <w:rPr>
                <w:sz w:val="15"/>
                <w:szCs w:val="15"/>
                <w:color w:val="auto"/>
              </w:rPr>
            </w:pPr>
          </w:p>
        </w:tc>
        <w:tc>
          <w:tcPr>
            <w:tcW w:w="8280" w:type="dxa"/>
            <w:vAlign w:val="bottom"/>
            <w:tcBorders>
              <w:bottom w:val="single" w:sz="8" w:color="0000EE"/>
            </w:tcBorders>
            <w:gridSpan w:val="10"/>
          </w:tcPr>
          <w:p>
            <w:pPr>
              <w:spacing w:after="0" w:line="174" w:lineRule="exact"/>
              <w:rPr>
                <w:rFonts w:ascii="Arial" w:cs="Arial" w:eastAsia="Arial" w:hAnsi="Arial"/>
                <w:sz w:val="16"/>
                <w:szCs w:val="16"/>
                <w:color w:val="0000EE"/>
                <w:w w:val="91"/>
              </w:rPr>
            </w:pPr>
            <w:hyperlink r:id="rId147">
              <w:r>
                <w:rPr>
                  <w:rFonts w:ascii="Arial" w:cs="Arial" w:eastAsia="Arial" w:hAnsi="Arial"/>
                  <w:sz w:val="16"/>
                  <w:szCs w:val="16"/>
                  <w:color w:val="0000EE"/>
                  <w:w w:val="91"/>
                </w:rPr>
                <w:t>(Incorporated by reference to Exhibit 4.1 of the Company’s Registration Statement on Form 8-A as filed on September 3, 2013).</w:t>
              </w:r>
            </w:hyperlink>
          </w:p>
        </w:tc>
        <w:tc>
          <w:tcPr>
            <w:tcW w:w="1560" w:type="dxa"/>
            <w:vAlign w:val="bottom"/>
            <w:gridSpan w:val="19"/>
          </w:tcPr>
          <w:p>
            <w:pPr>
              <w:spacing w:after="0"/>
              <w:rPr>
                <w:sz w:val="15"/>
                <w:szCs w:val="15"/>
                <w:color w:val="auto"/>
              </w:rPr>
            </w:pPr>
          </w:p>
        </w:tc>
        <w:tc>
          <w:tcPr>
            <w:tcW w:w="0" w:type="dxa"/>
            <w:vAlign w:val="bottom"/>
          </w:tcPr>
          <w:p>
            <w:pPr>
              <w:spacing w:after="0"/>
              <w:rPr>
                <w:sz w:val="1"/>
                <w:szCs w:val="1"/>
                <w:color w:val="auto"/>
              </w:rPr>
            </w:pPr>
          </w:p>
        </w:tc>
      </w:tr>
      <w:tr>
        <w:trPr>
          <w:trHeight w:val="391"/>
        </w:trPr>
        <w:tc>
          <w:tcPr>
            <w:tcW w:w="1620" w:type="dxa"/>
            <w:vAlign w:val="bottom"/>
          </w:tcPr>
          <w:p>
            <w:pPr>
              <w:spacing w:after="0"/>
              <w:rPr>
                <w:sz w:val="20"/>
                <w:szCs w:val="20"/>
                <w:color w:val="auto"/>
              </w:rPr>
            </w:pPr>
            <w:r>
              <w:rPr>
                <w:rFonts w:ascii="Arial" w:cs="Arial" w:eastAsia="Arial" w:hAnsi="Arial"/>
                <w:sz w:val="16"/>
                <w:szCs w:val="16"/>
                <w:color w:val="auto"/>
              </w:rPr>
              <w:t>(4.2)</w:t>
            </w:r>
          </w:p>
        </w:tc>
        <w:tc>
          <w:tcPr>
            <w:tcW w:w="9540" w:type="dxa"/>
            <w:vAlign w:val="bottom"/>
            <w:tcBorders>
              <w:bottom w:val="single" w:sz="8" w:color="0000EE"/>
            </w:tcBorders>
            <w:gridSpan w:val="21"/>
          </w:tcPr>
          <w:p>
            <w:pPr>
              <w:spacing w:after="0"/>
              <w:rPr>
                <w:rFonts w:ascii="Arial" w:cs="Arial" w:eastAsia="Arial" w:hAnsi="Arial"/>
                <w:sz w:val="16"/>
                <w:szCs w:val="16"/>
                <w:color w:val="0000EE"/>
                <w:w w:val="90"/>
              </w:rPr>
            </w:pPr>
            <w:hyperlink r:id="rId148">
              <w:r>
                <w:rPr>
                  <w:rFonts w:ascii="Arial" w:cs="Arial" w:eastAsia="Arial" w:hAnsi="Arial"/>
                  <w:sz w:val="16"/>
                  <w:szCs w:val="16"/>
                  <w:color w:val="0000EE"/>
                  <w:w w:val="90"/>
                </w:rPr>
                <w:t>Warrant Agreement between Eastman Kodak Company and ComputerShare Trust Company, N.A. and ComputerShare Inc. as Warrant Agent, dated</w:t>
              </w:r>
            </w:hyperlink>
          </w:p>
        </w:tc>
        <w:tc>
          <w:tcPr>
            <w:tcW w:w="30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1620" w:type="dxa"/>
            <w:vAlign w:val="bottom"/>
          </w:tcPr>
          <w:p>
            <w:pPr>
              <w:spacing w:after="0"/>
              <w:rPr>
                <w:sz w:val="15"/>
                <w:szCs w:val="15"/>
                <w:color w:val="auto"/>
              </w:rPr>
            </w:pPr>
          </w:p>
        </w:tc>
        <w:tc>
          <w:tcPr>
            <w:tcW w:w="9620" w:type="dxa"/>
            <w:vAlign w:val="bottom"/>
            <w:tcBorders>
              <w:bottom w:val="single" w:sz="8" w:color="0000EE"/>
            </w:tcBorders>
            <w:gridSpan w:val="25"/>
          </w:tcPr>
          <w:p>
            <w:pPr>
              <w:spacing w:after="0" w:line="174" w:lineRule="exact"/>
              <w:rPr>
                <w:rFonts w:ascii="Arial" w:cs="Arial" w:eastAsia="Arial" w:hAnsi="Arial"/>
                <w:sz w:val="16"/>
                <w:szCs w:val="16"/>
                <w:color w:val="0000EE"/>
                <w:w w:val="91"/>
              </w:rPr>
            </w:pPr>
            <w:hyperlink r:id="rId148">
              <w:r>
                <w:rPr>
                  <w:rFonts w:ascii="Arial" w:cs="Arial" w:eastAsia="Arial" w:hAnsi="Arial"/>
                  <w:sz w:val="16"/>
                  <w:szCs w:val="16"/>
                  <w:color w:val="0000EE"/>
                  <w:w w:val="91"/>
                </w:rPr>
                <w:t>September 3, 2013. (Incorporated by reference to Exhibit 4.2 of the Company’s Registration Statement on Form 8-A as filed on September 3, 2013).</w:t>
              </w:r>
            </w:hyperlink>
          </w:p>
        </w:tc>
        <w:tc>
          <w:tcPr>
            <w:tcW w:w="22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391"/>
        </w:trPr>
        <w:tc>
          <w:tcPr>
            <w:tcW w:w="1620" w:type="dxa"/>
            <w:vAlign w:val="bottom"/>
          </w:tcPr>
          <w:p>
            <w:pPr>
              <w:spacing w:after="0"/>
              <w:rPr>
                <w:sz w:val="20"/>
                <w:szCs w:val="20"/>
                <w:color w:val="auto"/>
              </w:rPr>
            </w:pPr>
            <w:r>
              <w:rPr>
                <w:rFonts w:ascii="Arial" w:cs="Arial" w:eastAsia="Arial" w:hAnsi="Arial"/>
                <w:sz w:val="16"/>
                <w:szCs w:val="16"/>
                <w:color w:val="auto"/>
              </w:rPr>
              <w:t>(4.3)</w:t>
            </w:r>
          </w:p>
        </w:tc>
        <w:tc>
          <w:tcPr>
            <w:tcW w:w="9840" w:type="dxa"/>
            <w:vAlign w:val="bottom"/>
            <w:gridSpan w:val="29"/>
          </w:tcPr>
          <w:p>
            <w:pPr>
              <w:spacing w:after="0"/>
              <w:rPr>
                <w:rFonts w:ascii="Arial" w:cs="Arial" w:eastAsia="Arial" w:hAnsi="Arial"/>
                <w:sz w:val="16"/>
                <w:szCs w:val="16"/>
                <w:color w:val="0000EE"/>
                <w:w w:val="93"/>
              </w:rPr>
            </w:pPr>
            <w:hyperlink r:id="rId149">
              <w:r>
                <w:rPr>
                  <w:rFonts w:ascii="Arial" w:cs="Arial" w:eastAsia="Arial" w:hAnsi="Arial"/>
                  <w:sz w:val="16"/>
                  <w:szCs w:val="16"/>
                  <w:color w:val="0000EE"/>
                  <w:w w:val="93"/>
                </w:rPr>
                <w:t>Registration Rights Agreement by and among Eastman Kodak Company, Southeastern Asset Management, Inc., Longleaf Partners Small-Cap Fund,</w:t>
              </w:r>
            </w:hyperlink>
          </w:p>
        </w:tc>
        <w:tc>
          <w:tcPr>
            <w:tcW w:w="0" w:type="dxa"/>
            <w:vAlign w:val="bottom"/>
          </w:tcPr>
          <w:p>
            <w:pPr>
              <w:spacing w:after="0"/>
              <w:rPr>
                <w:sz w:val="1"/>
                <w:szCs w:val="1"/>
                <w:color w:val="auto"/>
              </w:rPr>
            </w:pPr>
          </w:p>
        </w:tc>
      </w:tr>
      <w:tr>
        <w:trPr>
          <w:trHeight w:val="173"/>
        </w:trPr>
        <w:tc>
          <w:tcPr>
            <w:tcW w:w="1620" w:type="dxa"/>
            <w:vAlign w:val="bottom"/>
          </w:tcPr>
          <w:p>
            <w:pPr>
              <w:spacing w:after="0"/>
              <w:rPr>
                <w:sz w:val="15"/>
                <w:szCs w:val="15"/>
                <w:color w:val="auto"/>
              </w:rPr>
            </w:pPr>
          </w:p>
        </w:tc>
        <w:tc>
          <w:tcPr>
            <w:tcW w:w="9460" w:type="dxa"/>
            <w:vAlign w:val="bottom"/>
            <w:tcBorders>
              <w:top w:val="single" w:sz="8" w:color="0000EE"/>
              <w:bottom w:val="single" w:sz="8" w:color="0000EE"/>
            </w:tcBorders>
            <w:gridSpan w:val="17"/>
          </w:tcPr>
          <w:p>
            <w:pPr>
              <w:spacing w:after="0" w:line="174" w:lineRule="exact"/>
              <w:rPr>
                <w:rFonts w:ascii="Arial" w:cs="Arial" w:eastAsia="Arial" w:hAnsi="Arial"/>
                <w:sz w:val="16"/>
                <w:szCs w:val="16"/>
                <w:color w:val="0000EE"/>
                <w:w w:val="91"/>
              </w:rPr>
            </w:pPr>
            <w:hyperlink r:id="rId149">
              <w:r>
                <w:rPr>
                  <w:rFonts w:ascii="Arial" w:cs="Arial" w:eastAsia="Arial" w:hAnsi="Arial"/>
                  <w:sz w:val="16"/>
                  <w:szCs w:val="16"/>
                  <w:color w:val="0000EE"/>
                  <w:w w:val="91"/>
                </w:rPr>
                <w:t>C2W Partners Master Fund Limited and Deseret Mutual Pension Trust, dated November 15, 2016. (Incorporated by reference to Exhibit 4.1 of the</w:t>
              </w:r>
            </w:hyperlink>
          </w:p>
        </w:tc>
        <w:tc>
          <w:tcPr>
            <w:tcW w:w="100" w:type="dxa"/>
            <w:vAlign w:val="bottom"/>
            <w:tcBorders>
              <w:top w:val="single" w:sz="8" w:color="0000EE"/>
            </w:tcBorders>
            <w:gridSpan w:val="5"/>
          </w:tcPr>
          <w:p>
            <w:pPr>
              <w:spacing w:after="0"/>
              <w:rPr>
                <w:sz w:val="15"/>
                <w:szCs w:val="15"/>
                <w:color w:val="auto"/>
              </w:rPr>
            </w:pPr>
          </w:p>
        </w:tc>
        <w:tc>
          <w:tcPr>
            <w:tcW w:w="280" w:type="dxa"/>
            <w:vAlign w:val="bottom"/>
            <w:gridSpan w:val="7"/>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620" w:type="dxa"/>
            <w:vAlign w:val="bottom"/>
          </w:tcPr>
          <w:p>
            <w:pPr>
              <w:spacing w:after="0"/>
              <w:rPr>
                <w:sz w:val="15"/>
                <w:szCs w:val="15"/>
                <w:color w:val="auto"/>
              </w:rPr>
            </w:pPr>
          </w:p>
        </w:tc>
        <w:tc>
          <w:tcPr>
            <w:tcW w:w="4560" w:type="dxa"/>
            <w:vAlign w:val="bottom"/>
            <w:tcBorders>
              <w:bottom w:val="single" w:sz="8" w:color="0000EE"/>
            </w:tcBorders>
            <w:gridSpan w:val="6"/>
          </w:tcPr>
          <w:p>
            <w:pPr>
              <w:spacing w:after="0" w:line="174" w:lineRule="exact"/>
              <w:rPr>
                <w:rFonts w:ascii="Arial" w:cs="Arial" w:eastAsia="Arial" w:hAnsi="Arial"/>
                <w:sz w:val="16"/>
                <w:szCs w:val="16"/>
                <w:color w:val="0000EE"/>
                <w:w w:val="91"/>
              </w:rPr>
            </w:pPr>
            <w:hyperlink r:id="rId149">
              <w:r>
                <w:rPr>
                  <w:rFonts w:ascii="Arial" w:cs="Arial" w:eastAsia="Arial" w:hAnsi="Arial"/>
                  <w:sz w:val="16"/>
                  <w:szCs w:val="16"/>
                  <w:color w:val="0000EE"/>
                  <w:w w:val="91"/>
                </w:rPr>
                <w:t>Company’s Current Report on Form 8-K as filed November 16, 2016).</w:t>
              </w:r>
            </w:hyperlink>
          </w:p>
        </w:tc>
        <w:tc>
          <w:tcPr>
            <w:tcW w:w="5280" w:type="dxa"/>
            <w:vAlign w:val="bottom"/>
            <w:gridSpan w:val="23"/>
          </w:tcPr>
          <w:p>
            <w:pPr>
              <w:spacing w:after="0"/>
              <w:rPr>
                <w:sz w:val="15"/>
                <w:szCs w:val="15"/>
                <w:color w:val="auto"/>
              </w:rPr>
            </w:pPr>
          </w:p>
        </w:tc>
        <w:tc>
          <w:tcPr>
            <w:tcW w:w="0" w:type="dxa"/>
            <w:vAlign w:val="bottom"/>
          </w:tcPr>
          <w:p>
            <w:pPr>
              <w:spacing w:after="0"/>
              <w:rPr>
                <w:sz w:val="1"/>
                <w:szCs w:val="1"/>
                <w:color w:val="auto"/>
              </w:rPr>
            </w:pPr>
          </w:p>
        </w:tc>
      </w:tr>
      <w:tr>
        <w:trPr>
          <w:trHeight w:val="391"/>
        </w:trPr>
        <w:tc>
          <w:tcPr>
            <w:tcW w:w="1620" w:type="dxa"/>
            <w:vAlign w:val="bottom"/>
          </w:tcPr>
          <w:p>
            <w:pPr>
              <w:spacing w:after="0"/>
              <w:rPr>
                <w:sz w:val="20"/>
                <w:szCs w:val="20"/>
                <w:color w:val="auto"/>
              </w:rPr>
            </w:pPr>
            <w:r>
              <w:rPr>
                <w:rFonts w:ascii="Arial" w:cs="Arial" w:eastAsia="Arial" w:hAnsi="Arial"/>
                <w:sz w:val="16"/>
                <w:szCs w:val="16"/>
                <w:color w:val="auto"/>
              </w:rPr>
              <w:t>(4.4)</w:t>
            </w:r>
          </w:p>
        </w:tc>
        <w:tc>
          <w:tcPr>
            <w:tcW w:w="9840" w:type="dxa"/>
            <w:vAlign w:val="bottom"/>
            <w:gridSpan w:val="29"/>
          </w:tcPr>
          <w:p>
            <w:pPr>
              <w:spacing w:after="0"/>
              <w:rPr>
                <w:rFonts w:ascii="Arial" w:cs="Arial" w:eastAsia="Arial" w:hAnsi="Arial"/>
                <w:sz w:val="16"/>
                <w:szCs w:val="16"/>
                <w:color w:val="0000EE"/>
                <w:w w:val="95"/>
              </w:rPr>
            </w:pPr>
            <w:hyperlink r:id="rId150">
              <w:r>
                <w:rPr>
                  <w:rFonts w:ascii="Arial" w:cs="Arial" w:eastAsia="Arial" w:hAnsi="Arial"/>
                  <w:sz w:val="16"/>
                  <w:szCs w:val="16"/>
                  <w:color w:val="0000EE"/>
                  <w:w w:val="95"/>
                </w:rPr>
                <w:t>Shareholder Agreement, dated as of April 17, 2017, by and among Eastman Kodak Company, Longleaf Partners Small-Cap Fund, C2W Partners</w:t>
              </w:r>
            </w:hyperlink>
          </w:p>
        </w:tc>
        <w:tc>
          <w:tcPr>
            <w:tcW w:w="0" w:type="dxa"/>
            <w:vAlign w:val="bottom"/>
          </w:tcPr>
          <w:p>
            <w:pPr>
              <w:spacing w:after="0"/>
              <w:rPr>
                <w:sz w:val="1"/>
                <w:szCs w:val="1"/>
                <w:color w:val="auto"/>
              </w:rPr>
            </w:pPr>
          </w:p>
        </w:tc>
      </w:tr>
      <w:tr>
        <w:trPr>
          <w:trHeight w:val="173"/>
        </w:trPr>
        <w:tc>
          <w:tcPr>
            <w:tcW w:w="1620" w:type="dxa"/>
            <w:vAlign w:val="bottom"/>
          </w:tcPr>
          <w:p>
            <w:pPr>
              <w:spacing w:after="0"/>
              <w:rPr>
                <w:sz w:val="15"/>
                <w:szCs w:val="15"/>
                <w:color w:val="auto"/>
              </w:rPr>
            </w:pPr>
          </w:p>
        </w:tc>
        <w:tc>
          <w:tcPr>
            <w:tcW w:w="9220" w:type="dxa"/>
            <w:vAlign w:val="bottom"/>
            <w:tcBorders>
              <w:top w:val="single" w:sz="8" w:color="0000EE"/>
              <w:bottom w:val="single" w:sz="8" w:color="0000EE"/>
            </w:tcBorders>
            <w:gridSpan w:val="13"/>
          </w:tcPr>
          <w:p>
            <w:pPr>
              <w:spacing w:after="0" w:line="174" w:lineRule="exact"/>
              <w:rPr>
                <w:rFonts w:ascii="Arial" w:cs="Arial" w:eastAsia="Arial" w:hAnsi="Arial"/>
                <w:sz w:val="16"/>
                <w:szCs w:val="16"/>
                <w:color w:val="0000EE"/>
                <w:w w:val="91"/>
              </w:rPr>
            </w:pPr>
            <w:hyperlink r:id="rId150">
              <w:r>
                <w:rPr>
                  <w:rFonts w:ascii="Arial" w:cs="Arial" w:eastAsia="Arial" w:hAnsi="Arial"/>
                  <w:sz w:val="16"/>
                  <w:szCs w:val="16"/>
                  <w:color w:val="0000EE"/>
                  <w:w w:val="91"/>
                </w:rPr>
                <w:t>Master Fund Limited, Deseret Mutual Pension Trust and Southeastern Asset Management, Inc. (Incorporated by reference to Exhibit 4.6 of the</w:t>
              </w:r>
            </w:hyperlink>
          </w:p>
        </w:tc>
        <w:tc>
          <w:tcPr>
            <w:tcW w:w="100" w:type="dxa"/>
            <w:vAlign w:val="bottom"/>
            <w:tcBorders>
              <w:top w:val="single" w:sz="8" w:color="0000EE"/>
            </w:tcBorders>
          </w:tcPr>
          <w:p>
            <w:pPr>
              <w:spacing w:after="0"/>
              <w:rPr>
                <w:sz w:val="15"/>
                <w:szCs w:val="15"/>
                <w:color w:val="auto"/>
              </w:rPr>
            </w:pPr>
          </w:p>
        </w:tc>
        <w:tc>
          <w:tcPr>
            <w:tcW w:w="520" w:type="dxa"/>
            <w:vAlign w:val="bottom"/>
            <w:gridSpan w:val="15"/>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620" w:type="dxa"/>
            <w:vAlign w:val="bottom"/>
          </w:tcPr>
          <w:p>
            <w:pPr>
              <w:spacing w:after="0"/>
              <w:rPr>
                <w:sz w:val="15"/>
                <w:szCs w:val="15"/>
                <w:color w:val="auto"/>
              </w:rPr>
            </w:pPr>
          </w:p>
        </w:tc>
        <w:tc>
          <w:tcPr>
            <w:tcW w:w="9840" w:type="dxa"/>
            <w:vAlign w:val="bottom"/>
            <w:gridSpan w:val="29"/>
          </w:tcPr>
          <w:p>
            <w:pPr>
              <w:spacing w:after="0" w:line="174" w:lineRule="exact"/>
              <w:rPr>
                <w:rFonts w:ascii="Arial" w:cs="Arial" w:eastAsia="Arial" w:hAnsi="Arial"/>
                <w:sz w:val="16"/>
                <w:szCs w:val="16"/>
                <w:color w:val="0000EE"/>
              </w:rPr>
            </w:pPr>
            <w:hyperlink r:id="rId150">
              <w:r>
                <w:rPr>
                  <w:rFonts w:ascii="Arial" w:cs="Arial" w:eastAsia="Arial" w:hAnsi="Arial"/>
                  <w:sz w:val="16"/>
                  <w:szCs w:val="16"/>
                  <w:color w:val="0000EE"/>
                </w:rPr>
                <w:t>Company’s Amendment No. 2 to Registration Statement on Form S-3 as filed on May 5, 2017).</w:t>
              </w:r>
            </w:hyperlink>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2340" w:type="dxa"/>
            <w:vAlign w:val="bottom"/>
            <w:tcBorders>
              <w:right w:val="single" w:sz="8" w:color="0000EE"/>
            </w:tcBorders>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560" w:type="dxa"/>
            <w:vAlign w:val="bottom"/>
            <w:gridSpan w:val="4"/>
            <w:shd w:val="clear" w:color="auto" w:fill="0000EE"/>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5"/>
        </w:trPr>
        <w:tc>
          <w:tcPr>
            <w:tcW w:w="1620" w:type="dxa"/>
            <w:vAlign w:val="bottom"/>
          </w:tcPr>
          <w:p>
            <w:pPr>
              <w:spacing w:after="0"/>
              <w:rPr>
                <w:sz w:val="20"/>
                <w:szCs w:val="20"/>
                <w:color w:val="auto"/>
              </w:rPr>
            </w:pPr>
            <w:r>
              <w:rPr>
                <w:rFonts w:ascii="Arial" w:cs="Arial" w:eastAsia="Arial" w:hAnsi="Arial"/>
                <w:sz w:val="16"/>
                <w:szCs w:val="16"/>
                <w:color w:val="auto"/>
              </w:rPr>
              <w:t>*(10.1)</w:t>
            </w:r>
          </w:p>
        </w:tc>
        <w:tc>
          <w:tcPr>
            <w:tcW w:w="9660" w:type="dxa"/>
            <w:vAlign w:val="bottom"/>
            <w:tcBorders>
              <w:bottom w:val="single" w:sz="8" w:color="0000EE"/>
            </w:tcBorders>
            <w:gridSpan w:val="26"/>
          </w:tcPr>
          <w:p>
            <w:pPr>
              <w:spacing w:after="0"/>
              <w:rPr>
                <w:rFonts w:ascii="Arial" w:cs="Arial" w:eastAsia="Arial" w:hAnsi="Arial"/>
                <w:sz w:val="16"/>
                <w:szCs w:val="16"/>
                <w:color w:val="0000EE"/>
                <w:w w:val="91"/>
              </w:rPr>
            </w:pPr>
            <w:hyperlink r:id="rId151">
              <w:r>
                <w:rPr>
                  <w:rFonts w:ascii="Arial" w:cs="Arial" w:eastAsia="Arial" w:hAnsi="Arial"/>
                  <w:sz w:val="16"/>
                  <w:szCs w:val="16"/>
                  <w:color w:val="0000EE"/>
                  <w:w w:val="91"/>
                </w:rPr>
                <w:t>Eastman Kodak Company 2013 Omnibus Incentive Plan. (Incorporated by reference to Exhibit 4.4 of the Company’s Registration Statement on Form</w:t>
              </w:r>
            </w:hyperlink>
          </w:p>
        </w:tc>
        <w:tc>
          <w:tcPr>
            <w:tcW w:w="1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1620" w:type="dxa"/>
            <w:vAlign w:val="bottom"/>
          </w:tcPr>
          <w:p>
            <w:pPr>
              <w:spacing w:after="0"/>
              <w:rPr>
                <w:sz w:val="15"/>
                <w:szCs w:val="15"/>
                <w:color w:val="auto"/>
              </w:rPr>
            </w:pPr>
          </w:p>
        </w:tc>
        <w:tc>
          <w:tcPr>
            <w:tcW w:w="2340" w:type="dxa"/>
            <w:vAlign w:val="bottom"/>
            <w:tcBorders>
              <w:bottom w:val="single" w:sz="8" w:color="0000EE"/>
            </w:tcBorders>
          </w:tcPr>
          <w:p>
            <w:pPr>
              <w:spacing w:after="0" w:line="174" w:lineRule="exact"/>
              <w:rPr>
                <w:rFonts w:ascii="Arial" w:cs="Arial" w:eastAsia="Arial" w:hAnsi="Arial"/>
                <w:sz w:val="16"/>
                <w:szCs w:val="16"/>
                <w:color w:val="0000EE"/>
                <w:w w:val="91"/>
              </w:rPr>
            </w:pPr>
            <w:hyperlink r:id="rId151">
              <w:r>
                <w:rPr>
                  <w:rFonts w:ascii="Arial" w:cs="Arial" w:eastAsia="Arial" w:hAnsi="Arial"/>
                  <w:sz w:val="16"/>
                  <w:szCs w:val="16"/>
                  <w:color w:val="0000EE"/>
                  <w:w w:val="91"/>
                </w:rPr>
                <w:t>S-8 as filed on September 3, 2013).</w:t>
              </w:r>
            </w:hyperlink>
          </w:p>
        </w:tc>
        <w:tc>
          <w:tcPr>
            <w:tcW w:w="7500" w:type="dxa"/>
            <w:vAlign w:val="bottom"/>
            <w:gridSpan w:val="28"/>
          </w:tcPr>
          <w:p>
            <w:pPr>
              <w:spacing w:after="0"/>
              <w:rPr>
                <w:sz w:val="15"/>
                <w:szCs w:val="15"/>
                <w:color w:val="auto"/>
              </w:rPr>
            </w:pPr>
          </w:p>
        </w:tc>
        <w:tc>
          <w:tcPr>
            <w:tcW w:w="0" w:type="dxa"/>
            <w:vAlign w:val="bottom"/>
          </w:tcPr>
          <w:p>
            <w:pPr>
              <w:spacing w:after="0"/>
              <w:rPr>
                <w:sz w:val="1"/>
                <w:szCs w:val="1"/>
                <w:color w:val="auto"/>
              </w:rPr>
            </w:pPr>
          </w:p>
        </w:tc>
      </w:tr>
      <w:tr>
        <w:trPr>
          <w:trHeight w:val="391"/>
        </w:trPr>
        <w:tc>
          <w:tcPr>
            <w:tcW w:w="1620" w:type="dxa"/>
            <w:vAlign w:val="bottom"/>
          </w:tcPr>
          <w:p>
            <w:pPr>
              <w:spacing w:after="0"/>
              <w:rPr>
                <w:sz w:val="20"/>
                <w:szCs w:val="20"/>
                <w:color w:val="auto"/>
              </w:rPr>
            </w:pPr>
            <w:r>
              <w:rPr>
                <w:rFonts w:ascii="Arial" w:cs="Arial" w:eastAsia="Arial" w:hAnsi="Arial"/>
                <w:sz w:val="16"/>
                <w:szCs w:val="16"/>
                <w:color w:val="auto"/>
              </w:rPr>
              <w:t>*(10.2)</w:t>
            </w:r>
          </w:p>
        </w:tc>
        <w:tc>
          <w:tcPr>
            <w:tcW w:w="9520" w:type="dxa"/>
            <w:vAlign w:val="bottom"/>
            <w:tcBorders>
              <w:bottom w:val="single" w:sz="8" w:color="0000EE"/>
            </w:tcBorders>
            <w:gridSpan w:val="20"/>
          </w:tcPr>
          <w:p>
            <w:pPr>
              <w:spacing w:after="0"/>
              <w:rPr>
                <w:rFonts w:ascii="Arial" w:cs="Arial" w:eastAsia="Arial" w:hAnsi="Arial"/>
                <w:sz w:val="16"/>
                <w:szCs w:val="16"/>
                <w:color w:val="0000EE"/>
                <w:w w:val="91"/>
              </w:rPr>
            </w:pPr>
            <w:hyperlink r:id="rId152">
              <w:r>
                <w:rPr>
                  <w:rFonts w:ascii="Arial" w:cs="Arial" w:eastAsia="Arial" w:hAnsi="Arial"/>
                  <w:sz w:val="16"/>
                  <w:szCs w:val="16"/>
                  <w:color w:val="0000EE"/>
                  <w:w w:val="91"/>
                </w:rPr>
                <w:t>Eastman Kodak Company 2013 Omnibus Incentive Plan Form of Executive Restricted Stock Unit Award Agreement. (Incorporated by reference to</w:t>
              </w:r>
            </w:hyperlink>
          </w:p>
        </w:tc>
        <w:tc>
          <w:tcPr>
            <w:tcW w:w="32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1620" w:type="dxa"/>
            <w:vAlign w:val="bottom"/>
          </w:tcPr>
          <w:p>
            <w:pPr>
              <w:spacing w:after="0"/>
              <w:rPr>
                <w:sz w:val="15"/>
                <w:szCs w:val="15"/>
                <w:color w:val="auto"/>
              </w:rPr>
            </w:pPr>
          </w:p>
        </w:tc>
        <w:tc>
          <w:tcPr>
            <w:tcW w:w="9840" w:type="dxa"/>
            <w:vAlign w:val="bottom"/>
            <w:gridSpan w:val="29"/>
          </w:tcPr>
          <w:p>
            <w:pPr>
              <w:spacing w:after="0" w:line="174" w:lineRule="exact"/>
              <w:rPr>
                <w:rFonts w:ascii="Arial" w:cs="Arial" w:eastAsia="Arial" w:hAnsi="Arial"/>
                <w:sz w:val="16"/>
                <w:szCs w:val="16"/>
                <w:color w:val="0000EE"/>
                <w:w w:val="94"/>
              </w:rPr>
            </w:pPr>
            <w:hyperlink r:id="rId152">
              <w:r>
                <w:rPr>
                  <w:rFonts w:ascii="Arial" w:cs="Arial" w:eastAsia="Arial" w:hAnsi="Arial"/>
                  <w:sz w:val="16"/>
                  <w:szCs w:val="16"/>
                  <w:color w:val="0000EE"/>
                  <w:w w:val="94"/>
                </w:rPr>
                <w:t>Exhibit 10.2 of the Company’s Quarterly Report on Form 10-Q for the quarterly period ended September 30, 2013 as filed on November 12, 2013).</w:t>
              </w:r>
            </w:hyperlink>
          </w:p>
        </w:tc>
        <w:tc>
          <w:tcPr>
            <w:tcW w:w="0" w:type="dxa"/>
            <w:vAlign w:val="bottom"/>
          </w:tcPr>
          <w:p>
            <w:pPr>
              <w:spacing w:after="0"/>
              <w:rPr>
                <w:sz w:val="1"/>
                <w:szCs w:val="1"/>
                <w:color w:val="auto"/>
              </w:rPr>
            </w:pPr>
          </w:p>
        </w:tc>
      </w:tr>
      <w:tr>
        <w:trPr>
          <w:trHeight w:val="391"/>
        </w:trPr>
        <w:tc>
          <w:tcPr>
            <w:tcW w:w="1620" w:type="dxa"/>
            <w:vAlign w:val="bottom"/>
          </w:tcPr>
          <w:p>
            <w:pPr>
              <w:spacing w:after="0"/>
              <w:rPr>
                <w:sz w:val="20"/>
                <w:szCs w:val="20"/>
                <w:color w:val="auto"/>
              </w:rPr>
            </w:pPr>
            <w:r>
              <w:rPr>
                <w:rFonts w:ascii="Arial" w:cs="Arial" w:eastAsia="Arial" w:hAnsi="Arial"/>
                <w:sz w:val="16"/>
                <w:szCs w:val="16"/>
                <w:color w:val="auto"/>
              </w:rPr>
              <w:t>*(10.3)</w:t>
            </w:r>
          </w:p>
        </w:tc>
        <w:tc>
          <w:tcPr>
            <w:tcW w:w="9400" w:type="dxa"/>
            <w:vAlign w:val="bottom"/>
            <w:tcBorders>
              <w:top w:val="single" w:sz="8" w:color="0000EE"/>
              <w:bottom w:val="single" w:sz="8" w:color="0000EE"/>
            </w:tcBorders>
            <w:gridSpan w:val="15"/>
          </w:tcPr>
          <w:p>
            <w:pPr>
              <w:spacing w:after="0"/>
              <w:rPr>
                <w:rFonts w:ascii="Arial" w:cs="Arial" w:eastAsia="Arial" w:hAnsi="Arial"/>
                <w:sz w:val="16"/>
                <w:szCs w:val="16"/>
                <w:color w:val="0000EE"/>
                <w:w w:val="91"/>
              </w:rPr>
            </w:pPr>
            <w:hyperlink r:id="rId153">
              <w:r>
                <w:rPr>
                  <w:rFonts w:ascii="Arial" w:cs="Arial" w:eastAsia="Arial" w:hAnsi="Arial"/>
                  <w:sz w:val="16"/>
                  <w:szCs w:val="16"/>
                  <w:color w:val="0000EE"/>
                  <w:w w:val="91"/>
                </w:rPr>
                <w:t>Eastman Kodak Company 2013 Omnibus Incentive Plan Form of Director Restricted Stock Unit Award Agreement. (Incorporated by reference to</w:t>
              </w:r>
            </w:hyperlink>
          </w:p>
        </w:tc>
        <w:tc>
          <w:tcPr>
            <w:tcW w:w="100" w:type="dxa"/>
            <w:vAlign w:val="bottom"/>
            <w:tcBorders>
              <w:top w:val="single" w:sz="8" w:color="0000EE"/>
            </w:tcBorders>
            <w:gridSpan w:val="4"/>
          </w:tcPr>
          <w:p>
            <w:pPr>
              <w:spacing w:after="0"/>
              <w:rPr>
                <w:sz w:val="24"/>
                <w:szCs w:val="24"/>
                <w:color w:val="auto"/>
              </w:rPr>
            </w:pPr>
          </w:p>
        </w:tc>
        <w:tc>
          <w:tcPr>
            <w:tcW w:w="34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1620" w:type="dxa"/>
            <w:vAlign w:val="bottom"/>
          </w:tcPr>
          <w:p>
            <w:pPr>
              <w:spacing w:after="0"/>
              <w:rPr>
                <w:sz w:val="15"/>
                <w:szCs w:val="15"/>
                <w:color w:val="auto"/>
              </w:rPr>
            </w:pPr>
          </w:p>
        </w:tc>
        <w:tc>
          <w:tcPr>
            <w:tcW w:w="9840" w:type="dxa"/>
            <w:vAlign w:val="bottom"/>
            <w:gridSpan w:val="29"/>
          </w:tcPr>
          <w:p>
            <w:pPr>
              <w:spacing w:after="0" w:line="174" w:lineRule="exact"/>
              <w:rPr>
                <w:rFonts w:ascii="Arial" w:cs="Arial" w:eastAsia="Arial" w:hAnsi="Arial"/>
                <w:sz w:val="16"/>
                <w:szCs w:val="16"/>
                <w:color w:val="0000EE"/>
              </w:rPr>
            </w:pPr>
            <w:hyperlink r:id="rId153">
              <w:r>
                <w:rPr>
                  <w:rFonts w:ascii="Arial" w:cs="Arial" w:eastAsia="Arial" w:hAnsi="Arial"/>
                  <w:sz w:val="16"/>
                  <w:szCs w:val="16"/>
                  <w:color w:val="0000EE"/>
                </w:rPr>
                <w:t>Exhibit 10.3 of the Company’s Annual Report on Form 10-K for the fiscal year ended December 31, 2013 as filed on March 19, 2014).</w:t>
              </w:r>
            </w:hyperlink>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306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160" w:type="dxa"/>
            <w:vAlign w:val="bottom"/>
            <w:gridSpan w:val="5"/>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1"/>
        </w:trPr>
        <w:tc>
          <w:tcPr>
            <w:tcW w:w="1620" w:type="dxa"/>
            <w:vAlign w:val="bottom"/>
          </w:tcPr>
          <w:p>
            <w:pPr>
              <w:spacing w:after="0"/>
              <w:rPr>
                <w:sz w:val="20"/>
                <w:szCs w:val="20"/>
                <w:color w:val="auto"/>
              </w:rPr>
            </w:pPr>
            <w:r>
              <w:rPr>
                <w:rFonts w:ascii="Arial" w:cs="Arial" w:eastAsia="Arial" w:hAnsi="Arial"/>
                <w:sz w:val="16"/>
                <w:szCs w:val="16"/>
                <w:color w:val="auto"/>
              </w:rPr>
              <w:t>*(10.4)</w:t>
            </w:r>
          </w:p>
        </w:tc>
        <w:tc>
          <w:tcPr>
            <w:tcW w:w="9840" w:type="dxa"/>
            <w:vAlign w:val="bottom"/>
            <w:gridSpan w:val="29"/>
          </w:tcPr>
          <w:p>
            <w:pPr>
              <w:spacing w:after="0"/>
              <w:rPr>
                <w:rFonts w:ascii="Arial" w:cs="Arial" w:eastAsia="Arial" w:hAnsi="Arial"/>
                <w:sz w:val="16"/>
                <w:szCs w:val="16"/>
                <w:color w:val="0000EE"/>
                <w:w w:val="93"/>
              </w:rPr>
            </w:pPr>
            <w:hyperlink r:id="rId154">
              <w:r>
                <w:rPr>
                  <w:rFonts w:ascii="Arial" w:cs="Arial" w:eastAsia="Arial" w:hAnsi="Arial"/>
                  <w:sz w:val="16"/>
                  <w:szCs w:val="16"/>
                  <w:color w:val="0000EE"/>
                  <w:w w:val="93"/>
                </w:rPr>
                <w:t>Eastman Kodak Company 2013 Omnibus Incentive Plan Form of Nonqualified Stock Option Agreement. (Incorporated by reference to Exhibit 10.1 of</w:t>
              </w:r>
            </w:hyperlink>
          </w:p>
        </w:tc>
        <w:tc>
          <w:tcPr>
            <w:tcW w:w="0" w:type="dxa"/>
            <w:vAlign w:val="bottom"/>
          </w:tcPr>
          <w:p>
            <w:pPr>
              <w:spacing w:after="0"/>
              <w:rPr>
                <w:sz w:val="1"/>
                <w:szCs w:val="1"/>
                <w:color w:val="auto"/>
              </w:rPr>
            </w:pPr>
          </w:p>
        </w:tc>
      </w:tr>
      <w:tr>
        <w:trPr>
          <w:trHeight w:val="173"/>
        </w:trPr>
        <w:tc>
          <w:tcPr>
            <w:tcW w:w="1620" w:type="dxa"/>
            <w:vAlign w:val="bottom"/>
          </w:tcPr>
          <w:p>
            <w:pPr>
              <w:spacing w:after="0"/>
              <w:rPr>
                <w:sz w:val="15"/>
                <w:szCs w:val="15"/>
                <w:color w:val="auto"/>
              </w:rPr>
            </w:pPr>
          </w:p>
        </w:tc>
        <w:tc>
          <w:tcPr>
            <w:tcW w:w="7760" w:type="dxa"/>
            <w:vAlign w:val="bottom"/>
            <w:tcBorders>
              <w:top w:val="single" w:sz="8" w:color="0000EE"/>
              <w:bottom w:val="single" w:sz="8" w:color="0000EE"/>
            </w:tcBorders>
            <w:gridSpan w:val="9"/>
          </w:tcPr>
          <w:p>
            <w:pPr>
              <w:spacing w:after="0" w:line="174" w:lineRule="exact"/>
              <w:rPr>
                <w:rFonts w:ascii="Arial" w:cs="Arial" w:eastAsia="Arial" w:hAnsi="Arial"/>
                <w:sz w:val="16"/>
                <w:szCs w:val="16"/>
                <w:color w:val="0000EE"/>
                <w:w w:val="91"/>
              </w:rPr>
            </w:pPr>
            <w:hyperlink r:id="rId154">
              <w:r>
                <w:rPr>
                  <w:rFonts w:ascii="Arial" w:cs="Arial" w:eastAsia="Arial" w:hAnsi="Arial"/>
                  <w:sz w:val="16"/>
                  <w:szCs w:val="16"/>
                  <w:color w:val="0000EE"/>
                  <w:w w:val="91"/>
                </w:rPr>
                <w:t>the Company’s Quarterly Report on Form 10-Q for the quarterly period ended March 31, 2015 as filed on May 7, 2015).</w:t>
              </w:r>
            </w:hyperlink>
          </w:p>
        </w:tc>
        <w:tc>
          <w:tcPr>
            <w:tcW w:w="1960" w:type="dxa"/>
            <w:vAlign w:val="bottom"/>
            <w:tcBorders>
              <w:top w:val="single" w:sz="8" w:color="0000EE"/>
            </w:tcBorders>
            <w:gridSpan w:val="18"/>
          </w:tcPr>
          <w:p>
            <w:pPr>
              <w:spacing w:after="0"/>
              <w:rPr>
                <w:sz w:val="15"/>
                <w:szCs w:val="15"/>
                <w:color w:val="auto"/>
              </w:rPr>
            </w:pPr>
          </w:p>
        </w:tc>
        <w:tc>
          <w:tcPr>
            <w:tcW w:w="12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391"/>
        </w:trPr>
        <w:tc>
          <w:tcPr>
            <w:tcW w:w="1620" w:type="dxa"/>
            <w:vAlign w:val="bottom"/>
          </w:tcPr>
          <w:p>
            <w:pPr>
              <w:spacing w:after="0"/>
              <w:rPr>
                <w:sz w:val="20"/>
                <w:szCs w:val="20"/>
                <w:color w:val="auto"/>
              </w:rPr>
            </w:pPr>
            <w:r>
              <w:rPr>
                <w:rFonts w:ascii="Arial" w:cs="Arial" w:eastAsia="Arial" w:hAnsi="Arial"/>
                <w:sz w:val="16"/>
                <w:szCs w:val="16"/>
                <w:color w:val="auto"/>
              </w:rPr>
              <w:t>*(10.5)</w:t>
            </w:r>
          </w:p>
        </w:tc>
        <w:tc>
          <w:tcPr>
            <w:tcW w:w="9840" w:type="dxa"/>
            <w:vAlign w:val="bottom"/>
            <w:gridSpan w:val="29"/>
          </w:tcPr>
          <w:p>
            <w:pPr>
              <w:spacing w:after="0"/>
              <w:rPr>
                <w:rFonts w:ascii="Arial" w:cs="Arial" w:eastAsia="Arial" w:hAnsi="Arial"/>
                <w:sz w:val="16"/>
                <w:szCs w:val="16"/>
                <w:color w:val="0000EE"/>
                <w:w w:val="94"/>
              </w:rPr>
            </w:pPr>
            <w:hyperlink r:id="rId155">
              <w:r>
                <w:rPr>
                  <w:rFonts w:ascii="Arial" w:cs="Arial" w:eastAsia="Arial" w:hAnsi="Arial"/>
                  <w:sz w:val="16"/>
                  <w:szCs w:val="16"/>
                  <w:color w:val="0000EE"/>
                  <w:w w:val="94"/>
                </w:rPr>
                <w:t>Eastman Kodak Company 2013 Omnibus Incentive Plan Form of Executive Restricted Stock Unit and Nonqualified Stock Option Award Agreement</w:t>
              </w:r>
            </w:hyperlink>
          </w:p>
        </w:tc>
        <w:tc>
          <w:tcPr>
            <w:tcW w:w="0" w:type="dxa"/>
            <w:vAlign w:val="bottom"/>
          </w:tcPr>
          <w:p>
            <w:pPr>
              <w:spacing w:after="0"/>
              <w:rPr>
                <w:sz w:val="1"/>
                <w:szCs w:val="1"/>
                <w:color w:val="auto"/>
              </w:rPr>
            </w:pPr>
          </w:p>
        </w:tc>
      </w:tr>
      <w:tr>
        <w:trPr>
          <w:trHeight w:val="173"/>
        </w:trPr>
        <w:tc>
          <w:tcPr>
            <w:tcW w:w="1620" w:type="dxa"/>
            <w:vAlign w:val="bottom"/>
          </w:tcPr>
          <w:p>
            <w:pPr>
              <w:spacing w:after="0"/>
              <w:rPr>
                <w:sz w:val="15"/>
                <w:szCs w:val="15"/>
                <w:color w:val="auto"/>
              </w:rPr>
            </w:pPr>
          </w:p>
        </w:tc>
        <w:tc>
          <w:tcPr>
            <w:tcW w:w="9460" w:type="dxa"/>
            <w:vAlign w:val="bottom"/>
            <w:tcBorders>
              <w:top w:val="single" w:sz="8" w:color="0000EE"/>
              <w:bottom w:val="single" w:sz="8" w:color="0000EE"/>
            </w:tcBorders>
            <w:gridSpan w:val="17"/>
          </w:tcPr>
          <w:p>
            <w:pPr>
              <w:spacing w:after="0" w:line="174" w:lineRule="exact"/>
              <w:rPr>
                <w:rFonts w:ascii="Arial" w:cs="Arial" w:eastAsia="Arial" w:hAnsi="Arial"/>
                <w:sz w:val="16"/>
                <w:szCs w:val="16"/>
                <w:color w:val="0000EE"/>
                <w:w w:val="93"/>
              </w:rPr>
            </w:pPr>
            <w:hyperlink r:id="rId155">
              <w:r>
                <w:rPr>
                  <w:rFonts w:ascii="Arial" w:cs="Arial" w:eastAsia="Arial" w:hAnsi="Arial"/>
                  <w:sz w:val="16"/>
                  <w:szCs w:val="16"/>
                  <w:color w:val="0000EE"/>
                  <w:w w:val="93"/>
                </w:rPr>
                <w:t>(with Modified Accelerated Vesting).(Incorporated by reference to Exhibit 10.5 of the Company’s Annual Report on Form 10-K for the fiscal year</w:t>
              </w:r>
            </w:hyperlink>
          </w:p>
        </w:tc>
        <w:tc>
          <w:tcPr>
            <w:tcW w:w="140" w:type="dxa"/>
            <w:vAlign w:val="bottom"/>
            <w:tcBorders>
              <w:top w:val="single" w:sz="8" w:color="0000EE"/>
            </w:tcBorders>
            <w:gridSpan w:val="7"/>
          </w:tcPr>
          <w:p>
            <w:pPr>
              <w:spacing w:after="0"/>
              <w:rPr>
                <w:sz w:val="15"/>
                <w:szCs w:val="15"/>
                <w:color w:val="auto"/>
              </w:rPr>
            </w:pPr>
          </w:p>
        </w:tc>
        <w:tc>
          <w:tcPr>
            <w:tcW w:w="240" w:type="dxa"/>
            <w:vAlign w:val="bottom"/>
            <w:gridSpan w:val="5"/>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620" w:type="dxa"/>
            <w:vAlign w:val="bottom"/>
          </w:tcPr>
          <w:p>
            <w:pPr>
              <w:spacing w:after="0"/>
              <w:rPr>
                <w:sz w:val="15"/>
                <w:szCs w:val="15"/>
                <w:color w:val="auto"/>
              </w:rPr>
            </w:pPr>
          </w:p>
        </w:tc>
        <w:tc>
          <w:tcPr>
            <w:tcW w:w="3480" w:type="dxa"/>
            <w:vAlign w:val="bottom"/>
            <w:tcBorders>
              <w:bottom w:val="single" w:sz="8" w:color="0000EE"/>
            </w:tcBorders>
            <w:gridSpan w:val="3"/>
          </w:tcPr>
          <w:p>
            <w:pPr>
              <w:spacing w:after="0" w:line="174" w:lineRule="exact"/>
              <w:rPr>
                <w:rFonts w:ascii="Arial" w:cs="Arial" w:eastAsia="Arial" w:hAnsi="Arial"/>
                <w:sz w:val="16"/>
                <w:szCs w:val="16"/>
                <w:color w:val="0000EE"/>
                <w:w w:val="90"/>
              </w:rPr>
            </w:pPr>
            <w:hyperlink r:id="rId155">
              <w:r>
                <w:rPr>
                  <w:rFonts w:ascii="Arial" w:cs="Arial" w:eastAsia="Arial" w:hAnsi="Arial"/>
                  <w:sz w:val="16"/>
                  <w:szCs w:val="16"/>
                  <w:color w:val="0000EE"/>
                  <w:w w:val="90"/>
                </w:rPr>
                <w:t>ended December 31, 2016 as filed on March 7, 2017).</w:t>
              </w:r>
            </w:hyperlink>
          </w:p>
        </w:tc>
        <w:tc>
          <w:tcPr>
            <w:tcW w:w="6360" w:type="dxa"/>
            <w:vAlign w:val="bottom"/>
            <w:gridSpan w:val="26"/>
          </w:tcPr>
          <w:p>
            <w:pPr>
              <w:spacing w:after="0"/>
              <w:rPr>
                <w:sz w:val="15"/>
                <w:szCs w:val="15"/>
                <w:color w:val="auto"/>
              </w:rPr>
            </w:pPr>
          </w:p>
        </w:tc>
        <w:tc>
          <w:tcPr>
            <w:tcW w:w="0" w:type="dxa"/>
            <w:vAlign w:val="bottom"/>
          </w:tcPr>
          <w:p>
            <w:pPr>
              <w:spacing w:after="0"/>
              <w:rPr>
                <w:sz w:val="1"/>
                <w:szCs w:val="1"/>
                <w:color w:val="auto"/>
              </w:rPr>
            </w:pPr>
          </w:p>
        </w:tc>
      </w:tr>
      <w:tr>
        <w:trPr>
          <w:trHeight w:val="391"/>
        </w:trPr>
        <w:tc>
          <w:tcPr>
            <w:tcW w:w="1620" w:type="dxa"/>
            <w:vAlign w:val="bottom"/>
          </w:tcPr>
          <w:p>
            <w:pPr>
              <w:spacing w:after="0"/>
              <w:rPr>
                <w:sz w:val="20"/>
                <w:szCs w:val="20"/>
                <w:color w:val="auto"/>
              </w:rPr>
            </w:pPr>
            <w:r>
              <w:rPr>
                <w:rFonts w:ascii="Arial" w:cs="Arial" w:eastAsia="Arial" w:hAnsi="Arial"/>
                <w:sz w:val="16"/>
                <w:szCs w:val="16"/>
                <w:color w:val="auto"/>
              </w:rPr>
              <w:t>*(10.6)</w:t>
            </w:r>
          </w:p>
        </w:tc>
        <w:tc>
          <w:tcPr>
            <w:tcW w:w="9840" w:type="dxa"/>
            <w:vAlign w:val="bottom"/>
            <w:gridSpan w:val="29"/>
          </w:tcPr>
          <w:p>
            <w:pPr>
              <w:spacing w:after="0"/>
              <w:rPr>
                <w:rFonts w:ascii="Arial" w:cs="Arial" w:eastAsia="Arial" w:hAnsi="Arial"/>
                <w:sz w:val="16"/>
                <w:szCs w:val="16"/>
                <w:color w:val="0000EE"/>
                <w:w w:val="94"/>
              </w:rPr>
            </w:pPr>
            <w:hyperlink r:id="rId156">
              <w:r>
                <w:rPr>
                  <w:rFonts w:ascii="Arial" w:cs="Arial" w:eastAsia="Arial" w:hAnsi="Arial"/>
                  <w:sz w:val="16"/>
                  <w:szCs w:val="16"/>
                  <w:color w:val="0000EE"/>
                  <w:w w:val="94"/>
                </w:rPr>
                <w:t>Eastman Kodak Company 2013 Omnibus Incentive Plan Form of Executive Restricted Stock Unit and Nonqualified Stock Option Award Agreement</w:t>
              </w:r>
            </w:hyperlink>
          </w:p>
        </w:tc>
        <w:tc>
          <w:tcPr>
            <w:tcW w:w="0" w:type="dxa"/>
            <w:vAlign w:val="bottom"/>
          </w:tcPr>
          <w:p>
            <w:pPr>
              <w:spacing w:after="0"/>
              <w:rPr>
                <w:sz w:val="1"/>
                <w:szCs w:val="1"/>
                <w:color w:val="auto"/>
              </w:rPr>
            </w:pPr>
          </w:p>
        </w:tc>
      </w:tr>
      <w:tr>
        <w:trPr>
          <w:trHeight w:val="173"/>
        </w:trPr>
        <w:tc>
          <w:tcPr>
            <w:tcW w:w="1620" w:type="dxa"/>
            <w:vAlign w:val="bottom"/>
          </w:tcPr>
          <w:p>
            <w:pPr>
              <w:spacing w:after="0"/>
              <w:rPr>
                <w:sz w:val="15"/>
                <w:szCs w:val="15"/>
                <w:color w:val="auto"/>
              </w:rPr>
            </w:pPr>
          </w:p>
        </w:tc>
        <w:tc>
          <w:tcPr>
            <w:tcW w:w="9600" w:type="dxa"/>
            <w:vAlign w:val="bottom"/>
            <w:tcBorders>
              <w:top w:val="single" w:sz="8" w:color="0000EE"/>
            </w:tcBorders>
            <w:gridSpan w:val="24"/>
          </w:tcPr>
          <w:p>
            <w:pPr>
              <w:spacing w:after="0" w:line="174" w:lineRule="exact"/>
              <w:rPr>
                <w:rFonts w:ascii="Arial" w:cs="Arial" w:eastAsia="Arial" w:hAnsi="Arial"/>
                <w:sz w:val="16"/>
                <w:szCs w:val="16"/>
                <w:color w:val="0000EE"/>
                <w:w w:val="96"/>
              </w:rPr>
            </w:pPr>
            <w:hyperlink r:id="rId156">
              <w:r>
                <w:rPr>
                  <w:rFonts w:ascii="Arial" w:cs="Arial" w:eastAsia="Arial" w:hAnsi="Arial"/>
                  <w:sz w:val="16"/>
                  <w:szCs w:val="16"/>
                  <w:color w:val="0000EE"/>
                  <w:w w:val="96"/>
                </w:rPr>
                <w:t>(with Continued Vesting). (Incorporated by reference to Exhibit 10.6 of the Company’s Annual Report on Form 10-K for the fiscal year ended</w:t>
              </w:r>
            </w:hyperlink>
          </w:p>
        </w:tc>
        <w:tc>
          <w:tcPr>
            <w:tcW w:w="240" w:type="dxa"/>
            <w:vAlign w:val="bottom"/>
            <w:gridSpan w:val="5"/>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620" w:type="dxa"/>
            <w:vAlign w:val="bottom"/>
          </w:tcPr>
          <w:p>
            <w:pPr>
              <w:spacing w:after="0"/>
              <w:rPr>
                <w:sz w:val="15"/>
                <w:szCs w:val="15"/>
                <w:color w:val="auto"/>
              </w:rPr>
            </w:pPr>
          </w:p>
        </w:tc>
        <w:tc>
          <w:tcPr>
            <w:tcW w:w="3060" w:type="dxa"/>
            <w:vAlign w:val="bottom"/>
            <w:tcBorders>
              <w:top w:val="single" w:sz="8" w:color="0000EE"/>
              <w:bottom w:val="single" w:sz="8" w:color="0000EE"/>
            </w:tcBorders>
            <w:gridSpan w:val="2"/>
          </w:tcPr>
          <w:p>
            <w:pPr>
              <w:spacing w:after="0" w:line="174" w:lineRule="exact"/>
              <w:rPr>
                <w:rFonts w:ascii="Arial" w:cs="Arial" w:eastAsia="Arial" w:hAnsi="Arial"/>
                <w:sz w:val="16"/>
                <w:szCs w:val="16"/>
                <w:color w:val="0000EE"/>
                <w:w w:val="90"/>
              </w:rPr>
            </w:pPr>
            <w:hyperlink r:id="rId156">
              <w:r>
                <w:rPr>
                  <w:rFonts w:ascii="Arial" w:cs="Arial" w:eastAsia="Arial" w:hAnsi="Arial"/>
                  <w:sz w:val="16"/>
                  <w:szCs w:val="16"/>
                  <w:color w:val="0000EE"/>
                  <w:w w:val="90"/>
                </w:rPr>
                <w:t>December 31, 2016 as filed on March 7, 2017).</w:t>
              </w:r>
            </w:hyperlink>
          </w:p>
        </w:tc>
        <w:tc>
          <w:tcPr>
            <w:tcW w:w="6100" w:type="dxa"/>
            <w:vAlign w:val="bottom"/>
            <w:tcBorders>
              <w:top w:val="single" w:sz="8" w:color="0000EE"/>
            </w:tcBorders>
            <w:gridSpan w:val="10"/>
          </w:tcPr>
          <w:p>
            <w:pPr>
              <w:spacing w:after="0"/>
              <w:rPr>
                <w:sz w:val="15"/>
                <w:szCs w:val="15"/>
                <w:color w:val="auto"/>
              </w:rPr>
            </w:pPr>
          </w:p>
        </w:tc>
        <w:tc>
          <w:tcPr>
            <w:tcW w:w="680" w:type="dxa"/>
            <w:vAlign w:val="bottom"/>
            <w:gridSpan w:val="17"/>
          </w:tcPr>
          <w:p>
            <w:pPr>
              <w:spacing w:after="0"/>
              <w:rPr>
                <w:sz w:val="15"/>
                <w:szCs w:val="15"/>
                <w:color w:val="auto"/>
              </w:rPr>
            </w:pPr>
          </w:p>
        </w:tc>
        <w:tc>
          <w:tcPr>
            <w:tcW w:w="0" w:type="dxa"/>
            <w:vAlign w:val="bottom"/>
          </w:tcPr>
          <w:p>
            <w:pPr>
              <w:spacing w:after="0"/>
              <w:rPr>
                <w:sz w:val="1"/>
                <w:szCs w:val="1"/>
                <w:color w:val="auto"/>
              </w:rPr>
            </w:pPr>
          </w:p>
        </w:tc>
      </w:tr>
      <w:tr>
        <w:trPr>
          <w:trHeight w:val="391"/>
        </w:trPr>
        <w:tc>
          <w:tcPr>
            <w:tcW w:w="1620" w:type="dxa"/>
            <w:vAlign w:val="bottom"/>
          </w:tcPr>
          <w:p>
            <w:pPr>
              <w:spacing w:after="0"/>
              <w:rPr>
                <w:sz w:val="20"/>
                <w:szCs w:val="20"/>
                <w:color w:val="auto"/>
              </w:rPr>
            </w:pPr>
            <w:r>
              <w:rPr>
                <w:rFonts w:ascii="Arial" w:cs="Arial" w:eastAsia="Arial" w:hAnsi="Arial"/>
                <w:sz w:val="16"/>
                <w:szCs w:val="16"/>
                <w:color w:val="auto"/>
              </w:rPr>
              <w:t>*(10.7)</w:t>
            </w:r>
          </w:p>
        </w:tc>
        <w:tc>
          <w:tcPr>
            <w:tcW w:w="9840" w:type="dxa"/>
            <w:vAlign w:val="bottom"/>
            <w:gridSpan w:val="29"/>
          </w:tcPr>
          <w:p>
            <w:pPr>
              <w:spacing w:after="0"/>
              <w:rPr>
                <w:rFonts w:ascii="Arial" w:cs="Arial" w:eastAsia="Arial" w:hAnsi="Arial"/>
                <w:sz w:val="16"/>
                <w:szCs w:val="16"/>
                <w:color w:val="0000EE"/>
                <w:w w:val="94"/>
              </w:rPr>
            </w:pPr>
            <w:hyperlink r:id="rId157">
              <w:r>
                <w:rPr>
                  <w:rFonts w:ascii="Arial" w:cs="Arial" w:eastAsia="Arial" w:hAnsi="Arial"/>
                  <w:sz w:val="16"/>
                  <w:szCs w:val="16"/>
                  <w:color w:val="0000EE"/>
                  <w:w w:val="94"/>
                </w:rPr>
                <w:t>Eastman Kodak Company 2013 Omnibus Incentive Plan Form of Executive Restricted Stock Unit and Nonqualified Stock Option Award Agreement</w:t>
              </w:r>
            </w:hyperlink>
          </w:p>
        </w:tc>
        <w:tc>
          <w:tcPr>
            <w:tcW w:w="0" w:type="dxa"/>
            <w:vAlign w:val="bottom"/>
          </w:tcPr>
          <w:p>
            <w:pPr>
              <w:spacing w:after="0"/>
              <w:rPr>
                <w:sz w:val="1"/>
                <w:szCs w:val="1"/>
                <w:color w:val="auto"/>
              </w:rPr>
            </w:pPr>
          </w:p>
        </w:tc>
      </w:tr>
      <w:tr>
        <w:trPr>
          <w:trHeight w:val="173"/>
        </w:trPr>
        <w:tc>
          <w:tcPr>
            <w:tcW w:w="1620" w:type="dxa"/>
            <w:vAlign w:val="bottom"/>
          </w:tcPr>
          <w:p>
            <w:pPr>
              <w:spacing w:after="0"/>
              <w:rPr>
                <w:sz w:val="15"/>
                <w:szCs w:val="15"/>
                <w:color w:val="auto"/>
              </w:rPr>
            </w:pPr>
          </w:p>
        </w:tc>
        <w:tc>
          <w:tcPr>
            <w:tcW w:w="9440" w:type="dxa"/>
            <w:vAlign w:val="bottom"/>
            <w:tcBorders>
              <w:top w:val="single" w:sz="8" w:color="0000EE"/>
              <w:bottom w:val="single" w:sz="8" w:color="0000EE"/>
            </w:tcBorders>
            <w:gridSpan w:val="16"/>
          </w:tcPr>
          <w:p>
            <w:pPr>
              <w:spacing w:after="0" w:line="174" w:lineRule="exact"/>
              <w:rPr>
                <w:rFonts w:ascii="Arial" w:cs="Arial" w:eastAsia="Arial" w:hAnsi="Arial"/>
                <w:sz w:val="16"/>
                <w:szCs w:val="16"/>
                <w:color w:val="0000EE"/>
                <w:w w:val="92"/>
              </w:rPr>
            </w:pPr>
            <w:hyperlink r:id="rId157">
              <w:r>
                <w:rPr>
                  <w:rFonts w:ascii="Arial" w:cs="Arial" w:eastAsia="Arial" w:hAnsi="Arial"/>
                  <w:sz w:val="16"/>
                  <w:szCs w:val="16"/>
                  <w:color w:val="0000EE"/>
                  <w:w w:val="92"/>
                </w:rPr>
                <w:t>(with Forfeiture upon Termination). (Incorporated by reference to Exhibit 10.2 of the Company’s Quarterly Report on Form 10-Q for the quarterly</w:t>
              </w:r>
            </w:hyperlink>
          </w:p>
        </w:tc>
        <w:tc>
          <w:tcPr>
            <w:tcW w:w="160" w:type="dxa"/>
            <w:vAlign w:val="bottom"/>
            <w:tcBorders>
              <w:top w:val="single" w:sz="8" w:color="0000EE"/>
            </w:tcBorders>
            <w:gridSpan w:val="8"/>
          </w:tcPr>
          <w:p>
            <w:pPr>
              <w:spacing w:after="0"/>
              <w:rPr>
                <w:sz w:val="15"/>
                <w:szCs w:val="15"/>
                <w:color w:val="auto"/>
              </w:rPr>
            </w:pPr>
          </w:p>
        </w:tc>
        <w:tc>
          <w:tcPr>
            <w:tcW w:w="240" w:type="dxa"/>
            <w:vAlign w:val="bottom"/>
            <w:gridSpan w:val="5"/>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620" w:type="dxa"/>
            <w:vAlign w:val="bottom"/>
          </w:tcPr>
          <w:p>
            <w:pPr>
              <w:spacing w:after="0"/>
              <w:rPr>
                <w:sz w:val="15"/>
                <w:szCs w:val="15"/>
                <w:color w:val="auto"/>
              </w:rPr>
            </w:pPr>
          </w:p>
        </w:tc>
        <w:tc>
          <w:tcPr>
            <w:tcW w:w="9840" w:type="dxa"/>
            <w:vAlign w:val="bottom"/>
            <w:gridSpan w:val="29"/>
          </w:tcPr>
          <w:p>
            <w:pPr>
              <w:spacing w:after="0" w:line="174" w:lineRule="exact"/>
              <w:rPr>
                <w:rFonts w:ascii="Arial" w:cs="Arial" w:eastAsia="Arial" w:hAnsi="Arial"/>
                <w:sz w:val="16"/>
                <w:szCs w:val="16"/>
                <w:color w:val="0000EE"/>
              </w:rPr>
            </w:pPr>
            <w:hyperlink r:id="rId157">
              <w:r>
                <w:rPr>
                  <w:rFonts w:ascii="Arial" w:cs="Arial" w:eastAsia="Arial" w:hAnsi="Arial"/>
                  <w:sz w:val="16"/>
                  <w:szCs w:val="16"/>
                  <w:color w:val="0000EE"/>
                </w:rPr>
                <w:t>period ended June 30, 2017 as filed on August 9, 2017).</w:t>
              </w:r>
            </w:hyperlink>
          </w:p>
        </w:tc>
        <w:tc>
          <w:tcPr>
            <w:tcW w:w="0" w:type="dxa"/>
            <w:vAlign w:val="bottom"/>
          </w:tcPr>
          <w:p>
            <w:pPr>
              <w:spacing w:after="0"/>
              <w:rPr>
                <w:sz w:val="1"/>
                <w:szCs w:val="1"/>
                <w:color w:val="auto"/>
              </w:rPr>
            </w:pPr>
          </w:p>
        </w:tc>
      </w:tr>
      <w:tr>
        <w:trPr>
          <w:trHeight w:val="620"/>
        </w:trPr>
        <w:tc>
          <w:tcPr>
            <w:tcW w:w="1620" w:type="dxa"/>
            <w:vAlign w:val="bottom"/>
          </w:tcPr>
          <w:p>
            <w:pPr>
              <w:spacing w:after="0"/>
              <w:rPr>
                <w:sz w:val="24"/>
                <w:szCs w:val="24"/>
                <w:color w:val="auto"/>
              </w:rPr>
            </w:pPr>
          </w:p>
        </w:tc>
        <w:tc>
          <w:tcPr>
            <w:tcW w:w="3600" w:type="dxa"/>
            <w:vAlign w:val="bottom"/>
            <w:tcBorders>
              <w:top w:val="single" w:sz="8" w:color="0000EE"/>
            </w:tcBorders>
            <w:gridSpan w:val="4"/>
          </w:tcPr>
          <w:p>
            <w:pPr>
              <w:spacing w:after="0"/>
              <w:rPr>
                <w:sz w:val="24"/>
                <w:szCs w:val="24"/>
                <w:color w:val="auto"/>
              </w:rPr>
            </w:pPr>
          </w:p>
        </w:tc>
        <w:tc>
          <w:tcPr>
            <w:tcW w:w="780" w:type="dxa"/>
            <w:vAlign w:val="bottom"/>
          </w:tcPr>
          <w:p>
            <w:pPr>
              <w:jc w:val="center"/>
              <w:ind w:left="139"/>
              <w:spacing w:after="0"/>
              <w:rPr>
                <w:sz w:val="20"/>
                <w:szCs w:val="20"/>
                <w:color w:val="auto"/>
              </w:rPr>
            </w:pPr>
            <w:r>
              <w:rPr>
                <w:rFonts w:ascii="Arial" w:cs="Arial" w:eastAsia="Arial" w:hAnsi="Arial"/>
                <w:sz w:val="16"/>
                <w:szCs w:val="16"/>
                <w:color w:val="auto"/>
                <w:w w:val="89"/>
              </w:rPr>
              <w:t>107</w:t>
            </w: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1620" w:type="dxa"/>
            <w:vAlign w:val="bottom"/>
            <w:tcBorders>
              <w:bottom w:val="single" w:sz="8" w:color="9A9A9A"/>
            </w:tcBorders>
          </w:tcPr>
          <w:p>
            <w:pPr>
              <w:spacing w:after="0"/>
              <w:rPr>
                <w:sz w:val="8"/>
                <w:szCs w:val="8"/>
                <w:color w:val="auto"/>
              </w:rPr>
            </w:pPr>
          </w:p>
        </w:tc>
        <w:tc>
          <w:tcPr>
            <w:tcW w:w="234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160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7253605</wp:posOffset>
            </wp:positionH>
            <wp:positionV relativeFrom="paragraph">
              <wp:posOffset>-27305</wp:posOffset>
            </wp:positionV>
            <wp:extent cx="33020" cy="406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8">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-27305</wp:posOffset>
            </wp:positionV>
            <wp:extent cx="33020" cy="406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9">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460"/>
          </w:cols>
          <w:pgMar w:left="240" w:top="123" w:right="199"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184"/>
        </w:trPr>
        <w:tc>
          <w:tcPr>
            <w:tcW w:w="1620" w:type="dxa"/>
            <w:vAlign w:val="bottom"/>
          </w:tcPr>
          <w:p>
            <w:pPr>
              <w:spacing w:after="0"/>
              <w:rPr>
                <w:sz w:val="20"/>
                <w:szCs w:val="20"/>
                <w:color w:val="auto"/>
              </w:rPr>
            </w:pPr>
            <w:r>
              <w:rPr>
                <w:rFonts w:ascii="Arial" w:cs="Arial" w:eastAsia="Arial" w:hAnsi="Arial"/>
                <w:sz w:val="16"/>
                <w:szCs w:val="16"/>
                <w:color w:val="auto"/>
              </w:rPr>
              <w:t>*(10.8)</w:t>
            </w:r>
          </w:p>
        </w:tc>
        <w:tc>
          <w:tcPr>
            <w:tcW w:w="9680" w:type="dxa"/>
            <w:vAlign w:val="bottom"/>
            <w:tcBorders>
              <w:bottom w:val="single" w:sz="8" w:color="0000EE"/>
            </w:tcBorders>
            <w:gridSpan w:val="21"/>
          </w:tcPr>
          <w:p>
            <w:pPr>
              <w:spacing w:after="0"/>
              <w:rPr>
                <w:rFonts w:ascii="Arial" w:cs="Arial" w:eastAsia="Arial" w:hAnsi="Arial"/>
                <w:sz w:val="16"/>
                <w:szCs w:val="16"/>
                <w:color w:val="0000EE"/>
                <w:w w:val="91"/>
              </w:rPr>
            </w:pPr>
            <w:hyperlink r:id="rId160">
              <w:r>
                <w:rPr>
                  <w:rFonts w:ascii="Arial" w:cs="Arial" w:eastAsia="Arial" w:hAnsi="Arial"/>
                  <w:sz w:val="16"/>
                  <w:szCs w:val="16"/>
                  <w:color w:val="0000EE"/>
                  <w:w w:val="91"/>
                </w:rPr>
                <w:t>Eastman Kodak Company 2013 Omnibus Incentive Plan Form of Director Restricted Stock Unit Award Agreement (One Year Vesting). (Incorporated</w:t>
              </w:r>
            </w:hyperlink>
          </w:p>
        </w:tc>
        <w:tc>
          <w:tcPr>
            <w:tcW w:w="160" w:type="dxa"/>
            <w:vAlign w:val="bottom"/>
            <w:gridSpan w:val="7"/>
          </w:tcPr>
          <w:p>
            <w:pPr>
              <w:spacing w:after="0"/>
              <w:rPr>
                <w:sz w:val="16"/>
                <w:szCs w:val="16"/>
                <w:color w:val="auto"/>
              </w:rPr>
            </w:pPr>
          </w:p>
        </w:tc>
      </w:tr>
      <w:tr>
        <w:trPr>
          <w:trHeight w:val="173"/>
        </w:trPr>
        <w:tc>
          <w:tcPr>
            <w:tcW w:w="1620" w:type="dxa"/>
            <w:vAlign w:val="bottom"/>
          </w:tcPr>
          <w:p>
            <w:pPr>
              <w:spacing w:after="0"/>
              <w:rPr>
                <w:sz w:val="15"/>
                <w:szCs w:val="15"/>
                <w:color w:val="auto"/>
              </w:rPr>
            </w:pPr>
          </w:p>
        </w:tc>
        <w:tc>
          <w:tcPr>
            <w:tcW w:w="9840" w:type="dxa"/>
            <w:vAlign w:val="bottom"/>
            <w:gridSpan w:val="28"/>
          </w:tcPr>
          <w:p>
            <w:pPr>
              <w:spacing w:after="0" w:line="174" w:lineRule="exact"/>
              <w:rPr>
                <w:rFonts w:ascii="Arial" w:cs="Arial" w:eastAsia="Arial" w:hAnsi="Arial"/>
                <w:sz w:val="16"/>
                <w:szCs w:val="16"/>
                <w:color w:val="0000EE"/>
                <w:w w:val="96"/>
              </w:rPr>
            </w:pPr>
            <w:hyperlink r:id="rId160">
              <w:r>
                <w:rPr>
                  <w:rFonts w:ascii="Arial" w:cs="Arial" w:eastAsia="Arial" w:hAnsi="Arial"/>
                  <w:sz w:val="16"/>
                  <w:szCs w:val="16"/>
                  <w:color w:val="0000EE"/>
                  <w:w w:val="96"/>
                </w:rPr>
                <w:t>by reference to Exhibit 10.3 of the Company’s Quarterly Report on Form 10-Q for the quarterly period ended June 30, 2017 as filed on August 9,</w:t>
              </w:r>
            </w:hyperlink>
          </w:p>
        </w:tc>
      </w:tr>
      <w:tr>
        <w:trPr>
          <w:trHeight w:val="173"/>
        </w:trPr>
        <w:tc>
          <w:tcPr>
            <w:tcW w:w="1620" w:type="dxa"/>
            <w:vAlign w:val="bottom"/>
          </w:tcPr>
          <w:p>
            <w:pPr>
              <w:spacing w:after="0"/>
              <w:rPr>
                <w:sz w:val="15"/>
                <w:szCs w:val="15"/>
                <w:color w:val="auto"/>
              </w:rPr>
            </w:pPr>
          </w:p>
        </w:tc>
        <w:tc>
          <w:tcPr>
            <w:tcW w:w="420" w:type="dxa"/>
            <w:vAlign w:val="bottom"/>
            <w:tcBorders>
              <w:top w:val="single" w:sz="8" w:color="0000EE"/>
              <w:bottom w:val="single" w:sz="8" w:color="0000EE"/>
            </w:tcBorders>
          </w:tcPr>
          <w:p>
            <w:pPr>
              <w:spacing w:after="0" w:line="174" w:lineRule="exact"/>
              <w:rPr>
                <w:rFonts w:ascii="Arial" w:cs="Arial" w:eastAsia="Arial" w:hAnsi="Arial"/>
                <w:sz w:val="16"/>
                <w:szCs w:val="16"/>
                <w:color w:val="0000EE"/>
                <w:w w:val="88"/>
              </w:rPr>
            </w:pPr>
            <w:hyperlink r:id="rId160">
              <w:r>
                <w:rPr>
                  <w:rFonts w:ascii="Arial" w:cs="Arial" w:eastAsia="Arial" w:hAnsi="Arial"/>
                  <w:sz w:val="16"/>
                  <w:szCs w:val="16"/>
                  <w:color w:val="0000EE"/>
                  <w:w w:val="88"/>
                </w:rPr>
                <w:t>2017).</w:t>
              </w:r>
            </w:hyperlink>
          </w:p>
        </w:tc>
        <w:tc>
          <w:tcPr>
            <w:tcW w:w="48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4060" w:type="dxa"/>
            <w:vAlign w:val="bottom"/>
            <w:tcBorders>
              <w:top w:val="single" w:sz="8" w:color="0000EE"/>
            </w:tcBorders>
          </w:tcPr>
          <w:p>
            <w:pPr>
              <w:spacing w:after="0"/>
              <w:rPr>
                <w:sz w:val="15"/>
                <w:szCs w:val="15"/>
                <w:color w:val="auto"/>
              </w:rPr>
            </w:pPr>
          </w:p>
        </w:tc>
        <w:tc>
          <w:tcPr>
            <w:tcW w:w="118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66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94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50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391"/>
        </w:trPr>
        <w:tc>
          <w:tcPr>
            <w:tcW w:w="1620" w:type="dxa"/>
            <w:vAlign w:val="bottom"/>
          </w:tcPr>
          <w:p>
            <w:pPr>
              <w:spacing w:after="0"/>
              <w:rPr>
                <w:sz w:val="20"/>
                <w:szCs w:val="20"/>
                <w:color w:val="auto"/>
              </w:rPr>
            </w:pPr>
            <w:r>
              <w:rPr>
                <w:rFonts w:ascii="Arial" w:cs="Arial" w:eastAsia="Arial" w:hAnsi="Arial"/>
                <w:sz w:val="16"/>
                <w:szCs w:val="16"/>
                <w:color w:val="auto"/>
              </w:rPr>
              <w:t>*(10.9)</w:t>
            </w:r>
          </w:p>
        </w:tc>
        <w:tc>
          <w:tcPr>
            <w:tcW w:w="9460" w:type="dxa"/>
            <w:vAlign w:val="bottom"/>
            <w:tcBorders>
              <w:bottom w:val="single" w:sz="8" w:color="0000EE"/>
            </w:tcBorders>
            <w:gridSpan w:val="15"/>
          </w:tcPr>
          <w:p>
            <w:pPr>
              <w:spacing w:after="0"/>
              <w:rPr>
                <w:rFonts w:ascii="Arial" w:cs="Arial" w:eastAsia="Arial" w:hAnsi="Arial"/>
                <w:sz w:val="16"/>
                <w:szCs w:val="16"/>
                <w:color w:val="0000EE"/>
                <w:w w:val="91"/>
              </w:rPr>
            </w:pPr>
            <w:hyperlink r:id="rId161">
              <w:r>
                <w:rPr>
                  <w:rFonts w:ascii="Arial" w:cs="Arial" w:eastAsia="Arial" w:hAnsi="Arial"/>
                  <w:sz w:val="16"/>
                  <w:szCs w:val="16"/>
                  <w:color w:val="0000EE"/>
                  <w:w w:val="91"/>
                </w:rPr>
                <w:t>Eastman Kodak Company Deferred Compensation Plan for Directors dated December 26, 2013. (Incorporated by reference to Exhibit 10.23 of the</w:t>
              </w:r>
            </w:hyperlink>
          </w:p>
        </w:tc>
        <w:tc>
          <w:tcPr>
            <w:tcW w:w="380" w:type="dxa"/>
            <w:vAlign w:val="bottom"/>
            <w:gridSpan w:val="13"/>
          </w:tcPr>
          <w:p>
            <w:pPr>
              <w:spacing w:after="0"/>
              <w:rPr>
                <w:sz w:val="24"/>
                <w:szCs w:val="24"/>
                <w:color w:val="auto"/>
              </w:rPr>
            </w:pPr>
          </w:p>
        </w:tc>
      </w:tr>
      <w:tr>
        <w:trPr>
          <w:trHeight w:val="173"/>
        </w:trPr>
        <w:tc>
          <w:tcPr>
            <w:tcW w:w="1620" w:type="dxa"/>
            <w:vAlign w:val="bottom"/>
          </w:tcPr>
          <w:p>
            <w:pPr>
              <w:spacing w:after="0"/>
              <w:rPr>
                <w:sz w:val="15"/>
                <w:szCs w:val="15"/>
                <w:color w:val="auto"/>
              </w:rPr>
            </w:pPr>
          </w:p>
        </w:tc>
        <w:tc>
          <w:tcPr>
            <w:tcW w:w="7460" w:type="dxa"/>
            <w:vAlign w:val="bottom"/>
            <w:tcBorders>
              <w:bottom w:val="single" w:sz="8" w:color="0000EE"/>
            </w:tcBorders>
            <w:gridSpan w:val="8"/>
          </w:tcPr>
          <w:p>
            <w:pPr>
              <w:spacing w:after="0" w:line="174" w:lineRule="exact"/>
              <w:rPr>
                <w:rFonts w:ascii="Arial" w:cs="Arial" w:eastAsia="Arial" w:hAnsi="Arial"/>
                <w:sz w:val="16"/>
                <w:szCs w:val="16"/>
                <w:color w:val="0000EE"/>
                <w:w w:val="91"/>
              </w:rPr>
            </w:pPr>
            <w:hyperlink r:id="rId161">
              <w:r>
                <w:rPr>
                  <w:rFonts w:ascii="Arial" w:cs="Arial" w:eastAsia="Arial" w:hAnsi="Arial"/>
                  <w:sz w:val="16"/>
                  <w:szCs w:val="16"/>
                  <w:color w:val="0000EE"/>
                  <w:w w:val="91"/>
                </w:rPr>
                <w:t>Company’s Annual Report on Form 10-K for the fiscal year ended December 31, 2013 as filed on March 19, 2014).</w:t>
              </w:r>
            </w:hyperlink>
          </w:p>
        </w:tc>
        <w:tc>
          <w:tcPr>
            <w:tcW w:w="2380" w:type="dxa"/>
            <w:vAlign w:val="bottom"/>
            <w:gridSpan w:val="20"/>
          </w:tcPr>
          <w:p>
            <w:pPr>
              <w:spacing w:after="0"/>
              <w:rPr>
                <w:sz w:val="15"/>
                <w:szCs w:val="15"/>
                <w:color w:val="auto"/>
              </w:rPr>
            </w:pPr>
          </w:p>
        </w:tc>
      </w:tr>
      <w:tr>
        <w:trPr>
          <w:trHeight w:val="391"/>
        </w:trPr>
        <w:tc>
          <w:tcPr>
            <w:tcW w:w="1620" w:type="dxa"/>
            <w:vAlign w:val="bottom"/>
          </w:tcPr>
          <w:p>
            <w:pPr>
              <w:spacing w:after="0"/>
              <w:rPr>
                <w:sz w:val="20"/>
                <w:szCs w:val="20"/>
                <w:color w:val="auto"/>
              </w:rPr>
            </w:pPr>
            <w:r>
              <w:rPr>
                <w:rFonts w:ascii="Arial" w:cs="Arial" w:eastAsia="Arial" w:hAnsi="Arial"/>
                <w:sz w:val="16"/>
                <w:szCs w:val="16"/>
                <w:color w:val="auto"/>
              </w:rPr>
              <w:t>*(10.10)</w:t>
            </w:r>
          </w:p>
        </w:tc>
        <w:tc>
          <w:tcPr>
            <w:tcW w:w="9720" w:type="dxa"/>
            <w:vAlign w:val="bottom"/>
            <w:tcBorders>
              <w:bottom w:val="single" w:sz="8" w:color="0000EE"/>
            </w:tcBorders>
            <w:gridSpan w:val="23"/>
          </w:tcPr>
          <w:p>
            <w:pPr>
              <w:spacing w:after="0"/>
              <w:rPr>
                <w:rFonts w:ascii="Arial" w:cs="Arial" w:eastAsia="Arial" w:hAnsi="Arial"/>
                <w:sz w:val="16"/>
                <w:szCs w:val="16"/>
                <w:color w:val="0000EE"/>
                <w:w w:val="91"/>
              </w:rPr>
            </w:pPr>
            <w:hyperlink r:id="rId162">
              <w:r>
                <w:rPr>
                  <w:rFonts w:ascii="Arial" w:cs="Arial" w:eastAsia="Arial" w:hAnsi="Arial"/>
                  <w:sz w:val="16"/>
                  <w:szCs w:val="16"/>
                  <w:color w:val="0000EE"/>
                  <w:w w:val="91"/>
                </w:rPr>
                <w:t>Eastman Kodak Company Officer Severance Policy, effective as of November 10, 2015. (Incorporated by reference to Exhibit 10.25 of the Company’s</w:t>
              </w:r>
            </w:hyperlink>
          </w:p>
        </w:tc>
        <w:tc>
          <w:tcPr>
            <w:tcW w:w="120" w:type="dxa"/>
            <w:vAlign w:val="bottom"/>
            <w:gridSpan w:val="5"/>
          </w:tcPr>
          <w:p>
            <w:pPr>
              <w:spacing w:after="0"/>
              <w:rPr>
                <w:sz w:val="24"/>
                <w:szCs w:val="24"/>
                <w:color w:val="auto"/>
              </w:rPr>
            </w:pPr>
          </w:p>
        </w:tc>
      </w:tr>
      <w:tr>
        <w:trPr>
          <w:trHeight w:val="173"/>
        </w:trPr>
        <w:tc>
          <w:tcPr>
            <w:tcW w:w="1620" w:type="dxa"/>
            <w:vAlign w:val="bottom"/>
          </w:tcPr>
          <w:p>
            <w:pPr>
              <w:spacing w:after="0"/>
              <w:rPr>
                <w:sz w:val="15"/>
                <w:szCs w:val="15"/>
                <w:color w:val="auto"/>
              </w:rPr>
            </w:pPr>
          </w:p>
        </w:tc>
        <w:tc>
          <w:tcPr>
            <w:tcW w:w="9840" w:type="dxa"/>
            <w:vAlign w:val="bottom"/>
            <w:gridSpan w:val="28"/>
          </w:tcPr>
          <w:p>
            <w:pPr>
              <w:spacing w:after="0" w:line="174" w:lineRule="exact"/>
              <w:rPr>
                <w:rFonts w:ascii="Arial" w:cs="Arial" w:eastAsia="Arial" w:hAnsi="Arial"/>
                <w:sz w:val="16"/>
                <w:szCs w:val="16"/>
                <w:color w:val="0000EE"/>
              </w:rPr>
            </w:pPr>
            <w:hyperlink r:id="rId162">
              <w:r>
                <w:rPr>
                  <w:rFonts w:ascii="Arial" w:cs="Arial" w:eastAsia="Arial" w:hAnsi="Arial"/>
                  <w:sz w:val="16"/>
                  <w:szCs w:val="16"/>
                  <w:color w:val="0000EE"/>
                </w:rPr>
                <w:t>Annual Report on Form 10-K for the fiscal year ended December 31, 2015 as filed on March 15, 2016).</w:t>
              </w:r>
            </w:hyperlink>
          </w:p>
        </w:tc>
      </w:tr>
      <w:tr>
        <w:trPr>
          <w:trHeight w:val="20"/>
        </w:trPr>
        <w:tc>
          <w:tcPr>
            <w:tcW w:w="162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6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91"/>
        </w:trPr>
        <w:tc>
          <w:tcPr>
            <w:tcW w:w="1620" w:type="dxa"/>
            <w:vAlign w:val="bottom"/>
          </w:tcPr>
          <w:p>
            <w:pPr>
              <w:spacing w:after="0"/>
              <w:rPr>
                <w:sz w:val="20"/>
                <w:szCs w:val="20"/>
                <w:color w:val="auto"/>
              </w:rPr>
            </w:pPr>
            <w:r>
              <w:rPr>
                <w:rFonts w:ascii="Arial" w:cs="Arial" w:eastAsia="Arial" w:hAnsi="Arial"/>
                <w:sz w:val="16"/>
                <w:szCs w:val="16"/>
                <w:color w:val="auto"/>
              </w:rPr>
              <w:t>*(10.11)</w:t>
            </w:r>
          </w:p>
        </w:tc>
        <w:tc>
          <w:tcPr>
            <w:tcW w:w="9840" w:type="dxa"/>
            <w:vAlign w:val="bottom"/>
            <w:gridSpan w:val="28"/>
          </w:tcPr>
          <w:p>
            <w:pPr>
              <w:spacing w:after="0"/>
              <w:rPr>
                <w:rFonts w:ascii="Arial" w:cs="Arial" w:eastAsia="Arial" w:hAnsi="Arial"/>
                <w:sz w:val="16"/>
                <w:szCs w:val="16"/>
                <w:color w:val="0000EE"/>
                <w:w w:val="95"/>
              </w:rPr>
            </w:pPr>
            <w:hyperlink r:id="rId163">
              <w:r>
                <w:rPr>
                  <w:rFonts w:ascii="Arial" w:cs="Arial" w:eastAsia="Arial" w:hAnsi="Arial"/>
                  <w:sz w:val="16"/>
                  <w:szCs w:val="16"/>
                  <w:color w:val="0000EE"/>
                  <w:w w:val="95"/>
                </w:rPr>
                <w:t>Eastman Kodak Company Executive Compensation for Excellence and Leadership (as amended and restated January 1, 2014). (Incorporated by</w:t>
              </w:r>
            </w:hyperlink>
          </w:p>
        </w:tc>
      </w:tr>
      <w:tr>
        <w:trPr>
          <w:trHeight w:val="20"/>
        </w:trPr>
        <w:tc>
          <w:tcPr>
            <w:tcW w:w="162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60" w:type="dxa"/>
            <w:vAlign w:val="bottom"/>
            <w:shd w:val="clear" w:color="auto" w:fill="0000EE"/>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3"/>
        </w:trPr>
        <w:tc>
          <w:tcPr>
            <w:tcW w:w="1620" w:type="dxa"/>
            <w:vAlign w:val="bottom"/>
          </w:tcPr>
          <w:p>
            <w:pPr>
              <w:spacing w:after="0"/>
              <w:rPr>
                <w:sz w:val="15"/>
                <w:szCs w:val="15"/>
                <w:color w:val="auto"/>
              </w:rPr>
            </w:pPr>
          </w:p>
        </w:tc>
        <w:tc>
          <w:tcPr>
            <w:tcW w:w="9600" w:type="dxa"/>
            <w:vAlign w:val="bottom"/>
            <w:tcBorders>
              <w:bottom w:val="single" w:sz="8" w:color="0000EE"/>
            </w:tcBorders>
            <w:gridSpan w:val="18"/>
          </w:tcPr>
          <w:p>
            <w:pPr>
              <w:spacing w:after="0" w:line="174" w:lineRule="exact"/>
              <w:rPr>
                <w:rFonts w:ascii="Arial" w:cs="Arial" w:eastAsia="Arial" w:hAnsi="Arial"/>
                <w:sz w:val="16"/>
                <w:szCs w:val="16"/>
                <w:color w:val="0000EE"/>
                <w:w w:val="92"/>
              </w:rPr>
            </w:pPr>
            <w:hyperlink r:id="rId163">
              <w:r>
                <w:rPr>
                  <w:rFonts w:ascii="Arial" w:cs="Arial" w:eastAsia="Arial" w:hAnsi="Arial"/>
                  <w:sz w:val="16"/>
                  <w:szCs w:val="16"/>
                  <w:color w:val="0000EE"/>
                  <w:w w:val="92"/>
                </w:rPr>
                <w:t>reference to Exhibit 10.2 of the Company’s Quarterly Report on Form 10-Q for the quarterly period ended March 31, 2014 as filed on May 6, 2014).</w:t>
              </w:r>
            </w:hyperlink>
          </w:p>
        </w:tc>
        <w:tc>
          <w:tcPr>
            <w:tcW w:w="240" w:type="dxa"/>
            <w:vAlign w:val="bottom"/>
            <w:gridSpan w:val="10"/>
          </w:tcPr>
          <w:p>
            <w:pPr>
              <w:spacing w:after="0"/>
              <w:rPr>
                <w:sz w:val="15"/>
                <w:szCs w:val="15"/>
                <w:color w:val="auto"/>
              </w:rPr>
            </w:pPr>
          </w:p>
        </w:tc>
      </w:tr>
      <w:tr>
        <w:trPr>
          <w:trHeight w:val="391"/>
        </w:trPr>
        <w:tc>
          <w:tcPr>
            <w:tcW w:w="1620" w:type="dxa"/>
            <w:vAlign w:val="bottom"/>
          </w:tcPr>
          <w:p>
            <w:pPr>
              <w:spacing w:after="0"/>
              <w:rPr>
                <w:sz w:val="20"/>
                <w:szCs w:val="20"/>
                <w:color w:val="auto"/>
              </w:rPr>
            </w:pPr>
            <w:r>
              <w:rPr>
                <w:rFonts w:ascii="Arial" w:cs="Arial" w:eastAsia="Arial" w:hAnsi="Arial"/>
                <w:sz w:val="16"/>
                <w:szCs w:val="16"/>
                <w:color w:val="auto"/>
              </w:rPr>
              <w:t>*(10.12)</w:t>
            </w:r>
          </w:p>
        </w:tc>
        <w:tc>
          <w:tcPr>
            <w:tcW w:w="9620" w:type="dxa"/>
            <w:vAlign w:val="bottom"/>
            <w:tcBorders>
              <w:bottom w:val="single" w:sz="8" w:color="0000EE"/>
            </w:tcBorders>
            <w:gridSpan w:val="19"/>
          </w:tcPr>
          <w:p>
            <w:pPr>
              <w:spacing w:after="0"/>
              <w:rPr>
                <w:rFonts w:ascii="Arial" w:cs="Arial" w:eastAsia="Arial" w:hAnsi="Arial"/>
                <w:sz w:val="16"/>
                <w:szCs w:val="16"/>
                <w:color w:val="0000EE"/>
                <w:w w:val="91"/>
              </w:rPr>
            </w:pPr>
            <w:hyperlink r:id="rId164">
              <w:r>
                <w:rPr>
                  <w:rFonts w:ascii="Arial" w:cs="Arial" w:eastAsia="Arial" w:hAnsi="Arial"/>
                  <w:sz w:val="16"/>
                  <w:szCs w:val="16"/>
                  <w:color w:val="0000EE"/>
                  <w:w w:val="91"/>
                </w:rPr>
                <w:t>Eastman Kodak Company Administrative Guide for the 2016 Performance Period under the Executive Compensation for Excellence and Leadership</w:t>
              </w:r>
            </w:hyperlink>
          </w:p>
        </w:tc>
        <w:tc>
          <w:tcPr>
            <w:tcW w:w="220" w:type="dxa"/>
            <w:vAlign w:val="bottom"/>
            <w:gridSpan w:val="9"/>
          </w:tcPr>
          <w:p>
            <w:pPr>
              <w:spacing w:after="0"/>
              <w:rPr>
                <w:sz w:val="24"/>
                <w:szCs w:val="24"/>
                <w:color w:val="auto"/>
              </w:rPr>
            </w:pPr>
          </w:p>
        </w:tc>
      </w:tr>
      <w:tr>
        <w:trPr>
          <w:trHeight w:val="173"/>
        </w:trPr>
        <w:tc>
          <w:tcPr>
            <w:tcW w:w="1620" w:type="dxa"/>
            <w:vAlign w:val="bottom"/>
          </w:tcPr>
          <w:p>
            <w:pPr>
              <w:spacing w:after="0"/>
              <w:rPr>
                <w:sz w:val="15"/>
                <w:szCs w:val="15"/>
                <w:color w:val="auto"/>
              </w:rPr>
            </w:pPr>
          </w:p>
        </w:tc>
        <w:tc>
          <w:tcPr>
            <w:tcW w:w="9800" w:type="dxa"/>
            <w:vAlign w:val="bottom"/>
            <w:tcBorders>
              <w:bottom w:val="single" w:sz="8" w:color="0000EE"/>
            </w:tcBorders>
            <w:gridSpan w:val="27"/>
          </w:tcPr>
          <w:p>
            <w:pPr>
              <w:spacing w:after="0" w:line="174" w:lineRule="exact"/>
              <w:rPr>
                <w:rFonts w:ascii="Arial" w:cs="Arial" w:eastAsia="Arial" w:hAnsi="Arial"/>
                <w:sz w:val="16"/>
                <w:szCs w:val="16"/>
                <w:color w:val="0000EE"/>
                <w:w w:val="91"/>
              </w:rPr>
            </w:pPr>
            <w:hyperlink r:id="rId164">
              <w:r>
                <w:rPr>
                  <w:rFonts w:ascii="Arial" w:cs="Arial" w:eastAsia="Arial" w:hAnsi="Arial"/>
                  <w:sz w:val="16"/>
                  <w:szCs w:val="16"/>
                  <w:color w:val="0000EE"/>
                  <w:w w:val="91"/>
                </w:rPr>
                <w:t>Plan. (Incorporated by reference to Exhibit 10.5 of the Company’s Quarterly Report on Form 10-Q for the quarterly period ended June 30, 2016 as filed</w:t>
              </w:r>
            </w:hyperlink>
          </w:p>
        </w:tc>
        <w:tc>
          <w:tcPr>
            <w:tcW w:w="40" w:type="dxa"/>
            <w:vAlign w:val="bottom"/>
          </w:tcPr>
          <w:p>
            <w:pPr>
              <w:spacing w:after="0"/>
              <w:rPr>
                <w:sz w:val="15"/>
                <w:szCs w:val="15"/>
                <w:color w:val="auto"/>
              </w:rPr>
            </w:pPr>
          </w:p>
        </w:tc>
      </w:tr>
      <w:tr>
        <w:trPr>
          <w:trHeight w:val="173"/>
        </w:trPr>
        <w:tc>
          <w:tcPr>
            <w:tcW w:w="1620" w:type="dxa"/>
            <w:vAlign w:val="bottom"/>
          </w:tcPr>
          <w:p>
            <w:pPr>
              <w:spacing w:after="0"/>
              <w:rPr>
                <w:sz w:val="15"/>
                <w:szCs w:val="15"/>
                <w:color w:val="auto"/>
              </w:rPr>
            </w:pPr>
          </w:p>
        </w:tc>
        <w:tc>
          <w:tcPr>
            <w:tcW w:w="9840" w:type="dxa"/>
            <w:vAlign w:val="bottom"/>
            <w:gridSpan w:val="28"/>
          </w:tcPr>
          <w:p>
            <w:pPr>
              <w:spacing w:after="0" w:line="174" w:lineRule="exact"/>
              <w:rPr>
                <w:rFonts w:ascii="Arial" w:cs="Arial" w:eastAsia="Arial" w:hAnsi="Arial"/>
                <w:sz w:val="16"/>
                <w:szCs w:val="16"/>
                <w:color w:val="0000EE"/>
              </w:rPr>
            </w:pPr>
            <w:hyperlink r:id="rId164">
              <w:r>
                <w:rPr>
                  <w:rFonts w:ascii="Arial" w:cs="Arial" w:eastAsia="Arial" w:hAnsi="Arial"/>
                  <w:sz w:val="16"/>
                  <w:szCs w:val="16"/>
                  <w:color w:val="0000EE"/>
                </w:rPr>
                <w:t>on August 9, 2016).</w:t>
              </w:r>
            </w:hyperlink>
          </w:p>
        </w:tc>
      </w:tr>
      <w:tr>
        <w:trPr>
          <w:trHeight w:val="20"/>
        </w:trPr>
        <w:tc>
          <w:tcPr>
            <w:tcW w:w="162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91"/>
        </w:trPr>
        <w:tc>
          <w:tcPr>
            <w:tcW w:w="1620" w:type="dxa"/>
            <w:vAlign w:val="bottom"/>
          </w:tcPr>
          <w:p>
            <w:pPr>
              <w:spacing w:after="0"/>
              <w:rPr>
                <w:sz w:val="20"/>
                <w:szCs w:val="20"/>
                <w:color w:val="auto"/>
              </w:rPr>
            </w:pPr>
            <w:r>
              <w:rPr>
                <w:rFonts w:ascii="Arial" w:cs="Arial" w:eastAsia="Arial" w:hAnsi="Arial"/>
                <w:sz w:val="16"/>
                <w:szCs w:val="16"/>
                <w:color w:val="auto"/>
              </w:rPr>
              <w:t>*(10.13)</w:t>
            </w:r>
          </w:p>
        </w:tc>
        <w:tc>
          <w:tcPr>
            <w:tcW w:w="9600" w:type="dxa"/>
            <w:vAlign w:val="bottom"/>
            <w:tcBorders>
              <w:bottom w:val="single" w:sz="8" w:color="0000EE"/>
            </w:tcBorders>
            <w:gridSpan w:val="18"/>
          </w:tcPr>
          <w:p>
            <w:pPr>
              <w:spacing w:after="0"/>
              <w:rPr>
                <w:rFonts w:ascii="Arial" w:cs="Arial" w:eastAsia="Arial" w:hAnsi="Arial"/>
                <w:sz w:val="16"/>
                <w:szCs w:val="16"/>
                <w:color w:val="0000EE"/>
                <w:w w:val="91"/>
              </w:rPr>
            </w:pPr>
            <w:hyperlink r:id="rId165">
              <w:r>
                <w:rPr>
                  <w:rFonts w:ascii="Arial" w:cs="Arial" w:eastAsia="Arial" w:hAnsi="Arial"/>
                  <w:sz w:val="16"/>
                  <w:szCs w:val="16"/>
                  <w:color w:val="0000EE"/>
                  <w:w w:val="91"/>
                </w:rPr>
                <w:t>Eastman Kodak Company Administrative Guide for the 2017 Performance Period under the Executive Compensation for Excellence and Leadership</w:t>
              </w:r>
            </w:hyperlink>
          </w:p>
        </w:tc>
        <w:tc>
          <w:tcPr>
            <w:tcW w:w="240" w:type="dxa"/>
            <w:vAlign w:val="bottom"/>
            <w:gridSpan w:val="10"/>
          </w:tcPr>
          <w:p>
            <w:pPr>
              <w:spacing w:after="0"/>
              <w:rPr>
                <w:sz w:val="24"/>
                <w:szCs w:val="24"/>
                <w:color w:val="auto"/>
              </w:rPr>
            </w:pPr>
          </w:p>
        </w:tc>
      </w:tr>
      <w:tr>
        <w:trPr>
          <w:trHeight w:val="173"/>
        </w:trPr>
        <w:tc>
          <w:tcPr>
            <w:tcW w:w="1620" w:type="dxa"/>
            <w:vAlign w:val="bottom"/>
          </w:tcPr>
          <w:p>
            <w:pPr>
              <w:spacing w:after="0"/>
              <w:rPr>
                <w:sz w:val="15"/>
                <w:szCs w:val="15"/>
                <w:color w:val="auto"/>
              </w:rPr>
            </w:pPr>
          </w:p>
        </w:tc>
        <w:tc>
          <w:tcPr>
            <w:tcW w:w="9580" w:type="dxa"/>
            <w:vAlign w:val="bottom"/>
            <w:tcBorders>
              <w:bottom w:val="single" w:sz="8" w:color="0000EE"/>
            </w:tcBorders>
            <w:gridSpan w:val="17"/>
          </w:tcPr>
          <w:p>
            <w:pPr>
              <w:spacing w:after="0" w:line="174" w:lineRule="exact"/>
              <w:rPr>
                <w:rFonts w:ascii="Arial" w:cs="Arial" w:eastAsia="Arial" w:hAnsi="Arial"/>
                <w:sz w:val="16"/>
                <w:szCs w:val="16"/>
                <w:color w:val="0000EE"/>
                <w:w w:val="91"/>
              </w:rPr>
            </w:pPr>
            <w:hyperlink r:id="rId165">
              <w:r>
                <w:rPr>
                  <w:rFonts w:ascii="Arial" w:cs="Arial" w:eastAsia="Arial" w:hAnsi="Arial"/>
                  <w:sz w:val="16"/>
                  <w:szCs w:val="16"/>
                  <w:color w:val="0000EE"/>
                  <w:w w:val="91"/>
                </w:rPr>
                <w:t>Plan. (Incorporated by reference to Exhibit 10.2 of the Company’s Quarterly Report on Form 10-Q for the quarterly period ended March 31, 2017 as</w:t>
              </w:r>
            </w:hyperlink>
          </w:p>
        </w:tc>
        <w:tc>
          <w:tcPr>
            <w:tcW w:w="260" w:type="dxa"/>
            <w:vAlign w:val="bottom"/>
            <w:gridSpan w:val="11"/>
          </w:tcPr>
          <w:p>
            <w:pPr>
              <w:spacing w:after="0"/>
              <w:rPr>
                <w:sz w:val="15"/>
                <w:szCs w:val="15"/>
                <w:color w:val="auto"/>
              </w:rPr>
            </w:pPr>
          </w:p>
        </w:tc>
      </w:tr>
      <w:tr>
        <w:trPr>
          <w:trHeight w:val="173"/>
        </w:trPr>
        <w:tc>
          <w:tcPr>
            <w:tcW w:w="1620" w:type="dxa"/>
            <w:vAlign w:val="bottom"/>
          </w:tcPr>
          <w:p>
            <w:pPr>
              <w:spacing w:after="0"/>
              <w:rPr>
                <w:sz w:val="15"/>
                <w:szCs w:val="15"/>
                <w:color w:val="auto"/>
              </w:rPr>
            </w:pPr>
          </w:p>
        </w:tc>
        <w:tc>
          <w:tcPr>
            <w:tcW w:w="9840" w:type="dxa"/>
            <w:vAlign w:val="bottom"/>
            <w:gridSpan w:val="28"/>
          </w:tcPr>
          <w:p>
            <w:pPr>
              <w:spacing w:after="0" w:line="174" w:lineRule="exact"/>
              <w:rPr>
                <w:rFonts w:ascii="Arial" w:cs="Arial" w:eastAsia="Arial" w:hAnsi="Arial"/>
                <w:sz w:val="16"/>
                <w:szCs w:val="16"/>
                <w:color w:val="0000EE"/>
              </w:rPr>
            </w:pPr>
            <w:hyperlink r:id="rId165">
              <w:r>
                <w:rPr>
                  <w:rFonts w:ascii="Arial" w:cs="Arial" w:eastAsia="Arial" w:hAnsi="Arial"/>
                  <w:sz w:val="16"/>
                  <w:szCs w:val="16"/>
                  <w:color w:val="0000EE"/>
                </w:rPr>
                <w:t>filed on May 9, 2017).</w:t>
              </w:r>
            </w:hyperlink>
          </w:p>
        </w:tc>
      </w:tr>
      <w:tr>
        <w:trPr>
          <w:trHeight w:val="20"/>
        </w:trPr>
        <w:tc>
          <w:tcPr>
            <w:tcW w:w="162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91"/>
        </w:trPr>
        <w:tc>
          <w:tcPr>
            <w:tcW w:w="1620" w:type="dxa"/>
            <w:vAlign w:val="bottom"/>
          </w:tcPr>
          <w:p>
            <w:pPr>
              <w:spacing w:after="0"/>
              <w:rPr>
                <w:sz w:val="20"/>
                <w:szCs w:val="20"/>
                <w:color w:val="auto"/>
              </w:rPr>
            </w:pPr>
            <w:r>
              <w:rPr>
                <w:rFonts w:ascii="Arial" w:cs="Arial" w:eastAsia="Arial" w:hAnsi="Arial"/>
                <w:sz w:val="16"/>
                <w:szCs w:val="16"/>
                <w:color w:val="auto"/>
              </w:rPr>
              <w:t>*(10.14)</w:t>
            </w:r>
          </w:p>
        </w:tc>
        <w:tc>
          <w:tcPr>
            <w:tcW w:w="9740" w:type="dxa"/>
            <w:vAlign w:val="bottom"/>
            <w:tcBorders>
              <w:bottom w:val="single" w:sz="8" w:color="0000EE"/>
            </w:tcBorders>
            <w:gridSpan w:val="24"/>
          </w:tcPr>
          <w:p>
            <w:pPr>
              <w:spacing w:after="0"/>
              <w:rPr>
                <w:rFonts w:ascii="Arial" w:cs="Arial" w:eastAsia="Arial" w:hAnsi="Arial"/>
                <w:sz w:val="16"/>
                <w:szCs w:val="16"/>
                <w:color w:val="0000EE"/>
                <w:w w:val="91"/>
              </w:rPr>
            </w:pPr>
            <w:hyperlink r:id="rId166">
              <w:r>
                <w:rPr>
                  <w:rFonts w:ascii="Arial" w:cs="Arial" w:eastAsia="Arial" w:hAnsi="Arial"/>
                  <w:sz w:val="16"/>
                  <w:szCs w:val="16"/>
                  <w:color w:val="0000EE"/>
                  <w:w w:val="91"/>
                </w:rPr>
                <w:t>Employment Agreement between Eastman Kodak Company and Jeffrey J. Clarke, dated March 10, 2014. (Incorporated by reference to Exhibit 10.1 of</w:t>
              </w:r>
            </w:hyperlink>
          </w:p>
        </w:tc>
        <w:tc>
          <w:tcPr>
            <w:tcW w:w="100" w:type="dxa"/>
            <w:vAlign w:val="bottom"/>
            <w:gridSpan w:val="4"/>
          </w:tcPr>
          <w:p>
            <w:pPr>
              <w:spacing w:after="0"/>
              <w:rPr>
                <w:sz w:val="24"/>
                <w:szCs w:val="24"/>
                <w:color w:val="auto"/>
              </w:rPr>
            </w:pPr>
          </w:p>
        </w:tc>
      </w:tr>
      <w:tr>
        <w:trPr>
          <w:trHeight w:val="173"/>
        </w:trPr>
        <w:tc>
          <w:tcPr>
            <w:tcW w:w="1620" w:type="dxa"/>
            <w:vAlign w:val="bottom"/>
          </w:tcPr>
          <w:p>
            <w:pPr>
              <w:spacing w:after="0"/>
              <w:rPr>
                <w:sz w:val="15"/>
                <w:szCs w:val="15"/>
                <w:color w:val="auto"/>
              </w:rPr>
            </w:pPr>
          </w:p>
        </w:tc>
        <w:tc>
          <w:tcPr>
            <w:tcW w:w="7760" w:type="dxa"/>
            <w:vAlign w:val="bottom"/>
            <w:tcBorders>
              <w:bottom w:val="single" w:sz="8" w:color="0000EE"/>
            </w:tcBorders>
            <w:gridSpan w:val="10"/>
          </w:tcPr>
          <w:p>
            <w:pPr>
              <w:spacing w:after="0" w:line="174" w:lineRule="exact"/>
              <w:rPr>
                <w:rFonts w:ascii="Arial" w:cs="Arial" w:eastAsia="Arial" w:hAnsi="Arial"/>
                <w:sz w:val="16"/>
                <w:szCs w:val="16"/>
                <w:color w:val="0000EE"/>
                <w:w w:val="91"/>
              </w:rPr>
            </w:pPr>
            <w:hyperlink r:id="rId166">
              <w:r>
                <w:rPr>
                  <w:rFonts w:ascii="Arial" w:cs="Arial" w:eastAsia="Arial" w:hAnsi="Arial"/>
                  <w:sz w:val="16"/>
                  <w:szCs w:val="16"/>
                  <w:color w:val="0000EE"/>
                  <w:w w:val="91"/>
                </w:rPr>
                <w:t>the Company’s Quarterly Report on Form 10-Q for the quarterly period ended March 31, 2014 as filed on May 6, 2014).</w:t>
              </w:r>
            </w:hyperlink>
          </w:p>
        </w:tc>
        <w:tc>
          <w:tcPr>
            <w:tcW w:w="2080" w:type="dxa"/>
            <w:vAlign w:val="bottom"/>
            <w:gridSpan w:val="18"/>
          </w:tcPr>
          <w:p>
            <w:pPr>
              <w:spacing w:after="0"/>
              <w:rPr>
                <w:sz w:val="15"/>
                <w:szCs w:val="15"/>
                <w:color w:val="auto"/>
              </w:rPr>
            </w:pPr>
          </w:p>
        </w:tc>
      </w:tr>
      <w:tr>
        <w:trPr>
          <w:trHeight w:val="391"/>
        </w:trPr>
        <w:tc>
          <w:tcPr>
            <w:tcW w:w="1620" w:type="dxa"/>
            <w:vAlign w:val="bottom"/>
          </w:tcPr>
          <w:p>
            <w:pPr>
              <w:spacing w:after="0"/>
              <w:rPr>
                <w:sz w:val="20"/>
                <w:szCs w:val="20"/>
                <w:color w:val="auto"/>
              </w:rPr>
            </w:pPr>
            <w:r>
              <w:rPr>
                <w:rFonts w:ascii="Arial" w:cs="Arial" w:eastAsia="Arial" w:hAnsi="Arial"/>
                <w:sz w:val="16"/>
                <w:szCs w:val="16"/>
                <w:color w:val="auto"/>
              </w:rPr>
              <w:t>*(10.15)</w:t>
            </w:r>
          </w:p>
        </w:tc>
        <w:tc>
          <w:tcPr>
            <w:tcW w:w="9840" w:type="dxa"/>
            <w:vAlign w:val="bottom"/>
            <w:gridSpan w:val="28"/>
          </w:tcPr>
          <w:p>
            <w:pPr>
              <w:spacing w:after="0"/>
              <w:rPr>
                <w:rFonts w:ascii="Arial" w:cs="Arial" w:eastAsia="Arial" w:hAnsi="Arial"/>
                <w:sz w:val="16"/>
                <w:szCs w:val="16"/>
                <w:color w:val="0000EE"/>
                <w:w w:val="92"/>
              </w:rPr>
            </w:pPr>
            <w:hyperlink r:id="rId167">
              <w:r>
                <w:rPr>
                  <w:rFonts w:ascii="Arial" w:cs="Arial" w:eastAsia="Arial" w:hAnsi="Arial"/>
                  <w:sz w:val="16"/>
                  <w:szCs w:val="16"/>
                  <w:color w:val="0000EE"/>
                  <w:w w:val="92"/>
                </w:rPr>
                <w:t>Amendment to Employment Agreement between Eastman Kodak Company and Jeffrey J. Clarke, dated March 14, 2016. (Incorporated by reference to</w:t>
              </w:r>
            </w:hyperlink>
          </w:p>
        </w:tc>
      </w:tr>
      <w:tr>
        <w:trPr>
          <w:trHeight w:val="173"/>
        </w:trPr>
        <w:tc>
          <w:tcPr>
            <w:tcW w:w="1620" w:type="dxa"/>
            <w:vAlign w:val="bottom"/>
          </w:tcPr>
          <w:p>
            <w:pPr>
              <w:spacing w:after="0"/>
              <w:rPr>
                <w:sz w:val="15"/>
                <w:szCs w:val="15"/>
                <w:color w:val="auto"/>
              </w:rPr>
            </w:pPr>
          </w:p>
        </w:tc>
        <w:tc>
          <w:tcPr>
            <w:tcW w:w="8780" w:type="dxa"/>
            <w:vAlign w:val="bottom"/>
            <w:tcBorders>
              <w:top w:val="single" w:sz="8" w:color="0000EE"/>
              <w:bottom w:val="single" w:sz="8" w:color="0000EE"/>
            </w:tcBorders>
            <w:gridSpan w:val="12"/>
          </w:tcPr>
          <w:p>
            <w:pPr>
              <w:spacing w:after="0" w:line="174" w:lineRule="exact"/>
              <w:rPr>
                <w:rFonts w:ascii="Arial" w:cs="Arial" w:eastAsia="Arial" w:hAnsi="Arial"/>
                <w:sz w:val="16"/>
                <w:szCs w:val="16"/>
                <w:color w:val="0000EE"/>
                <w:w w:val="92"/>
              </w:rPr>
            </w:pPr>
            <w:hyperlink r:id="rId167">
              <w:r>
                <w:rPr>
                  <w:rFonts w:ascii="Arial" w:cs="Arial" w:eastAsia="Arial" w:hAnsi="Arial"/>
                  <w:sz w:val="16"/>
                  <w:szCs w:val="16"/>
                  <w:color w:val="0000EE"/>
                  <w:w w:val="92"/>
                </w:rPr>
                <w:t>Exhibit 10.5 of the Company’s Quarterly Report on Form 10-Q for the quarterly period ended March 31, 2016 as filed on May 5, 2016).</w:t>
              </w:r>
            </w:hyperlink>
          </w:p>
        </w:tc>
        <w:tc>
          <w:tcPr>
            <w:tcW w:w="940" w:type="dxa"/>
            <w:vAlign w:val="bottom"/>
            <w:tcBorders>
              <w:top w:val="single" w:sz="8" w:color="0000EE"/>
            </w:tcBorders>
            <w:gridSpan w:val="11"/>
          </w:tcPr>
          <w:p>
            <w:pPr>
              <w:spacing w:after="0"/>
              <w:rPr>
                <w:sz w:val="15"/>
                <w:szCs w:val="15"/>
                <w:color w:val="auto"/>
              </w:rPr>
            </w:pPr>
          </w:p>
        </w:tc>
        <w:tc>
          <w:tcPr>
            <w:tcW w:w="120" w:type="dxa"/>
            <w:vAlign w:val="bottom"/>
            <w:gridSpan w:val="5"/>
          </w:tcPr>
          <w:p>
            <w:pPr>
              <w:spacing w:after="0"/>
              <w:rPr>
                <w:sz w:val="15"/>
                <w:szCs w:val="15"/>
                <w:color w:val="auto"/>
              </w:rPr>
            </w:pPr>
          </w:p>
        </w:tc>
      </w:tr>
      <w:tr>
        <w:trPr>
          <w:trHeight w:val="391"/>
        </w:trPr>
        <w:tc>
          <w:tcPr>
            <w:tcW w:w="1620" w:type="dxa"/>
            <w:vAlign w:val="bottom"/>
          </w:tcPr>
          <w:p>
            <w:pPr>
              <w:spacing w:after="0"/>
              <w:rPr>
                <w:sz w:val="20"/>
                <w:szCs w:val="20"/>
                <w:color w:val="auto"/>
              </w:rPr>
            </w:pPr>
            <w:r>
              <w:rPr>
                <w:rFonts w:ascii="Arial" w:cs="Arial" w:eastAsia="Arial" w:hAnsi="Arial"/>
                <w:sz w:val="16"/>
                <w:szCs w:val="16"/>
                <w:color w:val="auto"/>
              </w:rPr>
              <w:t>*(10.16)</w:t>
            </w:r>
          </w:p>
        </w:tc>
        <w:tc>
          <w:tcPr>
            <w:tcW w:w="9780" w:type="dxa"/>
            <w:vAlign w:val="bottom"/>
            <w:tcBorders>
              <w:bottom w:val="single" w:sz="8" w:color="0000EE"/>
            </w:tcBorders>
            <w:gridSpan w:val="26"/>
          </w:tcPr>
          <w:p>
            <w:pPr>
              <w:spacing w:after="0"/>
              <w:rPr>
                <w:rFonts w:ascii="Arial" w:cs="Arial" w:eastAsia="Arial" w:hAnsi="Arial"/>
                <w:sz w:val="16"/>
                <w:szCs w:val="16"/>
                <w:color w:val="0000EE"/>
                <w:w w:val="90"/>
              </w:rPr>
            </w:pPr>
            <w:hyperlink r:id="rId168">
              <w:r>
                <w:rPr>
                  <w:rFonts w:ascii="Arial" w:cs="Arial" w:eastAsia="Arial" w:hAnsi="Arial"/>
                  <w:sz w:val="16"/>
                  <w:szCs w:val="16"/>
                  <w:color w:val="0000EE"/>
                  <w:w w:val="90"/>
                </w:rPr>
                <w:t>Amended and Restated Employment Agreement between Eastman Kodak Company and Jeffrey J. Clarke, effective as of March 12, 2017.(Incorporated</w:t>
              </w:r>
            </w:hyperlink>
          </w:p>
        </w:tc>
        <w:tc>
          <w:tcPr>
            <w:tcW w:w="60" w:type="dxa"/>
            <w:vAlign w:val="bottom"/>
            <w:gridSpan w:val="2"/>
          </w:tcPr>
          <w:p>
            <w:pPr>
              <w:spacing w:after="0"/>
              <w:rPr>
                <w:sz w:val="24"/>
                <w:szCs w:val="24"/>
                <w:color w:val="auto"/>
              </w:rPr>
            </w:pPr>
          </w:p>
        </w:tc>
      </w:tr>
      <w:tr>
        <w:trPr>
          <w:trHeight w:val="173"/>
        </w:trPr>
        <w:tc>
          <w:tcPr>
            <w:tcW w:w="1620" w:type="dxa"/>
            <w:vAlign w:val="bottom"/>
          </w:tcPr>
          <w:p>
            <w:pPr>
              <w:spacing w:after="0"/>
              <w:rPr>
                <w:sz w:val="15"/>
                <w:szCs w:val="15"/>
                <w:color w:val="auto"/>
              </w:rPr>
            </w:pPr>
          </w:p>
        </w:tc>
        <w:tc>
          <w:tcPr>
            <w:tcW w:w="9780" w:type="dxa"/>
            <w:vAlign w:val="bottom"/>
            <w:tcBorders>
              <w:bottom w:val="single" w:sz="8" w:color="0000EE"/>
            </w:tcBorders>
            <w:gridSpan w:val="26"/>
          </w:tcPr>
          <w:p>
            <w:pPr>
              <w:spacing w:after="0" w:line="174" w:lineRule="exact"/>
              <w:rPr>
                <w:rFonts w:ascii="Arial" w:cs="Arial" w:eastAsia="Arial" w:hAnsi="Arial"/>
                <w:sz w:val="16"/>
                <w:szCs w:val="16"/>
                <w:color w:val="0000EE"/>
                <w:w w:val="92"/>
              </w:rPr>
            </w:pPr>
            <w:hyperlink r:id="rId168">
              <w:r>
                <w:rPr>
                  <w:rFonts w:ascii="Arial" w:cs="Arial" w:eastAsia="Arial" w:hAnsi="Arial"/>
                  <w:sz w:val="16"/>
                  <w:szCs w:val="16"/>
                  <w:color w:val="0000EE"/>
                  <w:w w:val="92"/>
                </w:rPr>
                <w:t>by reference to Exhibit 10.1 of the Company’s Quarterly Report on Form 10-Q for the quarterly period ended March 31, 2017 as filed on May 9, 2017).</w:t>
              </w:r>
            </w:hyperlink>
          </w:p>
        </w:tc>
        <w:tc>
          <w:tcPr>
            <w:tcW w:w="60" w:type="dxa"/>
            <w:vAlign w:val="bottom"/>
            <w:gridSpan w:val="2"/>
          </w:tcPr>
          <w:p>
            <w:pPr>
              <w:spacing w:after="0"/>
              <w:rPr>
                <w:sz w:val="15"/>
                <w:szCs w:val="15"/>
                <w:color w:val="auto"/>
              </w:rPr>
            </w:pPr>
          </w:p>
        </w:tc>
      </w:tr>
      <w:tr>
        <w:trPr>
          <w:trHeight w:val="391"/>
        </w:trPr>
        <w:tc>
          <w:tcPr>
            <w:tcW w:w="1620" w:type="dxa"/>
            <w:vAlign w:val="bottom"/>
          </w:tcPr>
          <w:p>
            <w:pPr>
              <w:spacing w:after="0"/>
              <w:rPr>
                <w:sz w:val="20"/>
                <w:szCs w:val="20"/>
                <w:color w:val="auto"/>
              </w:rPr>
            </w:pPr>
            <w:r>
              <w:rPr>
                <w:rFonts w:ascii="Arial" w:cs="Arial" w:eastAsia="Arial" w:hAnsi="Arial"/>
                <w:sz w:val="16"/>
                <w:szCs w:val="16"/>
                <w:color w:val="auto"/>
              </w:rPr>
              <w:t>*(10.17)</w:t>
            </w:r>
          </w:p>
        </w:tc>
        <w:tc>
          <w:tcPr>
            <w:tcW w:w="9660" w:type="dxa"/>
            <w:vAlign w:val="bottom"/>
            <w:tcBorders>
              <w:bottom w:val="single" w:sz="8" w:color="0000EE"/>
            </w:tcBorders>
            <w:gridSpan w:val="20"/>
          </w:tcPr>
          <w:p>
            <w:pPr>
              <w:spacing w:after="0"/>
              <w:rPr>
                <w:rFonts w:ascii="Arial" w:cs="Arial" w:eastAsia="Arial" w:hAnsi="Arial"/>
                <w:sz w:val="16"/>
                <w:szCs w:val="16"/>
                <w:color w:val="0000EE"/>
                <w:w w:val="91"/>
              </w:rPr>
            </w:pPr>
            <w:hyperlink r:id="rId169">
              <w:r>
                <w:rPr>
                  <w:rFonts w:ascii="Arial" w:cs="Arial" w:eastAsia="Arial" w:hAnsi="Arial"/>
                  <w:sz w:val="16"/>
                  <w:szCs w:val="16"/>
                  <w:color w:val="0000EE"/>
                  <w:w w:val="91"/>
                </w:rPr>
                <w:t>Eastman Kodak Company 2013 Omnibus Incentive Plan Award Agreement for Jeffrey J. Clarke, dated March 12, 2014. (Incorporated by reference to</w:t>
              </w:r>
            </w:hyperlink>
          </w:p>
        </w:tc>
        <w:tc>
          <w:tcPr>
            <w:tcW w:w="180" w:type="dxa"/>
            <w:vAlign w:val="bottom"/>
            <w:gridSpan w:val="8"/>
          </w:tcPr>
          <w:p>
            <w:pPr>
              <w:spacing w:after="0"/>
              <w:rPr>
                <w:sz w:val="24"/>
                <w:szCs w:val="24"/>
                <w:color w:val="auto"/>
              </w:rPr>
            </w:pPr>
          </w:p>
        </w:tc>
      </w:tr>
      <w:tr>
        <w:trPr>
          <w:trHeight w:val="173"/>
        </w:trPr>
        <w:tc>
          <w:tcPr>
            <w:tcW w:w="1620" w:type="dxa"/>
            <w:vAlign w:val="bottom"/>
          </w:tcPr>
          <w:p>
            <w:pPr>
              <w:spacing w:after="0"/>
              <w:rPr>
                <w:sz w:val="15"/>
                <w:szCs w:val="15"/>
                <w:color w:val="auto"/>
              </w:rPr>
            </w:pPr>
          </w:p>
        </w:tc>
        <w:tc>
          <w:tcPr>
            <w:tcW w:w="9840" w:type="dxa"/>
            <w:vAlign w:val="bottom"/>
            <w:gridSpan w:val="28"/>
          </w:tcPr>
          <w:p>
            <w:pPr>
              <w:spacing w:after="0" w:line="174" w:lineRule="exact"/>
              <w:rPr>
                <w:rFonts w:ascii="Arial" w:cs="Arial" w:eastAsia="Arial" w:hAnsi="Arial"/>
                <w:sz w:val="16"/>
                <w:szCs w:val="16"/>
                <w:color w:val="0000EE"/>
              </w:rPr>
            </w:pPr>
            <w:hyperlink r:id="rId169">
              <w:r>
                <w:rPr>
                  <w:rFonts w:ascii="Arial" w:cs="Arial" w:eastAsia="Arial" w:hAnsi="Arial"/>
                  <w:sz w:val="16"/>
                  <w:szCs w:val="16"/>
                  <w:color w:val="0000EE"/>
                </w:rPr>
                <w:t>Exhibit 10.17 of the Company’s Annual Report on Form 10-K for the fiscal year ended December 31, 2016 as filed on March 7, 2017).</w:t>
              </w:r>
            </w:hyperlink>
          </w:p>
        </w:tc>
      </w:tr>
      <w:tr>
        <w:trPr>
          <w:trHeight w:val="20"/>
        </w:trPr>
        <w:tc>
          <w:tcPr>
            <w:tcW w:w="162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4600" w:type="dxa"/>
            <w:vAlign w:val="bottom"/>
            <w:gridSpan w:val="3"/>
            <w:shd w:val="clear" w:color="auto" w:fill="0000EE"/>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391"/>
        </w:trPr>
        <w:tc>
          <w:tcPr>
            <w:tcW w:w="1620" w:type="dxa"/>
            <w:vAlign w:val="bottom"/>
          </w:tcPr>
          <w:p>
            <w:pPr>
              <w:spacing w:after="0"/>
              <w:rPr>
                <w:sz w:val="20"/>
                <w:szCs w:val="20"/>
                <w:color w:val="auto"/>
              </w:rPr>
            </w:pPr>
            <w:r>
              <w:rPr>
                <w:rFonts w:ascii="Arial" w:cs="Arial" w:eastAsia="Arial" w:hAnsi="Arial"/>
                <w:sz w:val="16"/>
                <w:szCs w:val="16"/>
                <w:color w:val="auto"/>
              </w:rPr>
              <w:t>*(10.18)</w:t>
            </w:r>
          </w:p>
        </w:tc>
        <w:tc>
          <w:tcPr>
            <w:tcW w:w="9840" w:type="dxa"/>
            <w:vAlign w:val="bottom"/>
            <w:gridSpan w:val="28"/>
          </w:tcPr>
          <w:p>
            <w:pPr>
              <w:spacing w:after="0"/>
              <w:rPr>
                <w:rFonts w:ascii="Arial" w:cs="Arial" w:eastAsia="Arial" w:hAnsi="Arial"/>
                <w:sz w:val="16"/>
                <w:szCs w:val="16"/>
                <w:color w:val="0000EE"/>
                <w:w w:val="95"/>
              </w:rPr>
            </w:pPr>
            <w:hyperlink r:id="rId170">
              <w:r>
                <w:rPr>
                  <w:rFonts w:ascii="Arial" w:cs="Arial" w:eastAsia="Arial" w:hAnsi="Arial"/>
                  <w:sz w:val="16"/>
                  <w:szCs w:val="16"/>
                  <w:color w:val="0000EE"/>
                  <w:w w:val="95"/>
                </w:rPr>
                <w:t>Employment Agreement with Brad Kruchten, dated July 30, 2013. (Incorporated by reference to Exhibit 10.16 of the Company’s Annual Report on</w:t>
              </w:r>
            </w:hyperlink>
          </w:p>
        </w:tc>
      </w:tr>
      <w:tr>
        <w:trPr>
          <w:trHeight w:val="173"/>
        </w:trPr>
        <w:tc>
          <w:tcPr>
            <w:tcW w:w="1620" w:type="dxa"/>
            <w:vAlign w:val="bottom"/>
          </w:tcPr>
          <w:p>
            <w:pPr>
              <w:spacing w:after="0"/>
              <w:rPr>
                <w:sz w:val="15"/>
                <w:szCs w:val="15"/>
                <w:color w:val="auto"/>
              </w:rPr>
            </w:pPr>
          </w:p>
        </w:tc>
        <w:tc>
          <w:tcPr>
            <w:tcW w:w="5500" w:type="dxa"/>
            <w:vAlign w:val="bottom"/>
            <w:tcBorders>
              <w:top w:val="single" w:sz="8" w:color="0000EE"/>
              <w:bottom w:val="single" w:sz="8" w:color="0000EE"/>
            </w:tcBorders>
            <w:gridSpan w:val="5"/>
          </w:tcPr>
          <w:p>
            <w:pPr>
              <w:spacing w:after="0" w:line="174" w:lineRule="exact"/>
              <w:rPr>
                <w:rFonts w:ascii="Arial" w:cs="Arial" w:eastAsia="Arial" w:hAnsi="Arial"/>
                <w:sz w:val="16"/>
                <w:szCs w:val="16"/>
                <w:color w:val="0000EE"/>
                <w:w w:val="91"/>
              </w:rPr>
            </w:pPr>
            <w:hyperlink r:id="rId170">
              <w:r>
                <w:rPr>
                  <w:rFonts w:ascii="Arial" w:cs="Arial" w:eastAsia="Arial" w:hAnsi="Arial"/>
                  <w:sz w:val="16"/>
                  <w:szCs w:val="16"/>
                  <w:color w:val="0000EE"/>
                  <w:w w:val="91"/>
                </w:rPr>
                <w:t>Form 10-K for the fiscal year ended December 31, 2013 as filed on March 19, 2014).</w:t>
              </w:r>
            </w:hyperlink>
          </w:p>
        </w:tc>
        <w:tc>
          <w:tcPr>
            <w:tcW w:w="4000" w:type="dxa"/>
            <w:vAlign w:val="bottom"/>
            <w:tcBorders>
              <w:top w:val="single" w:sz="8" w:color="0000EE"/>
            </w:tcBorders>
            <w:gridSpan w:val="11"/>
          </w:tcPr>
          <w:p>
            <w:pPr>
              <w:spacing w:after="0"/>
              <w:rPr>
                <w:sz w:val="15"/>
                <w:szCs w:val="15"/>
                <w:color w:val="auto"/>
              </w:rPr>
            </w:pPr>
          </w:p>
        </w:tc>
        <w:tc>
          <w:tcPr>
            <w:tcW w:w="340" w:type="dxa"/>
            <w:vAlign w:val="bottom"/>
            <w:gridSpan w:val="12"/>
          </w:tcPr>
          <w:p>
            <w:pPr>
              <w:spacing w:after="0"/>
              <w:rPr>
                <w:sz w:val="15"/>
                <w:szCs w:val="15"/>
                <w:color w:val="auto"/>
              </w:rPr>
            </w:pPr>
          </w:p>
        </w:tc>
      </w:tr>
      <w:tr>
        <w:trPr>
          <w:trHeight w:val="391"/>
        </w:trPr>
        <w:tc>
          <w:tcPr>
            <w:tcW w:w="1620" w:type="dxa"/>
            <w:vAlign w:val="bottom"/>
          </w:tcPr>
          <w:p>
            <w:pPr>
              <w:spacing w:after="0"/>
              <w:rPr>
                <w:sz w:val="20"/>
                <w:szCs w:val="20"/>
                <w:color w:val="auto"/>
              </w:rPr>
            </w:pPr>
            <w:r>
              <w:rPr>
                <w:rFonts w:ascii="Arial" w:cs="Arial" w:eastAsia="Arial" w:hAnsi="Arial"/>
                <w:sz w:val="16"/>
                <w:szCs w:val="16"/>
                <w:color w:val="auto"/>
              </w:rPr>
              <w:t>*(10.19)</w:t>
            </w:r>
          </w:p>
        </w:tc>
        <w:tc>
          <w:tcPr>
            <w:tcW w:w="9760" w:type="dxa"/>
            <w:vAlign w:val="bottom"/>
            <w:tcBorders>
              <w:bottom w:val="single" w:sz="8" w:color="0000EE"/>
            </w:tcBorders>
            <w:gridSpan w:val="25"/>
          </w:tcPr>
          <w:p>
            <w:pPr>
              <w:spacing w:after="0"/>
              <w:rPr>
                <w:rFonts w:ascii="Arial" w:cs="Arial" w:eastAsia="Arial" w:hAnsi="Arial"/>
                <w:sz w:val="16"/>
                <w:szCs w:val="16"/>
                <w:color w:val="0000EE"/>
                <w:w w:val="91"/>
              </w:rPr>
            </w:pPr>
            <w:hyperlink r:id="rId171">
              <w:r>
                <w:rPr>
                  <w:rFonts w:ascii="Arial" w:cs="Arial" w:eastAsia="Arial" w:hAnsi="Arial"/>
                  <w:sz w:val="16"/>
                  <w:szCs w:val="16"/>
                  <w:color w:val="0000EE"/>
                  <w:w w:val="91"/>
                </w:rPr>
                <w:t>Employment Agreement between Eastman Kodak Sàrl and Philip Cullimore dated December 9, 2010. (Incorporated by reference to Exhibit 10.1 of the</w:t>
              </w:r>
            </w:hyperlink>
          </w:p>
        </w:tc>
        <w:tc>
          <w:tcPr>
            <w:tcW w:w="80" w:type="dxa"/>
            <w:vAlign w:val="bottom"/>
            <w:gridSpan w:val="3"/>
          </w:tcPr>
          <w:p>
            <w:pPr>
              <w:spacing w:after="0"/>
              <w:rPr>
                <w:sz w:val="24"/>
                <w:szCs w:val="24"/>
                <w:color w:val="auto"/>
              </w:rPr>
            </w:pPr>
          </w:p>
        </w:tc>
      </w:tr>
      <w:tr>
        <w:trPr>
          <w:trHeight w:val="173"/>
        </w:trPr>
        <w:tc>
          <w:tcPr>
            <w:tcW w:w="1620" w:type="dxa"/>
            <w:vAlign w:val="bottom"/>
          </w:tcPr>
          <w:p>
            <w:pPr>
              <w:spacing w:after="0"/>
              <w:rPr>
                <w:sz w:val="15"/>
                <w:szCs w:val="15"/>
                <w:color w:val="auto"/>
              </w:rPr>
            </w:pPr>
          </w:p>
        </w:tc>
        <w:tc>
          <w:tcPr>
            <w:tcW w:w="9840" w:type="dxa"/>
            <w:vAlign w:val="bottom"/>
            <w:gridSpan w:val="28"/>
          </w:tcPr>
          <w:p>
            <w:pPr>
              <w:spacing w:after="0" w:line="174" w:lineRule="exact"/>
              <w:rPr>
                <w:rFonts w:ascii="Arial" w:cs="Arial" w:eastAsia="Arial" w:hAnsi="Arial"/>
                <w:sz w:val="16"/>
                <w:szCs w:val="16"/>
                <w:color w:val="0000EE"/>
              </w:rPr>
            </w:pPr>
            <w:hyperlink r:id="rId171">
              <w:r>
                <w:rPr>
                  <w:rFonts w:ascii="Arial" w:cs="Arial" w:eastAsia="Arial" w:hAnsi="Arial"/>
                  <w:sz w:val="16"/>
                  <w:szCs w:val="16"/>
                  <w:color w:val="0000EE"/>
                </w:rPr>
                <w:t>Company’s Quarterly Report on Form 10-Q for the quarterly period ended March 31, 2016 as filed on May 5, 2016).</w:t>
              </w:r>
            </w:hyperlink>
          </w:p>
        </w:tc>
      </w:tr>
      <w:tr>
        <w:trPr>
          <w:trHeight w:val="20"/>
        </w:trPr>
        <w:tc>
          <w:tcPr>
            <w:tcW w:w="162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5900" w:type="dxa"/>
            <w:vAlign w:val="bottom"/>
            <w:gridSpan w:val="5"/>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980" w:type="dxa"/>
            <w:vAlign w:val="bottom"/>
            <w:gridSpan w:val="7"/>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r>
      <w:tr>
        <w:trPr>
          <w:trHeight w:val="560"/>
        </w:trPr>
        <w:tc>
          <w:tcPr>
            <w:tcW w:w="1620" w:type="dxa"/>
            <w:vAlign w:val="bottom"/>
          </w:tcPr>
          <w:p>
            <w:pPr>
              <w:spacing w:after="0"/>
              <w:rPr>
                <w:sz w:val="20"/>
                <w:szCs w:val="20"/>
                <w:color w:val="auto"/>
              </w:rPr>
            </w:pPr>
            <w:r>
              <w:rPr>
                <w:rFonts w:ascii="Arial" w:cs="Arial" w:eastAsia="Arial" w:hAnsi="Arial"/>
                <w:sz w:val="16"/>
                <w:szCs w:val="16"/>
                <w:color w:val="auto"/>
              </w:rPr>
              <w:t>*(10.20)</w:t>
            </w:r>
          </w:p>
        </w:tc>
        <w:tc>
          <w:tcPr>
            <w:tcW w:w="9840" w:type="dxa"/>
            <w:vAlign w:val="bottom"/>
            <w:gridSpan w:val="28"/>
          </w:tcPr>
          <w:p>
            <w:pPr>
              <w:spacing w:after="0"/>
              <w:rPr>
                <w:rFonts w:ascii="Arial" w:cs="Arial" w:eastAsia="Arial" w:hAnsi="Arial"/>
                <w:sz w:val="16"/>
                <w:szCs w:val="16"/>
                <w:color w:val="0000EE"/>
                <w:w w:val="94"/>
              </w:rPr>
            </w:pPr>
            <w:hyperlink r:id="rId172">
              <w:r>
                <w:rPr>
                  <w:rFonts w:ascii="Arial" w:cs="Arial" w:eastAsia="Arial" w:hAnsi="Arial"/>
                  <w:sz w:val="16"/>
                  <w:szCs w:val="16"/>
                  <w:color w:val="0000EE"/>
                  <w:w w:val="94"/>
                </w:rPr>
                <w:t>Addendum to Employment Agreement between Eastman Kodak Sàrl and Philip Cullimore, effective January 1, 2013. (Incorporated by reference to</w:t>
              </w:r>
            </w:hyperlink>
          </w:p>
        </w:tc>
      </w:tr>
      <w:tr>
        <w:trPr>
          <w:trHeight w:val="173"/>
        </w:trPr>
        <w:tc>
          <w:tcPr>
            <w:tcW w:w="1620" w:type="dxa"/>
            <w:vAlign w:val="bottom"/>
          </w:tcPr>
          <w:p>
            <w:pPr>
              <w:spacing w:after="0"/>
              <w:rPr>
                <w:sz w:val="15"/>
                <w:szCs w:val="15"/>
                <w:color w:val="auto"/>
              </w:rPr>
            </w:pPr>
          </w:p>
        </w:tc>
        <w:tc>
          <w:tcPr>
            <w:tcW w:w="8780" w:type="dxa"/>
            <w:vAlign w:val="bottom"/>
            <w:tcBorders>
              <w:top w:val="single" w:sz="8" w:color="0000EE"/>
              <w:bottom w:val="single" w:sz="8" w:color="0000EE"/>
            </w:tcBorders>
            <w:gridSpan w:val="12"/>
          </w:tcPr>
          <w:p>
            <w:pPr>
              <w:spacing w:after="0" w:line="174" w:lineRule="exact"/>
              <w:rPr>
                <w:rFonts w:ascii="Arial" w:cs="Arial" w:eastAsia="Arial" w:hAnsi="Arial"/>
                <w:sz w:val="16"/>
                <w:szCs w:val="16"/>
                <w:color w:val="0000EE"/>
                <w:w w:val="92"/>
              </w:rPr>
            </w:pPr>
            <w:hyperlink r:id="rId172">
              <w:r>
                <w:rPr>
                  <w:rFonts w:ascii="Arial" w:cs="Arial" w:eastAsia="Arial" w:hAnsi="Arial"/>
                  <w:sz w:val="16"/>
                  <w:szCs w:val="16"/>
                  <w:color w:val="0000EE"/>
                  <w:w w:val="92"/>
                </w:rPr>
                <w:t>Exhibit 10.2 of the Company’s Quarterly Report on Form 10-Q for the quarterly period ended March 31, 2016 as filed on May 5, 2016).</w:t>
              </w:r>
            </w:hyperlink>
          </w:p>
        </w:tc>
        <w:tc>
          <w:tcPr>
            <w:tcW w:w="720" w:type="dxa"/>
            <w:vAlign w:val="bottom"/>
            <w:tcBorders>
              <w:top w:val="single" w:sz="8" w:color="0000EE"/>
            </w:tcBorders>
            <w:gridSpan w:val="4"/>
          </w:tcPr>
          <w:p>
            <w:pPr>
              <w:spacing w:after="0"/>
              <w:rPr>
                <w:sz w:val="15"/>
                <w:szCs w:val="15"/>
                <w:color w:val="auto"/>
              </w:rPr>
            </w:pPr>
          </w:p>
        </w:tc>
        <w:tc>
          <w:tcPr>
            <w:tcW w:w="340" w:type="dxa"/>
            <w:vAlign w:val="bottom"/>
            <w:gridSpan w:val="12"/>
          </w:tcPr>
          <w:p>
            <w:pPr>
              <w:spacing w:after="0"/>
              <w:rPr>
                <w:sz w:val="15"/>
                <w:szCs w:val="15"/>
                <w:color w:val="auto"/>
              </w:rPr>
            </w:pPr>
          </w:p>
        </w:tc>
      </w:tr>
      <w:tr>
        <w:trPr>
          <w:trHeight w:val="391"/>
        </w:trPr>
        <w:tc>
          <w:tcPr>
            <w:tcW w:w="1620" w:type="dxa"/>
            <w:vAlign w:val="bottom"/>
          </w:tcPr>
          <w:p>
            <w:pPr>
              <w:spacing w:after="0"/>
              <w:rPr>
                <w:sz w:val="20"/>
                <w:szCs w:val="20"/>
                <w:color w:val="auto"/>
              </w:rPr>
            </w:pPr>
            <w:r>
              <w:rPr>
                <w:rFonts w:ascii="Arial" w:cs="Arial" w:eastAsia="Arial" w:hAnsi="Arial"/>
                <w:sz w:val="16"/>
                <w:szCs w:val="16"/>
                <w:color w:val="auto"/>
              </w:rPr>
              <w:t>*(10.21)</w:t>
            </w:r>
          </w:p>
        </w:tc>
        <w:tc>
          <w:tcPr>
            <w:tcW w:w="9660" w:type="dxa"/>
            <w:vAlign w:val="bottom"/>
            <w:tcBorders>
              <w:bottom w:val="single" w:sz="8" w:color="0000EE"/>
            </w:tcBorders>
            <w:gridSpan w:val="20"/>
          </w:tcPr>
          <w:p>
            <w:pPr>
              <w:spacing w:after="0"/>
              <w:rPr>
                <w:rFonts w:ascii="Arial" w:cs="Arial" w:eastAsia="Arial" w:hAnsi="Arial"/>
                <w:sz w:val="16"/>
                <w:szCs w:val="16"/>
                <w:color w:val="0000EE"/>
                <w:w w:val="91"/>
              </w:rPr>
            </w:pPr>
            <w:hyperlink r:id="rId173">
              <w:r>
                <w:rPr>
                  <w:rFonts w:ascii="Arial" w:cs="Arial" w:eastAsia="Arial" w:hAnsi="Arial"/>
                  <w:sz w:val="16"/>
                  <w:szCs w:val="16"/>
                  <w:color w:val="0000EE"/>
                  <w:w w:val="91"/>
                </w:rPr>
                <w:t>Amendment No. 1 to Employment Agreement dated December 9, 2010 between Eastman Kodak Sàrl and Philip Cullimore, dated September 9, 2013.</w:t>
              </w:r>
            </w:hyperlink>
          </w:p>
        </w:tc>
        <w:tc>
          <w:tcPr>
            <w:tcW w:w="180" w:type="dxa"/>
            <w:vAlign w:val="bottom"/>
            <w:gridSpan w:val="8"/>
          </w:tcPr>
          <w:p>
            <w:pPr>
              <w:spacing w:after="0"/>
              <w:rPr>
                <w:sz w:val="24"/>
                <w:szCs w:val="24"/>
                <w:color w:val="auto"/>
              </w:rPr>
            </w:pPr>
          </w:p>
        </w:tc>
      </w:tr>
      <w:tr>
        <w:trPr>
          <w:trHeight w:val="173"/>
        </w:trPr>
        <w:tc>
          <w:tcPr>
            <w:tcW w:w="1620" w:type="dxa"/>
            <w:vAlign w:val="bottom"/>
          </w:tcPr>
          <w:p>
            <w:pPr>
              <w:spacing w:after="0"/>
              <w:rPr>
                <w:sz w:val="15"/>
                <w:szCs w:val="15"/>
                <w:color w:val="auto"/>
              </w:rPr>
            </w:pPr>
          </w:p>
        </w:tc>
        <w:tc>
          <w:tcPr>
            <w:tcW w:w="9840" w:type="dxa"/>
            <w:vAlign w:val="bottom"/>
            <w:gridSpan w:val="28"/>
          </w:tcPr>
          <w:p>
            <w:pPr>
              <w:spacing w:after="0" w:line="174" w:lineRule="exact"/>
              <w:rPr>
                <w:rFonts w:ascii="Arial" w:cs="Arial" w:eastAsia="Arial" w:hAnsi="Arial"/>
                <w:sz w:val="16"/>
                <w:szCs w:val="16"/>
                <w:color w:val="0000EE"/>
                <w:w w:val="92"/>
              </w:rPr>
            </w:pPr>
            <w:hyperlink r:id="rId173">
              <w:r>
                <w:rPr>
                  <w:rFonts w:ascii="Arial" w:cs="Arial" w:eastAsia="Arial" w:hAnsi="Arial"/>
                  <w:sz w:val="16"/>
                  <w:szCs w:val="16"/>
                  <w:color w:val="0000EE"/>
                  <w:w w:val="92"/>
                </w:rPr>
                <w:t>(Incorporated by reference to Exhibit 10.3 of the Company’s Quarterly Report on Form 10-Q for the quarterly period ended March 31, 2016 as filed on</w:t>
              </w:r>
            </w:hyperlink>
          </w:p>
        </w:tc>
      </w:tr>
      <w:tr>
        <w:trPr>
          <w:trHeight w:val="173"/>
        </w:trPr>
        <w:tc>
          <w:tcPr>
            <w:tcW w:w="1620" w:type="dxa"/>
            <w:vAlign w:val="bottom"/>
          </w:tcPr>
          <w:p>
            <w:pPr>
              <w:spacing w:after="0"/>
              <w:rPr>
                <w:sz w:val="15"/>
                <w:szCs w:val="15"/>
                <w:color w:val="auto"/>
              </w:rPr>
            </w:pPr>
          </w:p>
        </w:tc>
        <w:tc>
          <w:tcPr>
            <w:tcW w:w="9740" w:type="dxa"/>
            <w:vAlign w:val="bottom"/>
            <w:tcBorders>
              <w:top w:val="single" w:sz="8" w:color="0000EE"/>
            </w:tcBorders>
            <w:gridSpan w:val="24"/>
          </w:tcPr>
          <w:p>
            <w:pPr>
              <w:spacing w:after="0" w:line="174" w:lineRule="exact"/>
              <w:rPr>
                <w:rFonts w:ascii="Arial" w:cs="Arial" w:eastAsia="Arial" w:hAnsi="Arial"/>
                <w:sz w:val="16"/>
                <w:szCs w:val="16"/>
                <w:color w:val="0000EE"/>
              </w:rPr>
            </w:pPr>
            <w:hyperlink r:id="rId173">
              <w:r>
                <w:rPr>
                  <w:rFonts w:ascii="Arial" w:cs="Arial" w:eastAsia="Arial" w:hAnsi="Arial"/>
                  <w:sz w:val="16"/>
                  <w:szCs w:val="16"/>
                  <w:color w:val="0000EE"/>
                </w:rPr>
                <w:t>May 5, 2016).</w:t>
              </w:r>
            </w:hyperlink>
          </w:p>
        </w:tc>
        <w:tc>
          <w:tcPr>
            <w:tcW w:w="100" w:type="dxa"/>
            <w:vAlign w:val="bottom"/>
            <w:gridSpan w:val="4"/>
          </w:tcPr>
          <w:p>
            <w:pPr>
              <w:spacing w:after="0"/>
              <w:rPr>
                <w:sz w:val="15"/>
                <w:szCs w:val="15"/>
                <w:color w:val="auto"/>
              </w:rPr>
            </w:pPr>
          </w:p>
        </w:tc>
      </w:tr>
      <w:tr>
        <w:trPr>
          <w:trHeight w:val="20"/>
        </w:trPr>
        <w:tc>
          <w:tcPr>
            <w:tcW w:w="162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5900" w:type="dxa"/>
            <w:vAlign w:val="bottom"/>
            <w:gridSpan w:val="5"/>
          </w:tcPr>
          <w:p>
            <w:pPr>
              <w:spacing w:after="0" w:line="20" w:lineRule="exact"/>
              <w:rPr>
                <w:sz w:val="1"/>
                <w:szCs w:val="1"/>
                <w:color w:val="auto"/>
              </w:rPr>
            </w:pPr>
          </w:p>
        </w:tc>
        <w:tc>
          <w:tcPr>
            <w:tcW w:w="2900" w:type="dxa"/>
            <w:vAlign w:val="bottom"/>
            <w:gridSpan w:val="15"/>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r>
      <w:tr>
        <w:trPr>
          <w:trHeight w:val="391"/>
        </w:trPr>
        <w:tc>
          <w:tcPr>
            <w:tcW w:w="1620" w:type="dxa"/>
            <w:vAlign w:val="bottom"/>
          </w:tcPr>
          <w:p>
            <w:pPr>
              <w:spacing w:after="0"/>
              <w:rPr>
                <w:sz w:val="20"/>
                <w:szCs w:val="20"/>
                <w:color w:val="auto"/>
              </w:rPr>
            </w:pPr>
            <w:r>
              <w:rPr>
                <w:rFonts w:ascii="Arial" w:cs="Arial" w:eastAsia="Arial" w:hAnsi="Arial"/>
                <w:sz w:val="16"/>
                <w:szCs w:val="16"/>
                <w:color w:val="auto"/>
              </w:rPr>
              <w:t>*(10.22)</w:t>
            </w:r>
          </w:p>
        </w:tc>
        <w:tc>
          <w:tcPr>
            <w:tcW w:w="9700" w:type="dxa"/>
            <w:vAlign w:val="bottom"/>
            <w:tcBorders>
              <w:bottom w:val="single" w:sz="8" w:color="0000EE"/>
            </w:tcBorders>
            <w:gridSpan w:val="22"/>
          </w:tcPr>
          <w:p>
            <w:pPr>
              <w:spacing w:after="0"/>
              <w:rPr>
                <w:rFonts w:ascii="Arial" w:cs="Arial" w:eastAsia="Arial" w:hAnsi="Arial"/>
                <w:sz w:val="16"/>
                <w:szCs w:val="16"/>
                <w:color w:val="0000EE"/>
                <w:w w:val="91"/>
              </w:rPr>
            </w:pPr>
            <w:hyperlink r:id="rId174">
              <w:r>
                <w:rPr>
                  <w:rFonts w:ascii="Arial" w:cs="Arial" w:eastAsia="Arial" w:hAnsi="Arial"/>
                  <w:sz w:val="16"/>
                  <w:szCs w:val="16"/>
                  <w:color w:val="0000EE"/>
                  <w:w w:val="91"/>
                </w:rPr>
                <w:t>Retention Letter between Eastman Kodak Sàrl and Philip Cullimore dated May 24, 2016. (Incorporated by reference to Exhibit 10.4 of the Company’s</w:t>
              </w:r>
            </w:hyperlink>
          </w:p>
        </w:tc>
        <w:tc>
          <w:tcPr>
            <w:tcW w:w="140" w:type="dxa"/>
            <w:vAlign w:val="bottom"/>
            <w:gridSpan w:val="6"/>
          </w:tcPr>
          <w:p>
            <w:pPr>
              <w:spacing w:after="0"/>
              <w:rPr>
                <w:sz w:val="24"/>
                <w:szCs w:val="24"/>
                <w:color w:val="auto"/>
              </w:rPr>
            </w:pPr>
          </w:p>
        </w:tc>
      </w:tr>
      <w:tr>
        <w:trPr>
          <w:trHeight w:val="173"/>
        </w:trPr>
        <w:tc>
          <w:tcPr>
            <w:tcW w:w="1620" w:type="dxa"/>
            <w:vAlign w:val="bottom"/>
          </w:tcPr>
          <w:p>
            <w:pPr>
              <w:spacing w:after="0"/>
              <w:rPr>
                <w:sz w:val="15"/>
                <w:szCs w:val="15"/>
                <w:color w:val="auto"/>
              </w:rPr>
            </w:pPr>
          </w:p>
        </w:tc>
        <w:tc>
          <w:tcPr>
            <w:tcW w:w="9840" w:type="dxa"/>
            <w:vAlign w:val="bottom"/>
            <w:gridSpan w:val="28"/>
          </w:tcPr>
          <w:p>
            <w:pPr>
              <w:spacing w:after="0" w:line="174" w:lineRule="exact"/>
              <w:rPr>
                <w:rFonts w:ascii="Arial" w:cs="Arial" w:eastAsia="Arial" w:hAnsi="Arial"/>
                <w:sz w:val="16"/>
                <w:szCs w:val="16"/>
                <w:color w:val="0000EE"/>
              </w:rPr>
            </w:pPr>
            <w:hyperlink r:id="rId174">
              <w:r>
                <w:rPr>
                  <w:rFonts w:ascii="Arial" w:cs="Arial" w:eastAsia="Arial" w:hAnsi="Arial"/>
                  <w:sz w:val="16"/>
                  <w:szCs w:val="16"/>
                  <w:color w:val="0000EE"/>
                </w:rPr>
                <w:t>Quarterly Report on Form 10-Q for the quarterly period ended June 30, 2016 as filed on August 9, 2016).</w:t>
              </w:r>
            </w:hyperlink>
          </w:p>
        </w:tc>
      </w:tr>
      <w:tr>
        <w:trPr>
          <w:trHeight w:val="620"/>
        </w:trPr>
        <w:tc>
          <w:tcPr>
            <w:tcW w:w="1620" w:type="dxa"/>
            <w:vAlign w:val="bottom"/>
          </w:tcPr>
          <w:p>
            <w:pPr>
              <w:spacing w:after="0"/>
              <w:rPr>
                <w:sz w:val="24"/>
                <w:szCs w:val="24"/>
                <w:color w:val="auto"/>
              </w:rPr>
            </w:pPr>
          </w:p>
        </w:tc>
        <w:tc>
          <w:tcPr>
            <w:tcW w:w="5500" w:type="dxa"/>
            <w:vAlign w:val="bottom"/>
            <w:tcBorders>
              <w:top w:val="single" w:sz="8" w:color="0000EE"/>
            </w:tcBorders>
            <w:gridSpan w:val="5"/>
          </w:tcPr>
          <w:p>
            <w:pPr>
              <w:ind w:left="3980"/>
              <w:spacing w:after="0"/>
              <w:rPr>
                <w:sz w:val="20"/>
                <w:szCs w:val="20"/>
                <w:color w:val="auto"/>
              </w:rPr>
            </w:pPr>
            <w:r>
              <w:rPr>
                <w:rFonts w:ascii="Arial" w:cs="Arial" w:eastAsia="Arial" w:hAnsi="Arial"/>
                <w:sz w:val="16"/>
                <w:szCs w:val="16"/>
                <w:color w:val="auto"/>
              </w:rPr>
              <w:t>108</w:t>
            </w:r>
          </w:p>
        </w:tc>
        <w:tc>
          <w:tcPr>
            <w:tcW w:w="11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01"/>
        </w:trPr>
        <w:tc>
          <w:tcPr>
            <w:tcW w:w="162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406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7253605</wp:posOffset>
            </wp:positionH>
            <wp:positionV relativeFrom="paragraph">
              <wp:posOffset>-27305</wp:posOffset>
            </wp:positionV>
            <wp:extent cx="33020" cy="406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5">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-27305</wp:posOffset>
            </wp:positionV>
            <wp:extent cx="33020" cy="406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6">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460"/>
          </w:cols>
          <w:pgMar w:left="240" w:top="113" w:right="199" w:bottom="144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184"/>
        </w:trPr>
        <w:tc>
          <w:tcPr>
            <w:tcW w:w="1620" w:type="dxa"/>
            <w:vAlign w:val="bottom"/>
          </w:tcPr>
          <w:p>
            <w:pPr>
              <w:spacing w:after="0"/>
              <w:rPr>
                <w:sz w:val="20"/>
                <w:szCs w:val="20"/>
                <w:color w:val="auto"/>
              </w:rPr>
            </w:pPr>
            <w:r>
              <w:rPr>
                <w:rFonts w:ascii="Arial" w:cs="Arial" w:eastAsia="Arial" w:hAnsi="Arial"/>
                <w:sz w:val="16"/>
                <w:szCs w:val="16"/>
                <w:color w:val="auto"/>
              </w:rPr>
              <w:t>*(10.23)</w:t>
            </w:r>
          </w:p>
        </w:tc>
        <w:tc>
          <w:tcPr>
            <w:tcW w:w="9540" w:type="dxa"/>
            <w:vAlign w:val="bottom"/>
            <w:tcBorders>
              <w:bottom w:val="single" w:sz="8" w:color="0000EE"/>
            </w:tcBorders>
            <w:gridSpan w:val="23"/>
          </w:tcPr>
          <w:p>
            <w:pPr>
              <w:spacing w:after="0"/>
              <w:rPr>
                <w:rFonts w:ascii="Arial" w:cs="Arial" w:eastAsia="Arial" w:hAnsi="Arial"/>
                <w:sz w:val="16"/>
                <w:szCs w:val="16"/>
                <w:color w:val="0000EE"/>
                <w:w w:val="91"/>
              </w:rPr>
            </w:pPr>
            <w:hyperlink r:id="rId177">
              <w:r>
                <w:rPr>
                  <w:rFonts w:ascii="Arial" w:cs="Arial" w:eastAsia="Arial" w:hAnsi="Arial"/>
                  <w:sz w:val="16"/>
                  <w:szCs w:val="16"/>
                  <w:color w:val="0000EE"/>
                  <w:w w:val="91"/>
                </w:rPr>
                <w:t>Separation and General Release Agreement between Eastman Kodak Sàrl and Philip Cullimore, dated April 24, 2017. (Incorporated by reference to</w:t>
              </w:r>
            </w:hyperlink>
          </w:p>
        </w:tc>
        <w:tc>
          <w:tcPr>
            <w:tcW w:w="300" w:type="dxa"/>
            <w:vAlign w:val="bottom"/>
            <w:gridSpan w:val="11"/>
          </w:tcPr>
          <w:p>
            <w:pPr>
              <w:spacing w:after="0"/>
              <w:rPr>
                <w:sz w:val="16"/>
                <w:szCs w:val="16"/>
                <w:color w:val="auto"/>
              </w:rPr>
            </w:pPr>
          </w:p>
        </w:tc>
      </w:tr>
      <w:tr>
        <w:trPr>
          <w:trHeight w:val="173"/>
        </w:trPr>
        <w:tc>
          <w:tcPr>
            <w:tcW w:w="1620" w:type="dxa"/>
            <w:vAlign w:val="bottom"/>
          </w:tcPr>
          <w:p>
            <w:pPr>
              <w:spacing w:after="0"/>
              <w:rPr>
                <w:sz w:val="15"/>
                <w:szCs w:val="15"/>
                <w:color w:val="auto"/>
              </w:rPr>
            </w:pPr>
          </w:p>
        </w:tc>
        <w:tc>
          <w:tcPr>
            <w:tcW w:w="8820" w:type="dxa"/>
            <w:vAlign w:val="bottom"/>
            <w:tcBorders>
              <w:bottom w:val="single" w:sz="8" w:color="0000EE"/>
            </w:tcBorders>
            <w:gridSpan w:val="12"/>
          </w:tcPr>
          <w:p>
            <w:pPr>
              <w:spacing w:after="0" w:line="174" w:lineRule="exact"/>
              <w:rPr>
                <w:rFonts w:ascii="Arial" w:cs="Arial" w:eastAsia="Arial" w:hAnsi="Arial"/>
                <w:sz w:val="16"/>
                <w:szCs w:val="16"/>
                <w:color w:val="0000EE"/>
                <w:w w:val="91"/>
              </w:rPr>
            </w:pPr>
            <w:hyperlink r:id="rId177">
              <w:r>
                <w:rPr>
                  <w:rFonts w:ascii="Arial" w:cs="Arial" w:eastAsia="Arial" w:hAnsi="Arial"/>
                  <w:sz w:val="16"/>
                  <w:szCs w:val="16"/>
                  <w:color w:val="0000EE"/>
                  <w:w w:val="91"/>
                </w:rPr>
                <w:t>Exhibit 10.1 of the Company’s Quarterly Report on Form 10-Q for the quarterly period ended June 30, 2017 as filed on August 9, 2017).</w:t>
              </w:r>
            </w:hyperlink>
          </w:p>
        </w:tc>
        <w:tc>
          <w:tcPr>
            <w:tcW w:w="1020" w:type="dxa"/>
            <w:vAlign w:val="bottom"/>
            <w:gridSpan w:val="22"/>
          </w:tcPr>
          <w:p>
            <w:pPr>
              <w:spacing w:after="0"/>
              <w:rPr>
                <w:sz w:val="15"/>
                <w:szCs w:val="15"/>
                <w:color w:val="auto"/>
              </w:rPr>
            </w:pPr>
          </w:p>
        </w:tc>
      </w:tr>
      <w:tr>
        <w:trPr>
          <w:trHeight w:val="391"/>
        </w:trPr>
        <w:tc>
          <w:tcPr>
            <w:tcW w:w="1620" w:type="dxa"/>
            <w:vAlign w:val="bottom"/>
          </w:tcPr>
          <w:p>
            <w:pPr>
              <w:spacing w:after="0"/>
              <w:rPr>
                <w:sz w:val="20"/>
                <w:szCs w:val="20"/>
                <w:color w:val="auto"/>
              </w:rPr>
            </w:pPr>
            <w:r>
              <w:rPr>
                <w:rFonts w:ascii="Arial" w:cs="Arial" w:eastAsia="Arial" w:hAnsi="Arial"/>
                <w:sz w:val="16"/>
                <w:szCs w:val="16"/>
                <w:color w:val="auto"/>
              </w:rPr>
              <w:t>*(10.24)</w:t>
            </w:r>
          </w:p>
        </w:tc>
        <w:tc>
          <w:tcPr>
            <w:tcW w:w="9520" w:type="dxa"/>
            <w:vAlign w:val="bottom"/>
            <w:tcBorders>
              <w:bottom w:val="single" w:sz="8" w:color="0000EE"/>
            </w:tcBorders>
            <w:gridSpan w:val="22"/>
          </w:tcPr>
          <w:p>
            <w:pPr>
              <w:spacing w:after="0"/>
              <w:rPr>
                <w:rFonts w:ascii="Arial" w:cs="Arial" w:eastAsia="Arial" w:hAnsi="Arial"/>
                <w:sz w:val="16"/>
                <w:szCs w:val="16"/>
                <w:color w:val="0000EE"/>
                <w:w w:val="91"/>
              </w:rPr>
            </w:pPr>
            <w:hyperlink r:id="rId178">
              <w:r>
                <w:rPr>
                  <w:rFonts w:ascii="Arial" w:cs="Arial" w:eastAsia="Arial" w:hAnsi="Arial"/>
                  <w:sz w:val="16"/>
                  <w:szCs w:val="16"/>
                  <w:color w:val="0000EE"/>
                  <w:w w:val="91"/>
                </w:rPr>
                <w:t>Employment Agreement between Eastman Kodak Company and Eric Mahe, dated April 23, 2014. (Incorporated by reference to Exhibit 10.4 of the</w:t>
              </w:r>
            </w:hyperlink>
          </w:p>
        </w:tc>
        <w:tc>
          <w:tcPr>
            <w:tcW w:w="320" w:type="dxa"/>
            <w:vAlign w:val="bottom"/>
            <w:gridSpan w:val="12"/>
          </w:tcPr>
          <w:p>
            <w:pPr>
              <w:spacing w:after="0"/>
              <w:rPr>
                <w:sz w:val="24"/>
                <w:szCs w:val="24"/>
                <w:color w:val="auto"/>
              </w:rPr>
            </w:pPr>
          </w:p>
        </w:tc>
      </w:tr>
      <w:tr>
        <w:trPr>
          <w:trHeight w:val="173"/>
        </w:trPr>
        <w:tc>
          <w:tcPr>
            <w:tcW w:w="1620" w:type="dxa"/>
            <w:vAlign w:val="bottom"/>
          </w:tcPr>
          <w:p>
            <w:pPr>
              <w:spacing w:after="0"/>
              <w:rPr>
                <w:sz w:val="15"/>
                <w:szCs w:val="15"/>
                <w:color w:val="auto"/>
              </w:rPr>
            </w:pPr>
          </w:p>
        </w:tc>
        <w:tc>
          <w:tcPr>
            <w:tcW w:w="9840" w:type="dxa"/>
            <w:vAlign w:val="bottom"/>
            <w:gridSpan w:val="34"/>
          </w:tcPr>
          <w:p>
            <w:pPr>
              <w:spacing w:after="0" w:line="174" w:lineRule="exact"/>
              <w:rPr>
                <w:rFonts w:ascii="Arial" w:cs="Arial" w:eastAsia="Arial" w:hAnsi="Arial"/>
                <w:sz w:val="16"/>
                <w:szCs w:val="16"/>
                <w:color w:val="0000EE"/>
              </w:rPr>
            </w:pPr>
            <w:hyperlink r:id="rId178">
              <w:r>
                <w:rPr>
                  <w:rFonts w:ascii="Arial" w:cs="Arial" w:eastAsia="Arial" w:hAnsi="Arial"/>
                  <w:sz w:val="16"/>
                  <w:szCs w:val="16"/>
                  <w:color w:val="0000EE"/>
                </w:rPr>
                <w:t>Company’s Quarterly Report on Form 10-Q for the quarterly period ended March 31, 2016 as filed on May 5, 2016).</w:t>
              </w:r>
            </w:hyperlink>
          </w:p>
        </w:tc>
      </w:tr>
      <w:tr>
        <w:trPr>
          <w:trHeight w:val="20"/>
        </w:trPr>
        <w:tc>
          <w:tcPr>
            <w:tcW w:w="1620" w:type="dxa"/>
            <w:vAlign w:val="bottom"/>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7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91"/>
        </w:trPr>
        <w:tc>
          <w:tcPr>
            <w:tcW w:w="1620" w:type="dxa"/>
            <w:vAlign w:val="bottom"/>
          </w:tcPr>
          <w:p>
            <w:pPr>
              <w:spacing w:after="0"/>
              <w:rPr>
                <w:sz w:val="20"/>
                <w:szCs w:val="20"/>
                <w:color w:val="auto"/>
              </w:rPr>
            </w:pPr>
            <w:r>
              <w:rPr>
                <w:rFonts w:ascii="Arial" w:cs="Arial" w:eastAsia="Arial" w:hAnsi="Arial"/>
                <w:sz w:val="16"/>
                <w:szCs w:val="16"/>
                <w:color w:val="auto"/>
              </w:rPr>
              <w:t>*(10.25)</w:t>
            </w:r>
          </w:p>
        </w:tc>
        <w:tc>
          <w:tcPr>
            <w:tcW w:w="9680" w:type="dxa"/>
            <w:vAlign w:val="bottom"/>
            <w:tcBorders>
              <w:bottom w:val="single" w:sz="8" w:color="0000EE"/>
            </w:tcBorders>
            <w:gridSpan w:val="30"/>
          </w:tcPr>
          <w:p>
            <w:pPr>
              <w:spacing w:after="0"/>
              <w:rPr>
                <w:rFonts w:ascii="Arial" w:cs="Arial" w:eastAsia="Arial" w:hAnsi="Arial"/>
                <w:sz w:val="16"/>
                <w:szCs w:val="16"/>
                <w:color w:val="0000EE"/>
                <w:w w:val="91"/>
              </w:rPr>
            </w:pPr>
            <w:hyperlink r:id="rId179">
              <w:r>
                <w:rPr>
                  <w:rFonts w:ascii="Arial" w:cs="Arial" w:eastAsia="Arial" w:hAnsi="Arial"/>
                  <w:sz w:val="16"/>
                  <w:szCs w:val="16"/>
                  <w:color w:val="0000EE"/>
                  <w:w w:val="91"/>
                </w:rPr>
                <w:t>Employment Agreement between Eastman Kodak Company and David E. Bullwinkle, dated June 20, 2016.(Incorporated by reference to Exhibit 10.3</w:t>
              </w:r>
            </w:hyperlink>
          </w:p>
        </w:tc>
        <w:tc>
          <w:tcPr>
            <w:tcW w:w="160" w:type="dxa"/>
            <w:vAlign w:val="bottom"/>
            <w:gridSpan w:val="4"/>
          </w:tcPr>
          <w:p>
            <w:pPr>
              <w:spacing w:after="0"/>
              <w:rPr>
                <w:sz w:val="24"/>
                <w:szCs w:val="24"/>
                <w:color w:val="auto"/>
              </w:rPr>
            </w:pPr>
          </w:p>
        </w:tc>
      </w:tr>
      <w:tr>
        <w:trPr>
          <w:trHeight w:val="173"/>
        </w:trPr>
        <w:tc>
          <w:tcPr>
            <w:tcW w:w="1620" w:type="dxa"/>
            <w:vAlign w:val="bottom"/>
          </w:tcPr>
          <w:p>
            <w:pPr>
              <w:spacing w:after="0"/>
              <w:rPr>
                <w:sz w:val="15"/>
                <w:szCs w:val="15"/>
                <w:color w:val="auto"/>
              </w:rPr>
            </w:pPr>
          </w:p>
        </w:tc>
        <w:tc>
          <w:tcPr>
            <w:tcW w:w="7980" w:type="dxa"/>
            <w:vAlign w:val="bottom"/>
            <w:tcBorders>
              <w:bottom w:val="single" w:sz="8" w:color="0000EE"/>
            </w:tcBorders>
            <w:gridSpan w:val="9"/>
          </w:tcPr>
          <w:p>
            <w:pPr>
              <w:spacing w:after="0" w:line="174" w:lineRule="exact"/>
              <w:rPr>
                <w:rFonts w:ascii="Arial" w:cs="Arial" w:eastAsia="Arial" w:hAnsi="Arial"/>
                <w:sz w:val="16"/>
                <w:szCs w:val="16"/>
                <w:color w:val="0000EE"/>
                <w:w w:val="91"/>
              </w:rPr>
            </w:pPr>
            <w:hyperlink r:id="rId179">
              <w:r>
                <w:rPr>
                  <w:rFonts w:ascii="Arial" w:cs="Arial" w:eastAsia="Arial" w:hAnsi="Arial"/>
                  <w:sz w:val="16"/>
                  <w:szCs w:val="16"/>
                  <w:color w:val="0000EE"/>
                  <w:w w:val="91"/>
                </w:rPr>
                <w:t>of the Company’s Quarterly Report on Form 10-Q for the quarterly period ended June 30, 2016 as filed on August 9, 2016).</w:t>
              </w:r>
            </w:hyperlink>
          </w:p>
        </w:tc>
        <w:tc>
          <w:tcPr>
            <w:tcW w:w="1860" w:type="dxa"/>
            <w:vAlign w:val="bottom"/>
            <w:gridSpan w:val="25"/>
          </w:tcPr>
          <w:p>
            <w:pPr>
              <w:spacing w:after="0"/>
              <w:rPr>
                <w:sz w:val="15"/>
                <w:szCs w:val="15"/>
                <w:color w:val="auto"/>
              </w:rPr>
            </w:pPr>
          </w:p>
        </w:tc>
      </w:tr>
      <w:tr>
        <w:trPr>
          <w:trHeight w:val="391"/>
        </w:trPr>
        <w:tc>
          <w:tcPr>
            <w:tcW w:w="1620" w:type="dxa"/>
            <w:vAlign w:val="bottom"/>
          </w:tcPr>
          <w:p>
            <w:pPr>
              <w:spacing w:after="0"/>
              <w:rPr>
                <w:sz w:val="20"/>
                <w:szCs w:val="20"/>
                <w:color w:val="auto"/>
              </w:rPr>
            </w:pPr>
            <w:r>
              <w:rPr>
                <w:rFonts w:ascii="Arial" w:cs="Arial" w:eastAsia="Arial" w:hAnsi="Arial"/>
                <w:sz w:val="16"/>
                <w:szCs w:val="16"/>
                <w:color w:val="auto"/>
              </w:rPr>
              <w:t>*(10.26)</w:t>
            </w:r>
          </w:p>
        </w:tc>
        <w:tc>
          <w:tcPr>
            <w:tcW w:w="9840" w:type="dxa"/>
            <w:vAlign w:val="bottom"/>
            <w:gridSpan w:val="34"/>
          </w:tcPr>
          <w:p>
            <w:pPr>
              <w:spacing w:after="0"/>
              <w:rPr>
                <w:rFonts w:ascii="Arial" w:cs="Arial" w:eastAsia="Arial" w:hAnsi="Arial"/>
                <w:sz w:val="16"/>
                <w:szCs w:val="16"/>
                <w:color w:val="0000EE"/>
              </w:rPr>
            </w:pPr>
            <w:hyperlink w:anchor="page112">
              <w:r>
                <w:rPr>
                  <w:rFonts w:ascii="Arial" w:cs="Arial" w:eastAsia="Arial" w:hAnsi="Arial"/>
                  <w:sz w:val="16"/>
                  <w:szCs w:val="16"/>
                  <w:color w:val="0000EE"/>
                </w:rPr>
                <w:t>Employment Agreement between Eastman Kodak Company and Sharon Underberg, dated December 17, 2014, filed herewith.</w:t>
              </w:r>
            </w:hyperlink>
          </w:p>
        </w:tc>
      </w:tr>
      <w:tr>
        <w:trPr>
          <w:trHeight w:val="20"/>
        </w:trPr>
        <w:tc>
          <w:tcPr>
            <w:tcW w:w="1620" w:type="dxa"/>
            <w:vAlign w:val="bottom"/>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7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2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5"/>
        </w:trPr>
        <w:tc>
          <w:tcPr>
            <w:tcW w:w="1620" w:type="dxa"/>
            <w:vAlign w:val="bottom"/>
          </w:tcPr>
          <w:p>
            <w:pPr>
              <w:spacing w:after="0"/>
              <w:rPr>
                <w:sz w:val="20"/>
                <w:szCs w:val="20"/>
                <w:color w:val="auto"/>
              </w:rPr>
            </w:pPr>
            <w:r>
              <w:rPr>
                <w:rFonts w:ascii="Arial" w:cs="Arial" w:eastAsia="Arial" w:hAnsi="Arial"/>
                <w:sz w:val="16"/>
                <w:szCs w:val="16"/>
                <w:color w:val="auto"/>
              </w:rPr>
              <w:t>(10.27)</w:t>
            </w:r>
          </w:p>
        </w:tc>
        <w:tc>
          <w:tcPr>
            <w:tcW w:w="9840" w:type="dxa"/>
            <w:vAlign w:val="bottom"/>
            <w:gridSpan w:val="34"/>
          </w:tcPr>
          <w:p>
            <w:pPr>
              <w:spacing w:after="0"/>
              <w:rPr>
                <w:rFonts w:ascii="Arial" w:cs="Arial" w:eastAsia="Arial" w:hAnsi="Arial"/>
                <w:sz w:val="16"/>
                <w:szCs w:val="16"/>
                <w:color w:val="0000EE"/>
                <w:w w:val="97"/>
              </w:rPr>
            </w:pPr>
            <w:hyperlink r:id="rId180">
              <w:r>
                <w:rPr>
                  <w:rFonts w:ascii="Arial" w:cs="Arial" w:eastAsia="Arial" w:hAnsi="Arial"/>
                  <w:sz w:val="16"/>
                  <w:szCs w:val="16"/>
                  <w:color w:val="0000EE"/>
                  <w:w w:val="97"/>
                </w:rPr>
                <w:t>Intercreditor Agreement dated September 3, 2013 among Bank of America, N.A. as Representative with respect to the ABL Credit Agreement,</w:t>
              </w:r>
            </w:hyperlink>
          </w:p>
        </w:tc>
      </w:tr>
      <w:tr>
        <w:trPr>
          <w:trHeight w:val="20"/>
        </w:trPr>
        <w:tc>
          <w:tcPr>
            <w:tcW w:w="1620" w:type="dxa"/>
            <w:vAlign w:val="bottom"/>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7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540" w:type="dxa"/>
            <w:vAlign w:val="bottom"/>
            <w:gridSpan w:val="4"/>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3"/>
        </w:trPr>
        <w:tc>
          <w:tcPr>
            <w:tcW w:w="1620" w:type="dxa"/>
            <w:vAlign w:val="bottom"/>
          </w:tcPr>
          <w:p>
            <w:pPr>
              <w:spacing w:after="0"/>
              <w:rPr>
                <w:sz w:val="15"/>
                <w:szCs w:val="15"/>
                <w:color w:val="auto"/>
              </w:rPr>
            </w:pPr>
          </w:p>
        </w:tc>
        <w:tc>
          <w:tcPr>
            <w:tcW w:w="9800" w:type="dxa"/>
            <w:vAlign w:val="bottom"/>
            <w:tcBorders>
              <w:bottom w:val="single" w:sz="8" w:color="0000EE"/>
            </w:tcBorders>
            <w:gridSpan w:val="33"/>
          </w:tcPr>
          <w:p>
            <w:pPr>
              <w:spacing w:after="0" w:line="174" w:lineRule="exact"/>
              <w:rPr>
                <w:rFonts w:ascii="Arial" w:cs="Arial" w:eastAsia="Arial" w:hAnsi="Arial"/>
                <w:sz w:val="16"/>
                <w:szCs w:val="16"/>
                <w:color w:val="0000EE"/>
                <w:w w:val="90"/>
              </w:rPr>
            </w:pPr>
            <w:hyperlink r:id="rId180">
              <w:r>
                <w:rPr>
                  <w:rFonts w:ascii="Arial" w:cs="Arial" w:eastAsia="Arial" w:hAnsi="Arial"/>
                  <w:sz w:val="16"/>
                  <w:szCs w:val="16"/>
                  <w:color w:val="0000EE"/>
                  <w:w w:val="90"/>
                </w:rPr>
                <w:t>JPMorgan Chase Bank, N.A. as Representative with respect to the Senior Term Loan Agreement, Barclays Bank PLC, as Representative with respect to</w:t>
              </w:r>
            </w:hyperlink>
          </w:p>
        </w:tc>
        <w:tc>
          <w:tcPr>
            <w:tcW w:w="40" w:type="dxa"/>
            <w:vAlign w:val="bottom"/>
          </w:tcPr>
          <w:p>
            <w:pPr>
              <w:spacing w:after="0"/>
              <w:rPr>
                <w:sz w:val="15"/>
                <w:szCs w:val="15"/>
                <w:color w:val="auto"/>
              </w:rPr>
            </w:pPr>
          </w:p>
        </w:tc>
      </w:tr>
      <w:tr>
        <w:trPr>
          <w:trHeight w:val="173"/>
        </w:trPr>
        <w:tc>
          <w:tcPr>
            <w:tcW w:w="1620" w:type="dxa"/>
            <w:vAlign w:val="bottom"/>
          </w:tcPr>
          <w:p>
            <w:pPr>
              <w:spacing w:after="0"/>
              <w:rPr>
                <w:sz w:val="15"/>
                <w:szCs w:val="15"/>
                <w:color w:val="auto"/>
              </w:rPr>
            </w:pPr>
          </w:p>
        </w:tc>
        <w:tc>
          <w:tcPr>
            <w:tcW w:w="9440" w:type="dxa"/>
            <w:vAlign w:val="bottom"/>
            <w:tcBorders>
              <w:bottom w:val="single" w:sz="8" w:color="0000EE"/>
            </w:tcBorders>
            <w:gridSpan w:val="20"/>
          </w:tcPr>
          <w:p>
            <w:pPr>
              <w:spacing w:after="0" w:line="174" w:lineRule="exact"/>
              <w:rPr>
                <w:rFonts w:ascii="Arial" w:cs="Arial" w:eastAsia="Arial" w:hAnsi="Arial"/>
                <w:sz w:val="16"/>
                <w:szCs w:val="16"/>
                <w:color w:val="0000EE"/>
                <w:w w:val="91"/>
              </w:rPr>
            </w:pPr>
            <w:hyperlink r:id="rId180">
              <w:r>
                <w:rPr>
                  <w:rFonts w:ascii="Arial" w:cs="Arial" w:eastAsia="Arial" w:hAnsi="Arial"/>
                  <w:sz w:val="16"/>
                  <w:szCs w:val="16"/>
                  <w:color w:val="0000EE"/>
                  <w:w w:val="91"/>
                </w:rPr>
                <w:t>the Junior Term Loan Agreement, Eastman Kodak Company and the other grantors party thereto. (Incorporated by reference to Exhibit 10.5 of the</w:t>
              </w:r>
            </w:hyperlink>
          </w:p>
        </w:tc>
        <w:tc>
          <w:tcPr>
            <w:tcW w:w="400" w:type="dxa"/>
            <w:vAlign w:val="bottom"/>
            <w:gridSpan w:val="14"/>
          </w:tcPr>
          <w:p>
            <w:pPr>
              <w:spacing w:after="0"/>
              <w:rPr>
                <w:sz w:val="15"/>
                <w:szCs w:val="15"/>
                <w:color w:val="auto"/>
              </w:rPr>
            </w:pPr>
          </w:p>
        </w:tc>
      </w:tr>
      <w:tr>
        <w:trPr>
          <w:trHeight w:val="173"/>
        </w:trPr>
        <w:tc>
          <w:tcPr>
            <w:tcW w:w="1620" w:type="dxa"/>
            <w:vAlign w:val="bottom"/>
          </w:tcPr>
          <w:p>
            <w:pPr>
              <w:spacing w:after="0"/>
              <w:rPr>
                <w:sz w:val="15"/>
                <w:szCs w:val="15"/>
                <w:color w:val="auto"/>
              </w:rPr>
            </w:pPr>
          </w:p>
        </w:tc>
        <w:tc>
          <w:tcPr>
            <w:tcW w:w="8260" w:type="dxa"/>
            <w:vAlign w:val="bottom"/>
            <w:tcBorders>
              <w:bottom w:val="single" w:sz="8" w:color="0000EE"/>
            </w:tcBorders>
            <w:gridSpan w:val="11"/>
          </w:tcPr>
          <w:p>
            <w:pPr>
              <w:spacing w:after="0" w:line="174" w:lineRule="exact"/>
              <w:rPr>
                <w:rFonts w:ascii="Arial" w:cs="Arial" w:eastAsia="Arial" w:hAnsi="Arial"/>
                <w:sz w:val="16"/>
                <w:szCs w:val="16"/>
                <w:color w:val="0000EE"/>
                <w:w w:val="91"/>
              </w:rPr>
            </w:pPr>
            <w:hyperlink r:id="rId180">
              <w:r>
                <w:rPr>
                  <w:rFonts w:ascii="Arial" w:cs="Arial" w:eastAsia="Arial" w:hAnsi="Arial"/>
                  <w:sz w:val="16"/>
                  <w:szCs w:val="16"/>
                  <w:color w:val="0000EE"/>
                  <w:w w:val="91"/>
                </w:rPr>
                <w:t>Company’s Quarterly Report on Form 10-Q for the quarterly period ended September 30, 2013 as filed on November 12, 2013).</w:t>
              </w:r>
            </w:hyperlink>
          </w:p>
        </w:tc>
        <w:tc>
          <w:tcPr>
            <w:tcW w:w="1580" w:type="dxa"/>
            <w:vAlign w:val="bottom"/>
            <w:gridSpan w:val="23"/>
          </w:tcPr>
          <w:p>
            <w:pPr>
              <w:spacing w:after="0"/>
              <w:rPr>
                <w:sz w:val="15"/>
                <w:szCs w:val="15"/>
                <w:color w:val="auto"/>
              </w:rPr>
            </w:pPr>
          </w:p>
        </w:tc>
      </w:tr>
      <w:tr>
        <w:trPr>
          <w:trHeight w:val="391"/>
        </w:trPr>
        <w:tc>
          <w:tcPr>
            <w:tcW w:w="1620" w:type="dxa"/>
            <w:vAlign w:val="bottom"/>
          </w:tcPr>
          <w:p>
            <w:pPr>
              <w:spacing w:after="0"/>
              <w:rPr>
                <w:sz w:val="20"/>
                <w:szCs w:val="20"/>
                <w:color w:val="auto"/>
              </w:rPr>
            </w:pPr>
            <w:r>
              <w:rPr>
                <w:rFonts w:ascii="Arial" w:cs="Arial" w:eastAsia="Arial" w:hAnsi="Arial"/>
                <w:sz w:val="16"/>
                <w:szCs w:val="16"/>
                <w:color w:val="auto"/>
              </w:rPr>
              <w:t># (10.28)</w:t>
            </w:r>
          </w:p>
        </w:tc>
        <w:tc>
          <w:tcPr>
            <w:tcW w:w="9840" w:type="dxa"/>
            <w:vAlign w:val="bottom"/>
            <w:gridSpan w:val="34"/>
          </w:tcPr>
          <w:p>
            <w:pPr>
              <w:spacing w:after="0"/>
              <w:rPr>
                <w:rFonts w:ascii="Arial" w:cs="Arial" w:eastAsia="Arial" w:hAnsi="Arial"/>
                <w:sz w:val="16"/>
                <w:szCs w:val="16"/>
                <w:color w:val="0000EE"/>
                <w:w w:val="95"/>
              </w:rPr>
            </w:pPr>
            <w:hyperlink r:id="rId181">
              <w:r>
                <w:rPr>
                  <w:rFonts w:ascii="Arial" w:cs="Arial" w:eastAsia="Arial" w:hAnsi="Arial"/>
                  <w:sz w:val="16"/>
                  <w:szCs w:val="16"/>
                  <w:color w:val="0000EE"/>
                  <w:w w:val="95"/>
                </w:rPr>
                <w:t>Senior Secured First Lien Term Credit Agreement dated September 3, 2013 among Eastman Kodak Company, as the Borrower, the lenders party</w:t>
              </w:r>
            </w:hyperlink>
          </w:p>
        </w:tc>
      </w:tr>
      <w:tr>
        <w:trPr>
          <w:trHeight w:val="20"/>
        </w:trPr>
        <w:tc>
          <w:tcPr>
            <w:tcW w:w="1620" w:type="dxa"/>
            <w:vAlign w:val="bottom"/>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7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300" w:type="dxa"/>
            <w:vAlign w:val="bottom"/>
            <w:gridSpan w:val="6"/>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73"/>
        </w:trPr>
        <w:tc>
          <w:tcPr>
            <w:tcW w:w="1620" w:type="dxa"/>
            <w:vAlign w:val="bottom"/>
          </w:tcPr>
          <w:p>
            <w:pPr>
              <w:spacing w:after="0"/>
              <w:rPr>
                <w:sz w:val="15"/>
                <w:szCs w:val="15"/>
                <w:color w:val="auto"/>
              </w:rPr>
            </w:pPr>
          </w:p>
        </w:tc>
        <w:tc>
          <w:tcPr>
            <w:tcW w:w="9840" w:type="dxa"/>
            <w:vAlign w:val="bottom"/>
            <w:gridSpan w:val="34"/>
          </w:tcPr>
          <w:p>
            <w:pPr>
              <w:spacing w:after="0" w:line="174" w:lineRule="exact"/>
              <w:rPr>
                <w:rFonts w:ascii="Arial" w:cs="Arial" w:eastAsia="Arial" w:hAnsi="Arial"/>
                <w:sz w:val="16"/>
                <w:szCs w:val="16"/>
                <w:color w:val="0000EE"/>
                <w:w w:val="92"/>
              </w:rPr>
            </w:pPr>
            <w:hyperlink r:id="rId181">
              <w:r>
                <w:rPr>
                  <w:rFonts w:ascii="Arial" w:cs="Arial" w:eastAsia="Arial" w:hAnsi="Arial"/>
                  <w:sz w:val="16"/>
                  <w:szCs w:val="16"/>
                  <w:color w:val="0000EE"/>
                  <w:w w:val="92"/>
                </w:rPr>
                <w:t>thereto, JPMorgan Chase Bank, N.A. as Administrative Agent, and J.P. Morgan Securities LLC, Barclays Bank PLC and Merrill Lynch, Pierce, Fenner</w:t>
              </w:r>
            </w:hyperlink>
          </w:p>
        </w:tc>
      </w:tr>
      <w:tr>
        <w:trPr>
          <w:trHeight w:val="173"/>
        </w:trPr>
        <w:tc>
          <w:tcPr>
            <w:tcW w:w="1620" w:type="dxa"/>
            <w:vAlign w:val="bottom"/>
          </w:tcPr>
          <w:p>
            <w:pPr>
              <w:spacing w:after="0"/>
              <w:rPr>
                <w:sz w:val="15"/>
                <w:szCs w:val="15"/>
                <w:color w:val="auto"/>
              </w:rPr>
            </w:pPr>
          </w:p>
        </w:tc>
        <w:tc>
          <w:tcPr>
            <w:tcW w:w="9660" w:type="dxa"/>
            <w:vAlign w:val="bottom"/>
            <w:tcBorders>
              <w:top w:val="single" w:sz="8" w:color="0000EE"/>
              <w:bottom w:val="single" w:sz="8" w:color="0000EE"/>
            </w:tcBorders>
            <w:gridSpan w:val="29"/>
          </w:tcPr>
          <w:p>
            <w:pPr>
              <w:spacing w:after="0" w:line="174" w:lineRule="exact"/>
              <w:rPr>
                <w:rFonts w:ascii="Arial" w:cs="Arial" w:eastAsia="Arial" w:hAnsi="Arial"/>
                <w:sz w:val="16"/>
                <w:szCs w:val="16"/>
                <w:color w:val="0000EE"/>
                <w:w w:val="91"/>
              </w:rPr>
            </w:pPr>
            <w:hyperlink r:id="rId181">
              <w:r>
                <w:rPr>
                  <w:rFonts w:ascii="Arial" w:cs="Arial" w:eastAsia="Arial" w:hAnsi="Arial"/>
                  <w:sz w:val="16"/>
                  <w:szCs w:val="16"/>
                  <w:color w:val="0000EE"/>
                  <w:w w:val="91"/>
                </w:rPr>
                <w:t>&amp; Smith Incorporated, as Joint Lead Arrangers and Joint Bookrunners. (Incorporated by reference to Exhibit 10.6 of the Company’s Quarterly Report</w:t>
              </w:r>
            </w:hyperlink>
          </w:p>
        </w:tc>
        <w:tc>
          <w:tcPr>
            <w:tcW w:w="60" w:type="dxa"/>
            <w:vAlign w:val="bottom"/>
            <w:tcBorders>
              <w:top w:val="single" w:sz="8" w:color="0000EE"/>
            </w:tcBorders>
            <w:gridSpan w:val="2"/>
          </w:tcPr>
          <w:p>
            <w:pPr>
              <w:spacing w:after="0"/>
              <w:rPr>
                <w:sz w:val="15"/>
                <w:szCs w:val="15"/>
                <w:color w:val="auto"/>
              </w:rPr>
            </w:pPr>
          </w:p>
        </w:tc>
        <w:tc>
          <w:tcPr>
            <w:tcW w:w="120" w:type="dxa"/>
            <w:vAlign w:val="bottom"/>
            <w:gridSpan w:val="3"/>
          </w:tcPr>
          <w:p>
            <w:pPr>
              <w:spacing w:after="0"/>
              <w:rPr>
                <w:sz w:val="15"/>
                <w:szCs w:val="15"/>
                <w:color w:val="auto"/>
              </w:rPr>
            </w:pPr>
          </w:p>
        </w:tc>
      </w:tr>
      <w:tr>
        <w:trPr>
          <w:trHeight w:val="173"/>
        </w:trPr>
        <w:tc>
          <w:tcPr>
            <w:tcW w:w="1620" w:type="dxa"/>
            <w:vAlign w:val="bottom"/>
          </w:tcPr>
          <w:p>
            <w:pPr>
              <w:spacing w:after="0"/>
              <w:rPr>
                <w:sz w:val="15"/>
                <w:szCs w:val="15"/>
                <w:color w:val="auto"/>
              </w:rPr>
            </w:pPr>
          </w:p>
        </w:tc>
        <w:tc>
          <w:tcPr>
            <w:tcW w:w="9840" w:type="dxa"/>
            <w:vAlign w:val="bottom"/>
            <w:gridSpan w:val="34"/>
          </w:tcPr>
          <w:p>
            <w:pPr>
              <w:spacing w:after="0" w:line="174" w:lineRule="exact"/>
              <w:rPr>
                <w:rFonts w:ascii="Arial" w:cs="Arial" w:eastAsia="Arial" w:hAnsi="Arial"/>
                <w:sz w:val="16"/>
                <w:szCs w:val="16"/>
                <w:color w:val="0000EE"/>
              </w:rPr>
            </w:pPr>
            <w:hyperlink r:id="rId181">
              <w:r>
                <w:rPr>
                  <w:rFonts w:ascii="Arial" w:cs="Arial" w:eastAsia="Arial" w:hAnsi="Arial"/>
                  <w:sz w:val="16"/>
                  <w:szCs w:val="16"/>
                  <w:color w:val="0000EE"/>
                </w:rPr>
                <w:t>on Form 10-Q for the quarterly period ended September 30, 2013 as filed on November 12, 2013).</w:t>
              </w:r>
            </w:hyperlink>
          </w:p>
        </w:tc>
      </w:tr>
      <w:tr>
        <w:trPr>
          <w:trHeight w:val="20"/>
        </w:trPr>
        <w:tc>
          <w:tcPr>
            <w:tcW w:w="1620" w:type="dxa"/>
            <w:vAlign w:val="bottom"/>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7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300" w:type="dxa"/>
            <w:vAlign w:val="bottom"/>
            <w:gridSpan w:val="6"/>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91"/>
        </w:trPr>
        <w:tc>
          <w:tcPr>
            <w:tcW w:w="1620" w:type="dxa"/>
            <w:vAlign w:val="bottom"/>
          </w:tcPr>
          <w:p>
            <w:pPr>
              <w:spacing w:after="0"/>
              <w:rPr>
                <w:sz w:val="20"/>
                <w:szCs w:val="20"/>
                <w:color w:val="auto"/>
              </w:rPr>
            </w:pPr>
            <w:r>
              <w:rPr>
                <w:rFonts w:ascii="Arial" w:cs="Arial" w:eastAsia="Arial" w:hAnsi="Arial"/>
                <w:sz w:val="16"/>
                <w:szCs w:val="16"/>
                <w:color w:val="auto"/>
              </w:rPr>
              <w:t># (10.29)</w:t>
            </w:r>
          </w:p>
        </w:tc>
        <w:tc>
          <w:tcPr>
            <w:tcW w:w="9400" w:type="dxa"/>
            <w:vAlign w:val="bottom"/>
            <w:tcBorders>
              <w:bottom w:val="single" w:sz="8" w:color="0000EE"/>
            </w:tcBorders>
            <w:gridSpan w:val="18"/>
          </w:tcPr>
          <w:p>
            <w:pPr>
              <w:spacing w:after="0"/>
              <w:rPr>
                <w:rFonts w:ascii="Arial" w:cs="Arial" w:eastAsia="Arial" w:hAnsi="Arial"/>
                <w:sz w:val="16"/>
                <w:szCs w:val="16"/>
                <w:color w:val="0000EE"/>
                <w:w w:val="90"/>
              </w:rPr>
            </w:pPr>
            <w:hyperlink r:id="rId182">
              <w:r>
                <w:rPr>
                  <w:rFonts w:ascii="Arial" w:cs="Arial" w:eastAsia="Arial" w:hAnsi="Arial"/>
                  <w:sz w:val="16"/>
                  <w:szCs w:val="16"/>
                  <w:color w:val="0000EE"/>
                  <w:w w:val="90"/>
                </w:rPr>
                <w:t>Guarantee and Collateral Agreement dated September 3, 2013 from the grantors referred to therein as Grantors to JPMorgan Chase Bank, N.A. as</w:t>
              </w:r>
            </w:hyperlink>
          </w:p>
        </w:tc>
        <w:tc>
          <w:tcPr>
            <w:tcW w:w="440" w:type="dxa"/>
            <w:vAlign w:val="bottom"/>
            <w:gridSpan w:val="16"/>
          </w:tcPr>
          <w:p>
            <w:pPr>
              <w:spacing w:after="0"/>
              <w:rPr>
                <w:sz w:val="24"/>
                <w:szCs w:val="24"/>
                <w:color w:val="auto"/>
              </w:rPr>
            </w:pPr>
          </w:p>
        </w:tc>
      </w:tr>
      <w:tr>
        <w:trPr>
          <w:trHeight w:val="173"/>
        </w:trPr>
        <w:tc>
          <w:tcPr>
            <w:tcW w:w="1620" w:type="dxa"/>
            <w:vAlign w:val="bottom"/>
          </w:tcPr>
          <w:p>
            <w:pPr>
              <w:spacing w:after="0"/>
              <w:rPr>
                <w:sz w:val="15"/>
                <w:szCs w:val="15"/>
                <w:color w:val="auto"/>
              </w:rPr>
            </w:pPr>
          </w:p>
        </w:tc>
        <w:tc>
          <w:tcPr>
            <w:tcW w:w="9840" w:type="dxa"/>
            <w:vAlign w:val="bottom"/>
            <w:gridSpan w:val="34"/>
          </w:tcPr>
          <w:p>
            <w:pPr>
              <w:spacing w:after="0" w:line="174" w:lineRule="exact"/>
              <w:rPr>
                <w:rFonts w:ascii="Arial" w:cs="Arial" w:eastAsia="Arial" w:hAnsi="Arial"/>
                <w:sz w:val="16"/>
                <w:szCs w:val="16"/>
                <w:color w:val="0000EE"/>
                <w:w w:val="96"/>
              </w:rPr>
            </w:pPr>
            <w:hyperlink r:id="rId182">
              <w:r>
                <w:rPr>
                  <w:rFonts w:ascii="Arial" w:cs="Arial" w:eastAsia="Arial" w:hAnsi="Arial"/>
                  <w:sz w:val="16"/>
                  <w:szCs w:val="16"/>
                  <w:color w:val="0000EE"/>
                  <w:w w:val="96"/>
                </w:rPr>
                <w:t>Administrative Agent. (Incorporated by reference to Exhibit 10.7 of the Company’s Quarterly Report on Form 10-Q for the quarterly period ended</w:t>
              </w:r>
            </w:hyperlink>
          </w:p>
        </w:tc>
      </w:tr>
      <w:tr>
        <w:trPr>
          <w:trHeight w:val="173"/>
        </w:trPr>
        <w:tc>
          <w:tcPr>
            <w:tcW w:w="1620" w:type="dxa"/>
            <w:vAlign w:val="bottom"/>
          </w:tcPr>
          <w:p>
            <w:pPr>
              <w:spacing w:after="0"/>
              <w:rPr>
                <w:sz w:val="15"/>
                <w:szCs w:val="15"/>
                <w:color w:val="auto"/>
              </w:rPr>
            </w:pPr>
          </w:p>
        </w:tc>
        <w:tc>
          <w:tcPr>
            <w:tcW w:w="3420" w:type="dxa"/>
            <w:vAlign w:val="bottom"/>
            <w:tcBorders>
              <w:top w:val="single" w:sz="8" w:color="0000EE"/>
              <w:bottom w:val="single" w:sz="8" w:color="0000EE"/>
            </w:tcBorders>
            <w:gridSpan w:val="4"/>
          </w:tcPr>
          <w:p>
            <w:pPr>
              <w:spacing w:after="0" w:line="174" w:lineRule="exact"/>
              <w:rPr>
                <w:rFonts w:ascii="Arial" w:cs="Arial" w:eastAsia="Arial" w:hAnsi="Arial"/>
                <w:sz w:val="16"/>
                <w:szCs w:val="16"/>
                <w:color w:val="0000EE"/>
                <w:w w:val="90"/>
              </w:rPr>
            </w:pPr>
            <w:hyperlink r:id="rId182">
              <w:r>
                <w:rPr>
                  <w:rFonts w:ascii="Arial" w:cs="Arial" w:eastAsia="Arial" w:hAnsi="Arial"/>
                  <w:sz w:val="16"/>
                  <w:szCs w:val="16"/>
                  <w:color w:val="0000EE"/>
                  <w:w w:val="90"/>
                </w:rPr>
                <w:t>September 30, 2013 as filed on November 12, 2013).</w:t>
              </w:r>
            </w:hyperlink>
          </w:p>
        </w:tc>
        <w:tc>
          <w:tcPr>
            <w:tcW w:w="6020" w:type="dxa"/>
            <w:vAlign w:val="bottom"/>
            <w:tcBorders>
              <w:top w:val="single" w:sz="8" w:color="0000EE"/>
            </w:tcBorders>
            <w:gridSpan w:val="16"/>
          </w:tcPr>
          <w:p>
            <w:pPr>
              <w:spacing w:after="0"/>
              <w:rPr>
                <w:sz w:val="15"/>
                <w:szCs w:val="15"/>
                <w:color w:val="auto"/>
              </w:rPr>
            </w:pPr>
          </w:p>
        </w:tc>
        <w:tc>
          <w:tcPr>
            <w:tcW w:w="400" w:type="dxa"/>
            <w:vAlign w:val="bottom"/>
            <w:gridSpan w:val="14"/>
          </w:tcPr>
          <w:p>
            <w:pPr>
              <w:spacing w:after="0"/>
              <w:rPr>
                <w:sz w:val="15"/>
                <w:szCs w:val="15"/>
                <w:color w:val="auto"/>
              </w:rPr>
            </w:pPr>
          </w:p>
        </w:tc>
      </w:tr>
      <w:tr>
        <w:trPr>
          <w:trHeight w:val="391"/>
        </w:trPr>
        <w:tc>
          <w:tcPr>
            <w:tcW w:w="1620" w:type="dxa"/>
            <w:vAlign w:val="bottom"/>
          </w:tcPr>
          <w:p>
            <w:pPr>
              <w:spacing w:after="0"/>
              <w:rPr>
                <w:sz w:val="20"/>
                <w:szCs w:val="20"/>
                <w:color w:val="auto"/>
              </w:rPr>
            </w:pPr>
            <w:r>
              <w:rPr>
                <w:rFonts w:ascii="Arial" w:cs="Arial" w:eastAsia="Arial" w:hAnsi="Arial"/>
                <w:sz w:val="16"/>
                <w:szCs w:val="16"/>
                <w:color w:val="auto"/>
              </w:rPr>
              <w:t># (10.30)</w:t>
            </w:r>
          </w:p>
        </w:tc>
        <w:tc>
          <w:tcPr>
            <w:tcW w:w="9840" w:type="dxa"/>
            <w:vAlign w:val="bottom"/>
            <w:gridSpan w:val="34"/>
          </w:tcPr>
          <w:p>
            <w:pPr>
              <w:spacing w:after="0"/>
              <w:rPr>
                <w:rFonts w:ascii="Arial" w:cs="Arial" w:eastAsia="Arial" w:hAnsi="Arial"/>
                <w:sz w:val="16"/>
                <w:szCs w:val="16"/>
                <w:color w:val="0000EE"/>
                <w:w w:val="91"/>
              </w:rPr>
            </w:pPr>
            <w:hyperlink r:id="rId183">
              <w:r>
                <w:rPr>
                  <w:rFonts w:ascii="Arial" w:cs="Arial" w:eastAsia="Arial" w:hAnsi="Arial"/>
                  <w:sz w:val="16"/>
                  <w:szCs w:val="16"/>
                  <w:color w:val="0000EE"/>
                  <w:w w:val="91"/>
                </w:rPr>
                <w:t>Amended and Restated Credit Agreement, dated as of May 26, 2016, among Eastman Kodak Company, as Borrower, the guarantors named therein, as</w:t>
              </w:r>
            </w:hyperlink>
          </w:p>
        </w:tc>
      </w:tr>
      <w:tr>
        <w:trPr>
          <w:trHeight w:val="173"/>
        </w:trPr>
        <w:tc>
          <w:tcPr>
            <w:tcW w:w="1620" w:type="dxa"/>
            <w:vAlign w:val="bottom"/>
          </w:tcPr>
          <w:p>
            <w:pPr>
              <w:spacing w:after="0"/>
              <w:rPr>
                <w:sz w:val="15"/>
                <w:szCs w:val="15"/>
                <w:color w:val="auto"/>
              </w:rPr>
            </w:pPr>
          </w:p>
        </w:tc>
        <w:tc>
          <w:tcPr>
            <w:tcW w:w="9680" w:type="dxa"/>
            <w:vAlign w:val="bottom"/>
            <w:tcBorders>
              <w:top w:val="single" w:sz="8" w:color="0000EE"/>
            </w:tcBorders>
            <w:gridSpan w:val="30"/>
          </w:tcPr>
          <w:p>
            <w:pPr>
              <w:spacing w:after="0" w:line="174" w:lineRule="exact"/>
              <w:rPr>
                <w:rFonts w:ascii="Arial" w:cs="Arial" w:eastAsia="Arial" w:hAnsi="Arial"/>
                <w:sz w:val="16"/>
                <w:szCs w:val="16"/>
                <w:color w:val="0000EE"/>
                <w:w w:val="93"/>
              </w:rPr>
            </w:pPr>
            <w:hyperlink r:id="rId183">
              <w:r>
                <w:rPr>
                  <w:rFonts w:ascii="Arial" w:cs="Arial" w:eastAsia="Arial" w:hAnsi="Arial"/>
                  <w:sz w:val="16"/>
                  <w:szCs w:val="16"/>
                  <w:color w:val="0000EE"/>
                  <w:w w:val="93"/>
                </w:rPr>
                <w:t>Guarantors, the lenders named therein, as Lenders, Bank of America, N.A., as Administrative and Collateral Agent, and Bank of America, N.A. and</w:t>
              </w:r>
            </w:hyperlink>
          </w:p>
        </w:tc>
        <w:tc>
          <w:tcPr>
            <w:tcW w:w="160" w:type="dxa"/>
            <w:vAlign w:val="bottom"/>
            <w:gridSpan w:val="4"/>
          </w:tcPr>
          <w:p>
            <w:pPr>
              <w:spacing w:after="0"/>
              <w:rPr>
                <w:sz w:val="15"/>
                <w:szCs w:val="15"/>
                <w:color w:val="auto"/>
              </w:rPr>
            </w:pPr>
          </w:p>
        </w:tc>
      </w:tr>
      <w:tr>
        <w:trPr>
          <w:trHeight w:val="20"/>
        </w:trPr>
        <w:tc>
          <w:tcPr>
            <w:tcW w:w="1620" w:type="dxa"/>
            <w:vAlign w:val="bottom"/>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70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300" w:type="dxa"/>
            <w:vAlign w:val="bottom"/>
            <w:gridSpan w:val="6"/>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73"/>
        </w:trPr>
        <w:tc>
          <w:tcPr>
            <w:tcW w:w="1620" w:type="dxa"/>
            <w:vAlign w:val="bottom"/>
          </w:tcPr>
          <w:p>
            <w:pPr>
              <w:spacing w:after="0"/>
              <w:rPr>
                <w:sz w:val="15"/>
                <w:szCs w:val="15"/>
                <w:color w:val="auto"/>
              </w:rPr>
            </w:pPr>
          </w:p>
        </w:tc>
        <w:tc>
          <w:tcPr>
            <w:tcW w:w="9640" w:type="dxa"/>
            <w:vAlign w:val="bottom"/>
            <w:tcBorders>
              <w:bottom w:val="single" w:sz="8" w:color="0000EE"/>
            </w:tcBorders>
            <w:gridSpan w:val="28"/>
          </w:tcPr>
          <w:p>
            <w:pPr>
              <w:spacing w:after="0" w:line="174" w:lineRule="exact"/>
              <w:rPr>
                <w:rFonts w:ascii="Arial" w:cs="Arial" w:eastAsia="Arial" w:hAnsi="Arial"/>
                <w:sz w:val="16"/>
                <w:szCs w:val="16"/>
                <w:color w:val="0000EE"/>
                <w:w w:val="91"/>
              </w:rPr>
            </w:pPr>
            <w:hyperlink r:id="rId183">
              <w:r>
                <w:rPr>
                  <w:rFonts w:ascii="Arial" w:cs="Arial" w:eastAsia="Arial" w:hAnsi="Arial"/>
                  <w:sz w:val="16"/>
                  <w:szCs w:val="16"/>
                  <w:color w:val="0000EE"/>
                  <w:w w:val="91"/>
                </w:rPr>
                <w:t>JPMorgan Chase Bank, N.A., as Joint Lead Arrangers and Joint Bookrunners. (Incorporated by reference to Exhibit 10.1 of the Company’s Quarterly</w:t>
              </w:r>
            </w:hyperlink>
          </w:p>
        </w:tc>
        <w:tc>
          <w:tcPr>
            <w:tcW w:w="200" w:type="dxa"/>
            <w:vAlign w:val="bottom"/>
            <w:gridSpan w:val="6"/>
          </w:tcPr>
          <w:p>
            <w:pPr>
              <w:spacing w:after="0"/>
              <w:rPr>
                <w:sz w:val="15"/>
                <w:szCs w:val="15"/>
                <w:color w:val="auto"/>
              </w:rPr>
            </w:pPr>
          </w:p>
        </w:tc>
      </w:tr>
      <w:tr>
        <w:trPr>
          <w:trHeight w:val="173"/>
        </w:trPr>
        <w:tc>
          <w:tcPr>
            <w:tcW w:w="1620" w:type="dxa"/>
            <w:vAlign w:val="bottom"/>
          </w:tcPr>
          <w:p>
            <w:pPr>
              <w:spacing w:after="0"/>
              <w:rPr>
                <w:sz w:val="15"/>
                <w:szCs w:val="15"/>
                <w:color w:val="auto"/>
              </w:rPr>
            </w:pPr>
          </w:p>
        </w:tc>
        <w:tc>
          <w:tcPr>
            <w:tcW w:w="6140" w:type="dxa"/>
            <w:vAlign w:val="bottom"/>
            <w:tcBorders>
              <w:bottom w:val="single" w:sz="8" w:color="0000EE"/>
            </w:tcBorders>
            <w:gridSpan w:val="5"/>
          </w:tcPr>
          <w:p>
            <w:pPr>
              <w:spacing w:after="0" w:line="174" w:lineRule="exact"/>
              <w:rPr>
                <w:rFonts w:ascii="Arial" w:cs="Arial" w:eastAsia="Arial" w:hAnsi="Arial"/>
                <w:sz w:val="16"/>
                <w:szCs w:val="16"/>
                <w:color w:val="0000EE"/>
                <w:w w:val="91"/>
              </w:rPr>
            </w:pPr>
            <w:hyperlink r:id="rId183">
              <w:r>
                <w:rPr>
                  <w:rFonts w:ascii="Arial" w:cs="Arial" w:eastAsia="Arial" w:hAnsi="Arial"/>
                  <w:sz w:val="16"/>
                  <w:szCs w:val="16"/>
                  <w:color w:val="0000EE"/>
                  <w:w w:val="91"/>
                </w:rPr>
                <w:t>Report on Form 10-Q for the quarterly period ended June 30, 2016 as filed on August 9, 2016).</w:t>
              </w:r>
            </w:hyperlink>
          </w:p>
        </w:tc>
        <w:tc>
          <w:tcPr>
            <w:tcW w:w="3700" w:type="dxa"/>
            <w:vAlign w:val="bottom"/>
            <w:gridSpan w:val="29"/>
          </w:tcPr>
          <w:p>
            <w:pPr>
              <w:spacing w:after="0"/>
              <w:rPr>
                <w:sz w:val="15"/>
                <w:szCs w:val="15"/>
                <w:color w:val="auto"/>
              </w:rPr>
            </w:pPr>
          </w:p>
        </w:tc>
      </w:tr>
      <w:tr>
        <w:trPr>
          <w:trHeight w:val="391"/>
        </w:trPr>
        <w:tc>
          <w:tcPr>
            <w:tcW w:w="1620" w:type="dxa"/>
            <w:vAlign w:val="bottom"/>
          </w:tcPr>
          <w:p>
            <w:pPr>
              <w:spacing w:after="0"/>
              <w:rPr>
                <w:sz w:val="20"/>
                <w:szCs w:val="20"/>
                <w:color w:val="auto"/>
              </w:rPr>
            </w:pPr>
            <w:r>
              <w:rPr>
                <w:rFonts w:ascii="Arial" w:cs="Arial" w:eastAsia="Arial" w:hAnsi="Arial"/>
                <w:sz w:val="16"/>
                <w:szCs w:val="16"/>
                <w:color w:val="auto"/>
              </w:rPr>
              <w:t># (10.31)</w:t>
            </w:r>
          </w:p>
        </w:tc>
        <w:tc>
          <w:tcPr>
            <w:tcW w:w="9420" w:type="dxa"/>
            <w:vAlign w:val="bottom"/>
            <w:tcBorders>
              <w:bottom w:val="single" w:sz="8" w:color="0000EE"/>
            </w:tcBorders>
            <w:gridSpan w:val="19"/>
          </w:tcPr>
          <w:p>
            <w:pPr>
              <w:spacing w:after="0"/>
              <w:rPr>
                <w:rFonts w:ascii="Arial" w:cs="Arial" w:eastAsia="Arial" w:hAnsi="Arial"/>
                <w:sz w:val="16"/>
                <w:szCs w:val="16"/>
                <w:color w:val="0000EE"/>
                <w:w w:val="91"/>
              </w:rPr>
            </w:pPr>
            <w:hyperlink r:id="rId184">
              <w:r>
                <w:rPr>
                  <w:rFonts w:ascii="Arial" w:cs="Arial" w:eastAsia="Arial" w:hAnsi="Arial"/>
                  <w:sz w:val="16"/>
                  <w:szCs w:val="16"/>
                  <w:color w:val="0000EE"/>
                  <w:w w:val="91"/>
                </w:rPr>
                <w:t>Amended and Restated Security Agreement, dated May 26, 2016, from the Grantors referred to therein, as Grantors, to Bank of America, N.A., as</w:t>
              </w:r>
            </w:hyperlink>
          </w:p>
        </w:tc>
        <w:tc>
          <w:tcPr>
            <w:tcW w:w="420" w:type="dxa"/>
            <w:vAlign w:val="bottom"/>
            <w:gridSpan w:val="15"/>
          </w:tcPr>
          <w:p>
            <w:pPr>
              <w:spacing w:after="0"/>
              <w:rPr>
                <w:sz w:val="24"/>
                <w:szCs w:val="24"/>
                <w:color w:val="auto"/>
              </w:rPr>
            </w:pPr>
          </w:p>
        </w:tc>
      </w:tr>
      <w:tr>
        <w:trPr>
          <w:trHeight w:val="173"/>
        </w:trPr>
        <w:tc>
          <w:tcPr>
            <w:tcW w:w="1620" w:type="dxa"/>
            <w:vAlign w:val="bottom"/>
          </w:tcPr>
          <w:p>
            <w:pPr>
              <w:spacing w:after="0"/>
              <w:rPr>
                <w:sz w:val="15"/>
                <w:szCs w:val="15"/>
                <w:color w:val="auto"/>
              </w:rPr>
            </w:pPr>
          </w:p>
        </w:tc>
        <w:tc>
          <w:tcPr>
            <w:tcW w:w="9580" w:type="dxa"/>
            <w:vAlign w:val="bottom"/>
            <w:tcBorders>
              <w:bottom w:val="single" w:sz="8" w:color="0000EE"/>
            </w:tcBorders>
            <w:gridSpan w:val="25"/>
          </w:tcPr>
          <w:p>
            <w:pPr>
              <w:spacing w:after="0" w:line="174" w:lineRule="exact"/>
              <w:rPr>
                <w:rFonts w:ascii="Arial" w:cs="Arial" w:eastAsia="Arial" w:hAnsi="Arial"/>
                <w:sz w:val="16"/>
                <w:szCs w:val="16"/>
                <w:color w:val="0000EE"/>
                <w:w w:val="91"/>
              </w:rPr>
            </w:pPr>
            <w:hyperlink r:id="rId184">
              <w:r>
                <w:rPr>
                  <w:rFonts w:ascii="Arial" w:cs="Arial" w:eastAsia="Arial" w:hAnsi="Arial"/>
                  <w:sz w:val="16"/>
                  <w:szCs w:val="16"/>
                  <w:color w:val="0000EE"/>
                  <w:w w:val="91"/>
                </w:rPr>
                <w:t>Agent. (Incorporated by reference to Exhibit 10.2 of the Company’s Quarterly Report on Form 10-Q for the quarterly period ended June 30, 2016 as</w:t>
              </w:r>
            </w:hyperlink>
          </w:p>
        </w:tc>
        <w:tc>
          <w:tcPr>
            <w:tcW w:w="260" w:type="dxa"/>
            <w:vAlign w:val="bottom"/>
            <w:gridSpan w:val="9"/>
          </w:tcPr>
          <w:p>
            <w:pPr>
              <w:spacing w:after="0"/>
              <w:rPr>
                <w:sz w:val="15"/>
                <w:szCs w:val="15"/>
                <w:color w:val="auto"/>
              </w:rPr>
            </w:pPr>
          </w:p>
        </w:tc>
      </w:tr>
      <w:tr>
        <w:trPr>
          <w:trHeight w:val="173"/>
        </w:trPr>
        <w:tc>
          <w:tcPr>
            <w:tcW w:w="1620" w:type="dxa"/>
            <w:vAlign w:val="bottom"/>
          </w:tcPr>
          <w:p>
            <w:pPr>
              <w:spacing w:after="0"/>
              <w:rPr>
                <w:sz w:val="15"/>
                <w:szCs w:val="15"/>
                <w:color w:val="auto"/>
              </w:rPr>
            </w:pPr>
          </w:p>
        </w:tc>
        <w:tc>
          <w:tcPr>
            <w:tcW w:w="1620" w:type="dxa"/>
            <w:vAlign w:val="bottom"/>
            <w:tcBorders>
              <w:bottom w:val="single" w:sz="8" w:color="0000EE"/>
            </w:tcBorders>
          </w:tcPr>
          <w:p>
            <w:pPr>
              <w:spacing w:after="0" w:line="174" w:lineRule="exact"/>
              <w:rPr>
                <w:rFonts w:ascii="Arial" w:cs="Arial" w:eastAsia="Arial" w:hAnsi="Arial"/>
                <w:sz w:val="16"/>
                <w:szCs w:val="16"/>
                <w:color w:val="0000EE"/>
                <w:w w:val="92"/>
              </w:rPr>
            </w:pPr>
            <w:hyperlink r:id="rId184">
              <w:r>
                <w:rPr>
                  <w:rFonts w:ascii="Arial" w:cs="Arial" w:eastAsia="Arial" w:hAnsi="Arial"/>
                  <w:sz w:val="16"/>
                  <w:szCs w:val="16"/>
                  <w:color w:val="0000EE"/>
                  <w:w w:val="92"/>
                </w:rPr>
                <w:t>filed on August 9, 2016).</w:t>
              </w:r>
            </w:hyperlink>
          </w:p>
        </w:tc>
        <w:tc>
          <w:tcPr>
            <w:tcW w:w="8220" w:type="dxa"/>
            <w:vAlign w:val="bottom"/>
            <w:gridSpan w:val="33"/>
          </w:tcPr>
          <w:p>
            <w:pPr>
              <w:spacing w:after="0"/>
              <w:rPr>
                <w:sz w:val="15"/>
                <w:szCs w:val="15"/>
                <w:color w:val="auto"/>
              </w:rPr>
            </w:pPr>
          </w:p>
        </w:tc>
      </w:tr>
      <w:tr>
        <w:trPr>
          <w:trHeight w:val="391"/>
        </w:trPr>
        <w:tc>
          <w:tcPr>
            <w:tcW w:w="1620" w:type="dxa"/>
            <w:vAlign w:val="bottom"/>
          </w:tcPr>
          <w:p>
            <w:pPr>
              <w:spacing w:after="0"/>
              <w:rPr>
                <w:sz w:val="20"/>
                <w:szCs w:val="20"/>
                <w:color w:val="auto"/>
              </w:rPr>
            </w:pPr>
            <w:r>
              <w:rPr>
                <w:rFonts w:ascii="Arial" w:cs="Arial" w:eastAsia="Arial" w:hAnsi="Arial"/>
                <w:sz w:val="16"/>
                <w:szCs w:val="16"/>
                <w:color w:val="auto"/>
              </w:rPr>
              <w:t>(10.32)</w:t>
            </w:r>
          </w:p>
        </w:tc>
        <w:tc>
          <w:tcPr>
            <w:tcW w:w="9020" w:type="dxa"/>
            <w:vAlign w:val="bottom"/>
            <w:tcBorders>
              <w:bottom w:val="single" w:sz="8" w:color="0000EE"/>
            </w:tcBorders>
            <w:gridSpan w:val="13"/>
          </w:tcPr>
          <w:p>
            <w:pPr>
              <w:spacing w:after="0"/>
              <w:rPr>
                <w:rFonts w:ascii="Arial" w:cs="Arial" w:eastAsia="Arial" w:hAnsi="Arial"/>
                <w:sz w:val="16"/>
                <w:szCs w:val="16"/>
                <w:color w:val="0000EE"/>
                <w:w w:val="89"/>
              </w:rPr>
            </w:pPr>
            <w:hyperlink r:id="rId185">
              <w:r>
                <w:rPr>
                  <w:rFonts w:ascii="Arial" w:cs="Arial" w:eastAsia="Arial" w:hAnsi="Arial"/>
                  <w:sz w:val="16"/>
                  <w:szCs w:val="16"/>
                  <w:color w:val="0000EE"/>
                  <w:w w:val="89"/>
                </w:rPr>
                <w:t>Series A Preferred Stock Purchase Agreement, dated as of November 7, 2016, by and among Eastman Kodak Company, Southeastern Asset</w:t>
              </w:r>
            </w:hyperlink>
          </w:p>
        </w:tc>
        <w:tc>
          <w:tcPr>
            <w:tcW w:w="820" w:type="dxa"/>
            <w:vAlign w:val="bottom"/>
            <w:gridSpan w:val="21"/>
          </w:tcPr>
          <w:p>
            <w:pPr>
              <w:spacing w:after="0"/>
              <w:rPr>
                <w:sz w:val="24"/>
                <w:szCs w:val="24"/>
                <w:color w:val="auto"/>
              </w:rPr>
            </w:pPr>
          </w:p>
        </w:tc>
      </w:tr>
      <w:tr>
        <w:trPr>
          <w:trHeight w:val="173"/>
        </w:trPr>
        <w:tc>
          <w:tcPr>
            <w:tcW w:w="1620" w:type="dxa"/>
            <w:vAlign w:val="bottom"/>
          </w:tcPr>
          <w:p>
            <w:pPr>
              <w:spacing w:after="0"/>
              <w:rPr>
                <w:sz w:val="15"/>
                <w:szCs w:val="15"/>
                <w:color w:val="auto"/>
              </w:rPr>
            </w:pPr>
          </w:p>
        </w:tc>
        <w:tc>
          <w:tcPr>
            <w:tcW w:w="9320" w:type="dxa"/>
            <w:vAlign w:val="bottom"/>
            <w:tcBorders>
              <w:bottom w:val="single" w:sz="8" w:color="0000EE"/>
            </w:tcBorders>
            <w:gridSpan w:val="17"/>
          </w:tcPr>
          <w:p>
            <w:pPr>
              <w:spacing w:after="0" w:line="174" w:lineRule="exact"/>
              <w:rPr>
                <w:rFonts w:ascii="Arial" w:cs="Arial" w:eastAsia="Arial" w:hAnsi="Arial"/>
                <w:sz w:val="16"/>
                <w:szCs w:val="16"/>
                <w:color w:val="0000EE"/>
                <w:w w:val="91"/>
              </w:rPr>
            </w:pPr>
            <w:hyperlink r:id="rId185">
              <w:r>
                <w:rPr>
                  <w:rFonts w:ascii="Arial" w:cs="Arial" w:eastAsia="Arial" w:hAnsi="Arial"/>
                  <w:sz w:val="16"/>
                  <w:szCs w:val="16"/>
                  <w:color w:val="0000EE"/>
                  <w:w w:val="91"/>
                </w:rPr>
                <w:t>Management, Inc., Longleaf Partners Small-Cap Fund, C2W Partners Master Fund Limited and Deseret Mutual Pension Trust. (Incorporated by</w:t>
              </w:r>
            </w:hyperlink>
          </w:p>
        </w:tc>
        <w:tc>
          <w:tcPr>
            <w:tcW w:w="520" w:type="dxa"/>
            <w:vAlign w:val="bottom"/>
            <w:gridSpan w:val="17"/>
          </w:tcPr>
          <w:p>
            <w:pPr>
              <w:spacing w:after="0"/>
              <w:rPr>
                <w:sz w:val="15"/>
                <w:szCs w:val="15"/>
                <w:color w:val="auto"/>
              </w:rPr>
            </w:pPr>
          </w:p>
        </w:tc>
      </w:tr>
      <w:tr>
        <w:trPr>
          <w:trHeight w:val="173"/>
        </w:trPr>
        <w:tc>
          <w:tcPr>
            <w:tcW w:w="1620" w:type="dxa"/>
            <w:vAlign w:val="bottom"/>
          </w:tcPr>
          <w:p>
            <w:pPr>
              <w:spacing w:after="0"/>
              <w:rPr>
                <w:sz w:val="15"/>
                <w:szCs w:val="15"/>
                <w:color w:val="auto"/>
              </w:rPr>
            </w:pPr>
          </w:p>
        </w:tc>
        <w:tc>
          <w:tcPr>
            <w:tcW w:w="9840" w:type="dxa"/>
            <w:vAlign w:val="bottom"/>
            <w:gridSpan w:val="34"/>
          </w:tcPr>
          <w:p>
            <w:pPr>
              <w:spacing w:after="0" w:line="174" w:lineRule="exact"/>
              <w:rPr>
                <w:rFonts w:ascii="Arial" w:cs="Arial" w:eastAsia="Arial" w:hAnsi="Arial"/>
                <w:sz w:val="16"/>
                <w:szCs w:val="16"/>
                <w:color w:val="0000EE"/>
              </w:rPr>
            </w:pPr>
            <w:hyperlink r:id="rId185">
              <w:r>
                <w:rPr>
                  <w:rFonts w:ascii="Arial" w:cs="Arial" w:eastAsia="Arial" w:hAnsi="Arial"/>
                  <w:sz w:val="16"/>
                  <w:szCs w:val="16"/>
                  <w:color w:val="0000EE"/>
                </w:rPr>
                <w:t>reference to Exhibit 10.1 of the Company’s Current Report on Form 8-K as filed on November 7, 2016).</w:t>
              </w:r>
            </w:hyperlink>
          </w:p>
        </w:tc>
      </w:tr>
      <w:tr>
        <w:trPr>
          <w:trHeight w:val="20"/>
        </w:trPr>
        <w:tc>
          <w:tcPr>
            <w:tcW w:w="1620" w:type="dxa"/>
            <w:vAlign w:val="bottom"/>
          </w:tcPr>
          <w:p>
            <w:pPr>
              <w:spacing w:after="0" w:line="20" w:lineRule="exact"/>
              <w:rPr>
                <w:sz w:val="1"/>
                <w:szCs w:val="1"/>
                <w:color w:val="auto"/>
              </w:rPr>
            </w:pPr>
          </w:p>
        </w:tc>
        <w:tc>
          <w:tcPr>
            <w:tcW w:w="192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280" w:type="dxa"/>
            <w:vAlign w:val="bottom"/>
            <w:gridSpan w:val="4"/>
            <w:shd w:val="clear" w:color="auto" w:fill="0000EE"/>
          </w:tcPr>
          <w:p>
            <w:pPr>
              <w:spacing w:after="0" w:line="20" w:lineRule="exact"/>
              <w:rPr>
                <w:sz w:val="1"/>
                <w:szCs w:val="1"/>
                <w:color w:val="auto"/>
              </w:rPr>
            </w:pPr>
          </w:p>
        </w:tc>
        <w:tc>
          <w:tcPr>
            <w:tcW w:w="2520" w:type="dxa"/>
            <w:vAlign w:val="bottom"/>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91"/>
        </w:trPr>
        <w:tc>
          <w:tcPr>
            <w:tcW w:w="1620" w:type="dxa"/>
            <w:vAlign w:val="bottom"/>
          </w:tcPr>
          <w:p>
            <w:pPr>
              <w:spacing w:after="0"/>
              <w:rPr>
                <w:sz w:val="20"/>
                <w:szCs w:val="20"/>
                <w:color w:val="auto"/>
              </w:rPr>
            </w:pPr>
            <w:r>
              <w:rPr>
                <w:rFonts w:ascii="Arial" w:cs="Arial" w:eastAsia="Arial" w:hAnsi="Arial"/>
                <w:sz w:val="16"/>
                <w:szCs w:val="16"/>
                <w:color w:val="auto"/>
              </w:rPr>
              <w:t>(10.33)</w:t>
            </w:r>
          </w:p>
        </w:tc>
        <w:tc>
          <w:tcPr>
            <w:tcW w:w="9240" w:type="dxa"/>
            <w:vAlign w:val="bottom"/>
            <w:tcBorders>
              <w:bottom w:val="single" w:sz="8" w:color="0000EE"/>
            </w:tcBorders>
            <w:gridSpan w:val="15"/>
          </w:tcPr>
          <w:p>
            <w:pPr>
              <w:spacing w:after="0"/>
              <w:rPr>
                <w:rFonts w:ascii="Arial" w:cs="Arial" w:eastAsia="Arial" w:hAnsi="Arial"/>
                <w:sz w:val="16"/>
                <w:szCs w:val="16"/>
                <w:color w:val="0000EE"/>
                <w:w w:val="89"/>
              </w:rPr>
            </w:pPr>
            <w:hyperlink r:id="rId186">
              <w:r>
                <w:rPr>
                  <w:rFonts w:ascii="Arial" w:cs="Arial" w:eastAsia="Arial" w:hAnsi="Arial"/>
                  <w:sz w:val="16"/>
                  <w:szCs w:val="16"/>
                  <w:color w:val="0000EE"/>
                  <w:w w:val="89"/>
                </w:rPr>
                <w:t>Amended and Restated Settlement Agreement (Eastman Business Park) between Eastman Kodak Company, the New York State Department of</w:t>
              </w:r>
            </w:hyperlink>
          </w:p>
        </w:tc>
        <w:tc>
          <w:tcPr>
            <w:tcW w:w="600" w:type="dxa"/>
            <w:vAlign w:val="bottom"/>
            <w:gridSpan w:val="19"/>
          </w:tcPr>
          <w:p>
            <w:pPr>
              <w:spacing w:after="0"/>
              <w:rPr>
                <w:sz w:val="24"/>
                <w:szCs w:val="24"/>
                <w:color w:val="auto"/>
              </w:rPr>
            </w:pPr>
          </w:p>
        </w:tc>
      </w:tr>
      <w:tr>
        <w:trPr>
          <w:trHeight w:val="173"/>
        </w:trPr>
        <w:tc>
          <w:tcPr>
            <w:tcW w:w="1620" w:type="dxa"/>
            <w:vAlign w:val="bottom"/>
          </w:tcPr>
          <w:p>
            <w:pPr>
              <w:spacing w:after="0"/>
              <w:rPr>
                <w:sz w:val="15"/>
                <w:szCs w:val="15"/>
                <w:color w:val="auto"/>
              </w:rPr>
            </w:pPr>
          </w:p>
        </w:tc>
        <w:tc>
          <w:tcPr>
            <w:tcW w:w="9840" w:type="dxa"/>
            <w:vAlign w:val="bottom"/>
            <w:gridSpan w:val="34"/>
          </w:tcPr>
          <w:p>
            <w:pPr>
              <w:spacing w:after="0" w:line="174" w:lineRule="exact"/>
              <w:rPr>
                <w:rFonts w:ascii="Arial" w:cs="Arial" w:eastAsia="Arial" w:hAnsi="Arial"/>
                <w:sz w:val="16"/>
                <w:szCs w:val="16"/>
                <w:color w:val="0000EE"/>
                <w:w w:val="96"/>
              </w:rPr>
            </w:pPr>
            <w:hyperlink r:id="rId186">
              <w:r>
                <w:rPr>
                  <w:rFonts w:ascii="Arial" w:cs="Arial" w:eastAsia="Arial" w:hAnsi="Arial"/>
                  <w:sz w:val="16"/>
                  <w:szCs w:val="16"/>
                  <w:color w:val="0000EE"/>
                  <w:w w:val="96"/>
                </w:rPr>
                <w:t>Environmental Conservation, and the New York State Urban Development Corporation d/b/a Empire State Development, dated August 6, 2013.</w:t>
              </w:r>
            </w:hyperlink>
          </w:p>
        </w:tc>
      </w:tr>
      <w:tr>
        <w:trPr>
          <w:trHeight w:val="20"/>
        </w:trPr>
        <w:tc>
          <w:tcPr>
            <w:tcW w:w="1620" w:type="dxa"/>
            <w:vAlign w:val="bottom"/>
          </w:tcPr>
          <w:p>
            <w:pPr>
              <w:spacing w:after="0" w:line="20" w:lineRule="exact"/>
              <w:rPr>
                <w:sz w:val="1"/>
                <w:szCs w:val="1"/>
                <w:color w:val="auto"/>
              </w:rPr>
            </w:pPr>
          </w:p>
        </w:tc>
        <w:tc>
          <w:tcPr>
            <w:tcW w:w="192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840" w:type="dxa"/>
            <w:vAlign w:val="bottom"/>
            <w:gridSpan w:val="13"/>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73"/>
        </w:trPr>
        <w:tc>
          <w:tcPr>
            <w:tcW w:w="1620" w:type="dxa"/>
            <w:vAlign w:val="bottom"/>
          </w:tcPr>
          <w:p>
            <w:pPr>
              <w:spacing w:after="0"/>
              <w:rPr>
                <w:sz w:val="15"/>
                <w:szCs w:val="15"/>
                <w:color w:val="auto"/>
              </w:rPr>
            </w:pPr>
          </w:p>
        </w:tc>
        <w:tc>
          <w:tcPr>
            <w:tcW w:w="9560" w:type="dxa"/>
            <w:vAlign w:val="bottom"/>
            <w:tcBorders>
              <w:bottom w:val="single" w:sz="8" w:color="0000EE"/>
            </w:tcBorders>
            <w:gridSpan w:val="24"/>
          </w:tcPr>
          <w:p>
            <w:pPr>
              <w:spacing w:after="0" w:line="174" w:lineRule="exact"/>
              <w:rPr>
                <w:rFonts w:ascii="Arial" w:cs="Arial" w:eastAsia="Arial" w:hAnsi="Arial"/>
                <w:sz w:val="16"/>
                <w:szCs w:val="16"/>
                <w:color w:val="0000EE"/>
                <w:w w:val="91"/>
              </w:rPr>
            </w:pPr>
            <w:hyperlink r:id="rId186">
              <w:r>
                <w:rPr>
                  <w:rFonts w:ascii="Arial" w:cs="Arial" w:eastAsia="Arial" w:hAnsi="Arial"/>
                  <w:sz w:val="16"/>
                  <w:szCs w:val="16"/>
                  <w:color w:val="0000EE"/>
                  <w:w w:val="91"/>
                </w:rPr>
                <w:t>(Incorporated by reference to Exhibit 10.10 of the Company’s Quarterly Report on Form 10-Q for the quarterly period ended September 30, 2013 as</w:t>
              </w:r>
            </w:hyperlink>
          </w:p>
        </w:tc>
        <w:tc>
          <w:tcPr>
            <w:tcW w:w="280" w:type="dxa"/>
            <w:vAlign w:val="bottom"/>
            <w:gridSpan w:val="10"/>
          </w:tcPr>
          <w:p>
            <w:pPr>
              <w:spacing w:after="0"/>
              <w:rPr>
                <w:sz w:val="15"/>
                <w:szCs w:val="15"/>
                <w:color w:val="auto"/>
              </w:rPr>
            </w:pPr>
          </w:p>
        </w:tc>
      </w:tr>
      <w:tr>
        <w:trPr>
          <w:trHeight w:val="173"/>
        </w:trPr>
        <w:tc>
          <w:tcPr>
            <w:tcW w:w="1620" w:type="dxa"/>
            <w:vAlign w:val="bottom"/>
          </w:tcPr>
          <w:p>
            <w:pPr>
              <w:spacing w:after="0"/>
              <w:rPr>
                <w:sz w:val="15"/>
                <w:szCs w:val="15"/>
                <w:color w:val="auto"/>
              </w:rPr>
            </w:pPr>
          </w:p>
        </w:tc>
        <w:tc>
          <w:tcPr>
            <w:tcW w:w="1920" w:type="dxa"/>
            <w:vAlign w:val="bottom"/>
            <w:tcBorders>
              <w:bottom w:val="single" w:sz="8" w:color="0000EE"/>
            </w:tcBorders>
            <w:gridSpan w:val="2"/>
          </w:tcPr>
          <w:p>
            <w:pPr>
              <w:spacing w:after="0" w:line="174" w:lineRule="exact"/>
              <w:rPr>
                <w:rFonts w:ascii="Arial" w:cs="Arial" w:eastAsia="Arial" w:hAnsi="Arial"/>
                <w:sz w:val="16"/>
                <w:szCs w:val="16"/>
                <w:color w:val="0000EE"/>
                <w:w w:val="92"/>
              </w:rPr>
            </w:pPr>
            <w:hyperlink r:id="rId186">
              <w:r>
                <w:rPr>
                  <w:rFonts w:ascii="Arial" w:cs="Arial" w:eastAsia="Arial" w:hAnsi="Arial"/>
                  <w:sz w:val="16"/>
                  <w:szCs w:val="16"/>
                  <w:color w:val="0000EE"/>
                  <w:w w:val="92"/>
                </w:rPr>
                <w:t>filed on November 12, 2013).</w:t>
              </w:r>
            </w:hyperlink>
          </w:p>
        </w:tc>
        <w:tc>
          <w:tcPr>
            <w:tcW w:w="7920" w:type="dxa"/>
            <w:vAlign w:val="bottom"/>
            <w:gridSpan w:val="32"/>
          </w:tcPr>
          <w:p>
            <w:pPr>
              <w:spacing w:after="0"/>
              <w:rPr>
                <w:sz w:val="15"/>
                <w:szCs w:val="15"/>
                <w:color w:val="auto"/>
              </w:rPr>
            </w:pPr>
          </w:p>
        </w:tc>
      </w:tr>
      <w:tr>
        <w:trPr>
          <w:trHeight w:val="391"/>
        </w:trPr>
        <w:tc>
          <w:tcPr>
            <w:tcW w:w="1620" w:type="dxa"/>
            <w:vAlign w:val="bottom"/>
          </w:tcPr>
          <w:p>
            <w:pPr>
              <w:spacing w:after="0"/>
              <w:rPr>
                <w:sz w:val="20"/>
                <w:szCs w:val="20"/>
                <w:color w:val="auto"/>
              </w:rPr>
            </w:pPr>
            <w:r>
              <w:rPr>
                <w:rFonts w:ascii="Arial" w:cs="Arial" w:eastAsia="Arial" w:hAnsi="Arial"/>
                <w:sz w:val="16"/>
                <w:szCs w:val="16"/>
                <w:color w:val="auto"/>
              </w:rPr>
              <w:t>(10.34)</w:t>
            </w:r>
          </w:p>
        </w:tc>
        <w:tc>
          <w:tcPr>
            <w:tcW w:w="9780" w:type="dxa"/>
            <w:vAlign w:val="bottom"/>
            <w:tcBorders>
              <w:bottom w:val="single" w:sz="8" w:color="0000EE"/>
            </w:tcBorders>
            <w:gridSpan w:val="32"/>
          </w:tcPr>
          <w:p>
            <w:pPr>
              <w:spacing w:after="0"/>
              <w:rPr>
                <w:rFonts w:ascii="Arial" w:cs="Arial" w:eastAsia="Arial" w:hAnsi="Arial"/>
                <w:sz w:val="16"/>
                <w:szCs w:val="16"/>
                <w:color w:val="0000EE"/>
                <w:w w:val="91"/>
              </w:rPr>
            </w:pPr>
            <w:hyperlink r:id="rId187">
              <w:r>
                <w:rPr>
                  <w:rFonts w:ascii="Arial" w:cs="Arial" w:eastAsia="Arial" w:hAnsi="Arial"/>
                  <w:sz w:val="16"/>
                  <w:szCs w:val="16"/>
                  <w:color w:val="0000EE"/>
                  <w:w w:val="91"/>
                </w:rPr>
                <w:t>Settlement Agreement between Eastman Kodak Company, Kodak Limited, Kodak International Finance Limited, Kodak Polychrome Graphics Finance</w:t>
              </w:r>
            </w:hyperlink>
          </w:p>
        </w:tc>
        <w:tc>
          <w:tcPr>
            <w:tcW w:w="60" w:type="dxa"/>
            <w:vAlign w:val="bottom"/>
            <w:gridSpan w:val="2"/>
          </w:tcPr>
          <w:p>
            <w:pPr>
              <w:spacing w:after="0"/>
              <w:rPr>
                <w:sz w:val="24"/>
                <w:szCs w:val="24"/>
                <w:color w:val="auto"/>
              </w:rPr>
            </w:pPr>
          </w:p>
        </w:tc>
      </w:tr>
      <w:tr>
        <w:trPr>
          <w:trHeight w:val="173"/>
        </w:trPr>
        <w:tc>
          <w:tcPr>
            <w:tcW w:w="1620" w:type="dxa"/>
            <w:vAlign w:val="bottom"/>
          </w:tcPr>
          <w:p>
            <w:pPr>
              <w:spacing w:after="0"/>
              <w:rPr>
                <w:sz w:val="15"/>
                <w:szCs w:val="15"/>
                <w:color w:val="auto"/>
              </w:rPr>
            </w:pPr>
          </w:p>
        </w:tc>
        <w:tc>
          <w:tcPr>
            <w:tcW w:w="9840" w:type="dxa"/>
            <w:vAlign w:val="bottom"/>
            <w:gridSpan w:val="34"/>
          </w:tcPr>
          <w:p>
            <w:pPr>
              <w:spacing w:after="0" w:line="174" w:lineRule="exact"/>
              <w:rPr>
                <w:rFonts w:ascii="Arial" w:cs="Arial" w:eastAsia="Arial" w:hAnsi="Arial"/>
                <w:sz w:val="16"/>
                <w:szCs w:val="16"/>
                <w:color w:val="0000EE"/>
                <w:w w:val="96"/>
              </w:rPr>
            </w:pPr>
            <w:hyperlink r:id="rId187">
              <w:r>
                <w:rPr>
                  <w:rFonts w:ascii="Arial" w:cs="Arial" w:eastAsia="Arial" w:hAnsi="Arial"/>
                  <w:sz w:val="16"/>
                  <w:szCs w:val="16"/>
                  <w:color w:val="0000EE"/>
                  <w:w w:val="96"/>
                </w:rPr>
                <w:t>UK Limited, and the KPP Trustees Limited, as trustee for the Kodak Pension Plan of the United Kingdom, dated April 26, 2013. (Incorporated by</w:t>
              </w:r>
            </w:hyperlink>
          </w:p>
        </w:tc>
      </w:tr>
      <w:tr>
        <w:trPr>
          <w:trHeight w:val="20"/>
        </w:trPr>
        <w:tc>
          <w:tcPr>
            <w:tcW w:w="1620" w:type="dxa"/>
            <w:vAlign w:val="bottom"/>
          </w:tcPr>
          <w:p>
            <w:pPr>
              <w:spacing w:after="0" w:line="20" w:lineRule="exact"/>
              <w:rPr>
                <w:sz w:val="1"/>
                <w:szCs w:val="1"/>
                <w:color w:val="auto"/>
              </w:rPr>
            </w:pPr>
          </w:p>
        </w:tc>
        <w:tc>
          <w:tcPr>
            <w:tcW w:w="2440" w:type="dxa"/>
            <w:vAlign w:val="bottom"/>
            <w:gridSpan w:val="3"/>
            <w:shd w:val="clear" w:color="auto" w:fill="0000EE"/>
          </w:tcPr>
          <w:p>
            <w:pPr>
              <w:spacing w:after="0" w:line="20" w:lineRule="exact"/>
              <w:rPr>
                <w:sz w:val="1"/>
                <w:szCs w:val="1"/>
                <w:color w:val="auto"/>
              </w:rPr>
            </w:pPr>
          </w:p>
        </w:tc>
        <w:tc>
          <w:tcPr>
            <w:tcW w:w="6960" w:type="dxa"/>
            <w:vAlign w:val="bottom"/>
            <w:gridSpan w:val="15"/>
            <w:shd w:val="clear" w:color="auto" w:fill="0000EE"/>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r>
      <w:tr>
        <w:trPr>
          <w:trHeight w:val="173"/>
        </w:trPr>
        <w:tc>
          <w:tcPr>
            <w:tcW w:w="1620" w:type="dxa"/>
            <w:vAlign w:val="bottom"/>
          </w:tcPr>
          <w:p>
            <w:pPr>
              <w:spacing w:after="0"/>
              <w:rPr>
                <w:sz w:val="15"/>
                <w:szCs w:val="15"/>
                <w:color w:val="auto"/>
              </w:rPr>
            </w:pPr>
          </w:p>
        </w:tc>
        <w:tc>
          <w:tcPr>
            <w:tcW w:w="9620" w:type="dxa"/>
            <w:vAlign w:val="bottom"/>
            <w:tcBorders>
              <w:bottom w:val="single" w:sz="8" w:color="0000EE"/>
            </w:tcBorders>
            <w:gridSpan w:val="27"/>
          </w:tcPr>
          <w:p>
            <w:pPr>
              <w:spacing w:after="0" w:line="174" w:lineRule="exact"/>
              <w:rPr>
                <w:rFonts w:ascii="Arial" w:cs="Arial" w:eastAsia="Arial" w:hAnsi="Arial"/>
                <w:sz w:val="16"/>
                <w:szCs w:val="16"/>
                <w:color w:val="0000EE"/>
                <w:w w:val="91"/>
              </w:rPr>
            </w:pPr>
            <w:hyperlink r:id="rId187">
              <w:r>
                <w:rPr>
                  <w:rFonts w:ascii="Arial" w:cs="Arial" w:eastAsia="Arial" w:hAnsi="Arial"/>
                  <w:sz w:val="16"/>
                  <w:szCs w:val="16"/>
                  <w:color w:val="0000EE"/>
                  <w:w w:val="91"/>
                </w:rPr>
                <w:t>reference to Exhibit 10.1 of the Company’s Quarterly Report on Form 10-Q for the quarterly period ended June 30, 2013 as filed on August 7, 2013).</w:t>
              </w:r>
            </w:hyperlink>
          </w:p>
        </w:tc>
        <w:tc>
          <w:tcPr>
            <w:tcW w:w="220" w:type="dxa"/>
            <w:vAlign w:val="bottom"/>
            <w:gridSpan w:val="7"/>
          </w:tcPr>
          <w:p>
            <w:pPr>
              <w:spacing w:after="0"/>
              <w:rPr>
                <w:sz w:val="15"/>
                <w:szCs w:val="15"/>
                <w:color w:val="auto"/>
              </w:rPr>
            </w:pPr>
          </w:p>
        </w:tc>
      </w:tr>
      <w:tr>
        <w:trPr>
          <w:trHeight w:val="391"/>
        </w:trPr>
        <w:tc>
          <w:tcPr>
            <w:tcW w:w="1620" w:type="dxa"/>
            <w:vAlign w:val="bottom"/>
          </w:tcPr>
          <w:p>
            <w:pPr>
              <w:spacing w:after="0"/>
              <w:rPr>
                <w:sz w:val="20"/>
                <w:szCs w:val="20"/>
                <w:color w:val="auto"/>
              </w:rPr>
            </w:pPr>
            <w:r>
              <w:rPr>
                <w:rFonts w:ascii="Arial" w:cs="Arial" w:eastAsia="Arial" w:hAnsi="Arial"/>
                <w:sz w:val="16"/>
                <w:szCs w:val="16"/>
                <w:color w:val="auto"/>
              </w:rPr>
              <w:t>(10.35)</w:t>
            </w:r>
          </w:p>
        </w:tc>
        <w:tc>
          <w:tcPr>
            <w:tcW w:w="9840" w:type="dxa"/>
            <w:vAlign w:val="bottom"/>
            <w:gridSpan w:val="34"/>
          </w:tcPr>
          <w:p>
            <w:pPr>
              <w:spacing w:after="0"/>
              <w:rPr>
                <w:rFonts w:ascii="Arial" w:cs="Arial" w:eastAsia="Arial" w:hAnsi="Arial"/>
                <w:sz w:val="16"/>
                <w:szCs w:val="16"/>
                <w:color w:val="0000EE"/>
                <w:w w:val="91"/>
              </w:rPr>
            </w:pPr>
            <w:hyperlink r:id="rId188">
              <w:r>
                <w:rPr>
                  <w:rFonts w:ascii="Arial" w:cs="Arial" w:eastAsia="Arial" w:hAnsi="Arial"/>
                  <w:sz w:val="16"/>
                  <w:szCs w:val="16"/>
                  <w:color w:val="0000EE"/>
                  <w:w w:val="91"/>
                </w:rPr>
                <w:t>Amended and Restated Stock and Asset Purchase Agreement between Eastman Kodak Company, Qualex, Inc., Kodak (Near East), Inc., KPP Trustees</w:t>
              </w:r>
            </w:hyperlink>
          </w:p>
        </w:tc>
      </w:tr>
      <w:tr>
        <w:trPr>
          <w:trHeight w:val="173"/>
        </w:trPr>
        <w:tc>
          <w:tcPr>
            <w:tcW w:w="1620" w:type="dxa"/>
            <w:vAlign w:val="bottom"/>
          </w:tcPr>
          <w:p>
            <w:pPr>
              <w:spacing w:after="0"/>
              <w:rPr>
                <w:sz w:val="15"/>
                <w:szCs w:val="15"/>
                <w:color w:val="auto"/>
              </w:rPr>
            </w:pPr>
          </w:p>
        </w:tc>
        <w:tc>
          <w:tcPr>
            <w:tcW w:w="9680" w:type="dxa"/>
            <w:vAlign w:val="bottom"/>
            <w:tcBorders>
              <w:top w:val="single" w:sz="8" w:color="0000EE"/>
            </w:tcBorders>
            <w:gridSpan w:val="30"/>
          </w:tcPr>
          <w:p>
            <w:pPr>
              <w:spacing w:after="0" w:line="174" w:lineRule="exact"/>
              <w:rPr>
                <w:rFonts w:ascii="Arial" w:cs="Arial" w:eastAsia="Arial" w:hAnsi="Arial"/>
                <w:sz w:val="16"/>
                <w:szCs w:val="16"/>
                <w:color w:val="0000EE"/>
                <w:w w:val="92"/>
              </w:rPr>
            </w:pPr>
            <w:hyperlink r:id="rId188">
              <w:r>
                <w:rPr>
                  <w:rFonts w:ascii="Arial" w:cs="Arial" w:eastAsia="Arial" w:hAnsi="Arial"/>
                  <w:sz w:val="16"/>
                  <w:szCs w:val="16"/>
                  <w:color w:val="0000EE"/>
                  <w:w w:val="92"/>
                </w:rPr>
                <w:t>Limited, as Trustee for the Kodak Pension Plan of the United Kingdom, and, solely for purposes of Section 11.4, KPP Holdco Limited, dated August</w:t>
              </w:r>
            </w:hyperlink>
          </w:p>
        </w:tc>
        <w:tc>
          <w:tcPr>
            <w:tcW w:w="160" w:type="dxa"/>
            <w:vAlign w:val="bottom"/>
            <w:gridSpan w:val="4"/>
          </w:tcPr>
          <w:p>
            <w:pPr>
              <w:spacing w:after="0"/>
              <w:rPr>
                <w:sz w:val="15"/>
                <w:szCs w:val="15"/>
                <w:color w:val="auto"/>
              </w:rPr>
            </w:pPr>
          </w:p>
        </w:tc>
      </w:tr>
      <w:tr>
        <w:trPr>
          <w:trHeight w:val="173"/>
        </w:trPr>
        <w:tc>
          <w:tcPr>
            <w:tcW w:w="1620" w:type="dxa"/>
            <w:vAlign w:val="bottom"/>
          </w:tcPr>
          <w:p>
            <w:pPr>
              <w:spacing w:after="0"/>
              <w:rPr>
                <w:sz w:val="15"/>
                <w:szCs w:val="15"/>
                <w:color w:val="auto"/>
              </w:rPr>
            </w:pPr>
          </w:p>
        </w:tc>
        <w:tc>
          <w:tcPr>
            <w:tcW w:w="9500" w:type="dxa"/>
            <w:vAlign w:val="bottom"/>
            <w:tcBorders>
              <w:top w:val="single" w:sz="8" w:color="0000EE"/>
              <w:bottom w:val="single" w:sz="8" w:color="0000EE"/>
            </w:tcBorders>
            <w:gridSpan w:val="21"/>
          </w:tcPr>
          <w:p>
            <w:pPr>
              <w:spacing w:after="0" w:line="174" w:lineRule="exact"/>
              <w:rPr>
                <w:rFonts w:ascii="Arial" w:cs="Arial" w:eastAsia="Arial" w:hAnsi="Arial"/>
                <w:sz w:val="16"/>
                <w:szCs w:val="16"/>
                <w:color w:val="0000EE"/>
                <w:w w:val="91"/>
              </w:rPr>
            </w:pPr>
            <w:hyperlink r:id="rId188">
              <w:r>
                <w:rPr>
                  <w:rFonts w:ascii="Arial" w:cs="Arial" w:eastAsia="Arial" w:hAnsi="Arial"/>
                  <w:sz w:val="16"/>
                  <w:szCs w:val="16"/>
                  <w:color w:val="0000EE"/>
                  <w:w w:val="91"/>
                </w:rPr>
                <w:t>30, 2013. (Incorporated by reference to Exhibit 2.3 of the Company’s Quarterly Report on Form 10-Q for the quarterly period ended September 30,</w:t>
              </w:r>
            </w:hyperlink>
          </w:p>
        </w:tc>
        <w:tc>
          <w:tcPr>
            <w:tcW w:w="100" w:type="dxa"/>
            <w:vAlign w:val="bottom"/>
            <w:tcBorders>
              <w:top w:val="single" w:sz="8" w:color="0000EE"/>
            </w:tcBorders>
            <w:gridSpan w:val="5"/>
          </w:tcPr>
          <w:p>
            <w:pPr>
              <w:spacing w:after="0"/>
              <w:rPr>
                <w:sz w:val="15"/>
                <w:szCs w:val="15"/>
                <w:color w:val="auto"/>
              </w:rPr>
            </w:pPr>
          </w:p>
        </w:tc>
        <w:tc>
          <w:tcPr>
            <w:tcW w:w="240" w:type="dxa"/>
            <w:vAlign w:val="bottom"/>
            <w:gridSpan w:val="8"/>
          </w:tcPr>
          <w:p>
            <w:pPr>
              <w:spacing w:after="0"/>
              <w:rPr>
                <w:sz w:val="15"/>
                <w:szCs w:val="15"/>
                <w:color w:val="auto"/>
              </w:rPr>
            </w:pPr>
          </w:p>
        </w:tc>
      </w:tr>
      <w:tr>
        <w:trPr>
          <w:trHeight w:val="173"/>
        </w:trPr>
        <w:tc>
          <w:tcPr>
            <w:tcW w:w="1620" w:type="dxa"/>
            <w:vAlign w:val="bottom"/>
          </w:tcPr>
          <w:p>
            <w:pPr>
              <w:spacing w:after="0"/>
              <w:rPr>
                <w:sz w:val="15"/>
                <w:szCs w:val="15"/>
                <w:color w:val="auto"/>
              </w:rPr>
            </w:pPr>
          </w:p>
        </w:tc>
        <w:tc>
          <w:tcPr>
            <w:tcW w:w="9840" w:type="dxa"/>
            <w:vAlign w:val="bottom"/>
            <w:gridSpan w:val="34"/>
          </w:tcPr>
          <w:p>
            <w:pPr>
              <w:spacing w:after="0" w:line="174" w:lineRule="exact"/>
              <w:rPr>
                <w:rFonts w:ascii="Arial" w:cs="Arial" w:eastAsia="Arial" w:hAnsi="Arial"/>
                <w:sz w:val="16"/>
                <w:szCs w:val="16"/>
                <w:color w:val="0000EE"/>
              </w:rPr>
            </w:pPr>
            <w:hyperlink r:id="rId188">
              <w:r>
                <w:rPr>
                  <w:rFonts w:ascii="Arial" w:cs="Arial" w:eastAsia="Arial" w:hAnsi="Arial"/>
                  <w:sz w:val="16"/>
                  <w:szCs w:val="16"/>
                  <w:color w:val="0000EE"/>
                </w:rPr>
                <w:t>2013 as filed on November 12, 2013).</w:t>
              </w:r>
            </w:hyperlink>
          </w:p>
        </w:tc>
      </w:tr>
      <w:tr>
        <w:trPr>
          <w:trHeight w:val="403"/>
        </w:trPr>
        <w:tc>
          <w:tcPr>
            <w:tcW w:w="1620" w:type="dxa"/>
            <w:vAlign w:val="bottom"/>
          </w:tcPr>
          <w:p>
            <w:pPr>
              <w:spacing w:after="0"/>
              <w:rPr>
                <w:sz w:val="24"/>
                <w:szCs w:val="24"/>
                <w:color w:val="auto"/>
              </w:rPr>
            </w:pPr>
          </w:p>
        </w:tc>
        <w:tc>
          <w:tcPr>
            <w:tcW w:w="2440" w:type="dxa"/>
            <w:vAlign w:val="bottom"/>
            <w:tcBorders>
              <w:top w:val="single" w:sz="8" w:color="0000EE"/>
            </w:tcBorders>
            <w:gridSpan w:val="3"/>
          </w:tcPr>
          <w:p>
            <w:pPr>
              <w:spacing w:after="0"/>
              <w:rPr>
                <w:sz w:val="24"/>
                <w:szCs w:val="24"/>
                <w:color w:val="auto"/>
              </w:rPr>
            </w:pPr>
          </w:p>
        </w:tc>
        <w:tc>
          <w:tcPr>
            <w:tcW w:w="3700" w:type="dxa"/>
            <w:vAlign w:val="bottom"/>
            <w:gridSpan w:val="2"/>
          </w:tcPr>
          <w:p>
            <w:pPr>
              <w:jc w:val="right"/>
              <w:ind w:right="1920"/>
              <w:spacing w:after="0"/>
              <w:rPr>
                <w:sz w:val="20"/>
                <w:szCs w:val="20"/>
                <w:color w:val="auto"/>
              </w:rPr>
            </w:pPr>
            <w:r>
              <w:rPr>
                <w:rFonts w:ascii="Arial" w:cs="Arial" w:eastAsia="Arial" w:hAnsi="Arial"/>
                <w:sz w:val="16"/>
                <w:szCs w:val="16"/>
                <w:color w:val="auto"/>
              </w:rPr>
              <w:t>109</w:t>
            </w: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01"/>
        </w:trPr>
        <w:tc>
          <w:tcPr>
            <w:tcW w:w="1620" w:type="dxa"/>
            <w:vAlign w:val="bottom"/>
            <w:tcBorders>
              <w:bottom w:val="single" w:sz="8" w:color="9A9A9A"/>
            </w:tcBorders>
          </w:tcPr>
          <w:p>
            <w:pPr>
              <w:spacing w:after="0"/>
              <w:rPr>
                <w:sz w:val="8"/>
                <w:szCs w:val="8"/>
                <w:color w:val="auto"/>
              </w:rPr>
            </w:pPr>
          </w:p>
        </w:tc>
        <w:tc>
          <w:tcPr>
            <w:tcW w:w="162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27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7253605</wp:posOffset>
            </wp:positionH>
            <wp:positionV relativeFrom="paragraph">
              <wp:posOffset>-27305</wp:posOffset>
            </wp:positionV>
            <wp:extent cx="33020" cy="406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9">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-27305</wp:posOffset>
            </wp:positionV>
            <wp:extent cx="33020" cy="406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90">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460"/>
          </w:cols>
          <w:pgMar w:left="240" w:top="113" w:right="199" w:bottom="1440" w:gutter="0" w:footer="0" w:header="0"/>
        </w:sectPr>
      </w:pPr>
    </w:p>
    <w:bookmarkStart w:id="109" w:name="page110"/>
    <w:bookmarkEnd w:id="109"/>
    <w:tbl>
      <w:tblPr>
        <w:tblLayout w:type="fixed"/>
        <w:tblInd w:w="3" w:type="dxa"/>
        <w:tblCellMar>
          <w:top w:w="0" w:type="dxa"/>
          <w:left w:w="0" w:type="dxa"/>
          <w:bottom w:w="0" w:type="dxa"/>
          <w:right w:w="0" w:type="dxa"/>
        </w:tblCellMar>
      </w:tblPr>
      <w:tr>
        <w:trPr>
          <w:trHeight w:val="184"/>
        </w:trPr>
        <w:tc>
          <w:tcPr>
            <w:tcW w:w="1620" w:type="dxa"/>
            <w:vAlign w:val="bottom"/>
          </w:tcPr>
          <w:p>
            <w:pPr>
              <w:spacing w:after="0"/>
              <w:rPr>
                <w:sz w:val="20"/>
                <w:szCs w:val="20"/>
                <w:color w:val="auto"/>
              </w:rPr>
            </w:pPr>
            <w:r>
              <w:rPr>
                <w:rFonts w:ascii="Arial" w:cs="Arial" w:eastAsia="Arial" w:hAnsi="Arial"/>
                <w:sz w:val="16"/>
                <w:szCs w:val="16"/>
                <w:color w:val="auto"/>
              </w:rPr>
              <w:t>(12)</w:t>
            </w:r>
          </w:p>
        </w:tc>
        <w:tc>
          <w:tcPr>
            <w:tcW w:w="9660" w:type="dxa"/>
            <w:vAlign w:val="bottom"/>
            <w:gridSpan w:val="9"/>
          </w:tcPr>
          <w:p>
            <w:pPr>
              <w:spacing w:after="0"/>
              <w:rPr>
                <w:rFonts w:ascii="Arial" w:cs="Arial" w:eastAsia="Arial" w:hAnsi="Arial"/>
                <w:sz w:val="16"/>
                <w:szCs w:val="16"/>
                <w:color w:val="0000EE"/>
              </w:rPr>
            </w:pPr>
            <w:hyperlink w:anchor="page122">
              <w:r>
                <w:rPr>
                  <w:rFonts w:ascii="Arial" w:cs="Arial" w:eastAsia="Arial" w:hAnsi="Arial"/>
                  <w:sz w:val="16"/>
                  <w:szCs w:val="16"/>
                  <w:color w:val="0000EE"/>
                </w:rPr>
                <w:t>Statement regarding Computation of Ratio of Earnings to Fixed Charges, filed herewith.</w:t>
              </w:r>
            </w:hyperlink>
          </w:p>
        </w:tc>
      </w:tr>
      <w:tr>
        <w:trPr>
          <w:trHeight w:val="415"/>
        </w:trPr>
        <w:tc>
          <w:tcPr>
            <w:tcW w:w="1620" w:type="dxa"/>
            <w:vAlign w:val="bottom"/>
          </w:tcPr>
          <w:p>
            <w:pPr>
              <w:spacing w:after="0"/>
              <w:rPr>
                <w:sz w:val="20"/>
                <w:szCs w:val="20"/>
                <w:color w:val="auto"/>
              </w:rPr>
            </w:pPr>
            <w:r>
              <w:rPr>
                <w:rFonts w:ascii="Arial" w:cs="Arial" w:eastAsia="Arial" w:hAnsi="Arial"/>
                <w:sz w:val="16"/>
                <w:szCs w:val="16"/>
                <w:color w:val="auto"/>
              </w:rPr>
              <w:t>(21)</w:t>
            </w:r>
          </w:p>
        </w:tc>
        <w:tc>
          <w:tcPr>
            <w:tcW w:w="3700" w:type="dxa"/>
            <w:vAlign w:val="bottom"/>
            <w:tcBorders>
              <w:top w:val="single" w:sz="8" w:color="0000EE"/>
              <w:bottom w:val="single" w:sz="8" w:color="0000EE"/>
            </w:tcBorders>
            <w:gridSpan w:val="4"/>
          </w:tcPr>
          <w:p>
            <w:pPr>
              <w:spacing w:after="0"/>
              <w:rPr>
                <w:rFonts w:ascii="Arial" w:cs="Arial" w:eastAsia="Arial" w:hAnsi="Arial"/>
                <w:sz w:val="16"/>
                <w:szCs w:val="16"/>
                <w:color w:val="0000EE"/>
                <w:w w:val="91"/>
              </w:rPr>
            </w:pPr>
            <w:hyperlink w:anchor="page124">
              <w:r>
                <w:rPr>
                  <w:rFonts w:ascii="Arial" w:cs="Arial" w:eastAsia="Arial" w:hAnsi="Arial"/>
                  <w:sz w:val="16"/>
                  <w:szCs w:val="16"/>
                  <w:color w:val="0000EE"/>
                  <w:w w:val="91"/>
                </w:rPr>
                <w:t>Subsidiaries of Eastman Kodak Company, filed herewith.</w:t>
              </w:r>
            </w:hyperlink>
          </w:p>
        </w:tc>
        <w:tc>
          <w:tcPr>
            <w:tcW w:w="1980" w:type="dxa"/>
            <w:vAlign w:val="bottom"/>
            <w:tcBorders>
              <w:top w:val="single" w:sz="8" w:color="0000EE"/>
            </w:tcBorders>
            <w:gridSpan w:val="3"/>
          </w:tcPr>
          <w:p>
            <w:pPr>
              <w:spacing w:after="0"/>
              <w:rPr>
                <w:sz w:val="24"/>
                <w:szCs w:val="24"/>
                <w:color w:val="auto"/>
              </w:rPr>
            </w:pPr>
          </w:p>
        </w:tc>
        <w:tc>
          <w:tcPr>
            <w:tcW w:w="3980" w:type="dxa"/>
            <w:vAlign w:val="bottom"/>
            <w:gridSpan w:val="2"/>
          </w:tcPr>
          <w:p>
            <w:pPr>
              <w:spacing w:after="0"/>
              <w:rPr>
                <w:sz w:val="24"/>
                <w:szCs w:val="24"/>
                <w:color w:val="auto"/>
              </w:rPr>
            </w:pPr>
          </w:p>
        </w:tc>
      </w:tr>
      <w:tr>
        <w:trPr>
          <w:trHeight w:val="415"/>
        </w:trPr>
        <w:tc>
          <w:tcPr>
            <w:tcW w:w="1620" w:type="dxa"/>
            <w:vAlign w:val="bottom"/>
          </w:tcPr>
          <w:p>
            <w:pPr>
              <w:spacing w:after="0"/>
              <w:rPr>
                <w:sz w:val="20"/>
                <w:szCs w:val="20"/>
                <w:color w:val="auto"/>
              </w:rPr>
            </w:pPr>
            <w:r>
              <w:rPr>
                <w:rFonts w:ascii="Arial" w:cs="Arial" w:eastAsia="Arial" w:hAnsi="Arial"/>
                <w:sz w:val="16"/>
                <w:szCs w:val="16"/>
                <w:color w:val="auto"/>
              </w:rPr>
              <w:t>(23)</w:t>
            </w:r>
          </w:p>
        </w:tc>
        <w:tc>
          <w:tcPr>
            <w:tcW w:w="9660" w:type="dxa"/>
            <w:vAlign w:val="bottom"/>
            <w:gridSpan w:val="9"/>
          </w:tcPr>
          <w:p>
            <w:pPr>
              <w:spacing w:after="0"/>
              <w:rPr>
                <w:rFonts w:ascii="Arial" w:cs="Arial" w:eastAsia="Arial" w:hAnsi="Arial"/>
                <w:sz w:val="16"/>
                <w:szCs w:val="16"/>
                <w:color w:val="0000EE"/>
              </w:rPr>
            </w:pPr>
            <w:hyperlink w:anchor="page126">
              <w:r>
                <w:rPr>
                  <w:rFonts w:ascii="Arial" w:cs="Arial" w:eastAsia="Arial" w:hAnsi="Arial"/>
                  <w:sz w:val="16"/>
                  <w:szCs w:val="16"/>
                  <w:color w:val="0000EE"/>
                </w:rPr>
                <w:t>Consent of Independent Registered Public Accounting Firm, filed herewith.</w:t>
              </w:r>
            </w:hyperlink>
          </w:p>
        </w:tc>
      </w:tr>
      <w:tr>
        <w:trPr>
          <w:trHeight w:val="415"/>
        </w:trPr>
        <w:tc>
          <w:tcPr>
            <w:tcW w:w="1620" w:type="dxa"/>
            <w:vAlign w:val="bottom"/>
          </w:tcPr>
          <w:p>
            <w:pPr>
              <w:spacing w:after="0"/>
              <w:rPr>
                <w:sz w:val="20"/>
                <w:szCs w:val="20"/>
                <w:color w:val="auto"/>
              </w:rPr>
            </w:pPr>
            <w:r>
              <w:rPr>
                <w:rFonts w:ascii="Arial" w:cs="Arial" w:eastAsia="Arial" w:hAnsi="Arial"/>
                <w:sz w:val="16"/>
                <w:szCs w:val="16"/>
                <w:color w:val="auto"/>
              </w:rPr>
              <w:t>(31.1)</w:t>
            </w:r>
          </w:p>
        </w:tc>
        <w:tc>
          <w:tcPr>
            <w:tcW w:w="3600" w:type="dxa"/>
            <w:vAlign w:val="bottom"/>
            <w:tcBorders>
              <w:top w:val="single" w:sz="8" w:color="0000EE"/>
              <w:bottom w:val="single" w:sz="8" w:color="0000EE"/>
            </w:tcBorders>
            <w:gridSpan w:val="3"/>
          </w:tcPr>
          <w:p>
            <w:pPr>
              <w:spacing w:after="0"/>
              <w:rPr>
                <w:rFonts w:ascii="Arial" w:cs="Arial" w:eastAsia="Arial" w:hAnsi="Arial"/>
                <w:sz w:val="16"/>
                <w:szCs w:val="16"/>
                <w:color w:val="0000EE"/>
                <w:w w:val="92"/>
              </w:rPr>
            </w:pPr>
            <w:hyperlink w:anchor="page127">
              <w:r>
                <w:rPr>
                  <w:rFonts w:ascii="Arial" w:cs="Arial" w:eastAsia="Arial" w:hAnsi="Arial"/>
                  <w:sz w:val="16"/>
                  <w:szCs w:val="16"/>
                  <w:color w:val="0000EE"/>
                  <w:w w:val="92"/>
                </w:rPr>
                <w:t>Certification signed by Jeffrey J. Clarke, filed herewith.</w:t>
              </w:r>
            </w:hyperlink>
          </w:p>
        </w:tc>
        <w:tc>
          <w:tcPr>
            <w:tcW w:w="1280" w:type="dxa"/>
            <w:vAlign w:val="bottom"/>
            <w:tcBorders>
              <w:top w:val="single" w:sz="8" w:color="0000EE"/>
            </w:tcBorders>
            <w:gridSpan w:val="3"/>
          </w:tcPr>
          <w:p>
            <w:pPr>
              <w:spacing w:after="0"/>
              <w:rPr>
                <w:sz w:val="24"/>
                <w:szCs w:val="24"/>
                <w:color w:val="auto"/>
              </w:rPr>
            </w:pPr>
          </w:p>
        </w:tc>
        <w:tc>
          <w:tcPr>
            <w:tcW w:w="4780" w:type="dxa"/>
            <w:vAlign w:val="bottom"/>
            <w:gridSpan w:val="3"/>
          </w:tcPr>
          <w:p>
            <w:pPr>
              <w:spacing w:after="0"/>
              <w:rPr>
                <w:sz w:val="24"/>
                <w:szCs w:val="24"/>
                <w:color w:val="auto"/>
              </w:rPr>
            </w:pPr>
          </w:p>
        </w:tc>
      </w:tr>
      <w:tr>
        <w:trPr>
          <w:trHeight w:val="415"/>
        </w:trPr>
        <w:tc>
          <w:tcPr>
            <w:tcW w:w="1620" w:type="dxa"/>
            <w:vAlign w:val="bottom"/>
          </w:tcPr>
          <w:p>
            <w:pPr>
              <w:spacing w:after="0"/>
              <w:rPr>
                <w:sz w:val="20"/>
                <w:szCs w:val="20"/>
                <w:color w:val="auto"/>
              </w:rPr>
            </w:pPr>
            <w:r>
              <w:rPr>
                <w:rFonts w:ascii="Arial" w:cs="Arial" w:eastAsia="Arial" w:hAnsi="Arial"/>
                <w:sz w:val="16"/>
                <w:szCs w:val="16"/>
                <w:color w:val="auto"/>
              </w:rPr>
              <w:t>(31.2)</w:t>
            </w:r>
          </w:p>
        </w:tc>
        <w:tc>
          <w:tcPr>
            <w:tcW w:w="9660" w:type="dxa"/>
            <w:vAlign w:val="bottom"/>
            <w:gridSpan w:val="9"/>
          </w:tcPr>
          <w:p>
            <w:pPr>
              <w:spacing w:after="0"/>
              <w:rPr>
                <w:rFonts w:ascii="Arial" w:cs="Arial" w:eastAsia="Arial" w:hAnsi="Arial"/>
                <w:sz w:val="16"/>
                <w:szCs w:val="16"/>
                <w:color w:val="0000EE"/>
              </w:rPr>
            </w:pPr>
            <w:hyperlink w:anchor="page128">
              <w:r>
                <w:rPr>
                  <w:rFonts w:ascii="Arial" w:cs="Arial" w:eastAsia="Arial" w:hAnsi="Arial"/>
                  <w:sz w:val="16"/>
                  <w:szCs w:val="16"/>
                  <w:color w:val="0000EE"/>
                </w:rPr>
                <w:t>Certification signed by David E. Bullwinkle, filed herewith.</w:t>
              </w:r>
            </w:hyperlink>
          </w:p>
        </w:tc>
      </w:tr>
      <w:tr>
        <w:trPr>
          <w:trHeight w:val="20"/>
        </w:trPr>
        <w:tc>
          <w:tcPr>
            <w:tcW w:w="162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120" w:type="dxa"/>
            <w:vAlign w:val="bottom"/>
            <w:gridSpan w:val="3"/>
            <w:shd w:val="clear" w:color="auto" w:fill="0000EE"/>
          </w:tcPr>
          <w:p>
            <w:pPr>
              <w:spacing w:after="0" w:line="20" w:lineRule="exact"/>
              <w:rPr>
                <w:sz w:val="1"/>
                <w:szCs w:val="1"/>
                <w:color w:val="auto"/>
              </w:rPr>
            </w:pPr>
          </w:p>
        </w:tc>
        <w:tc>
          <w:tcPr>
            <w:tcW w:w="524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15"/>
        </w:trPr>
        <w:tc>
          <w:tcPr>
            <w:tcW w:w="1620" w:type="dxa"/>
            <w:vAlign w:val="bottom"/>
          </w:tcPr>
          <w:p>
            <w:pPr>
              <w:spacing w:after="0"/>
              <w:rPr>
                <w:sz w:val="20"/>
                <w:szCs w:val="20"/>
                <w:color w:val="auto"/>
              </w:rPr>
            </w:pPr>
            <w:r>
              <w:rPr>
                <w:rFonts w:ascii="Arial" w:cs="Arial" w:eastAsia="Arial" w:hAnsi="Arial"/>
                <w:sz w:val="16"/>
                <w:szCs w:val="16"/>
                <w:color w:val="auto"/>
              </w:rPr>
              <w:t>(32.1)</w:t>
            </w:r>
          </w:p>
        </w:tc>
        <w:tc>
          <w:tcPr>
            <w:tcW w:w="9660" w:type="dxa"/>
            <w:vAlign w:val="bottom"/>
            <w:tcBorders>
              <w:bottom w:val="single" w:sz="8" w:color="0000EE"/>
            </w:tcBorders>
            <w:gridSpan w:val="9"/>
          </w:tcPr>
          <w:p>
            <w:pPr>
              <w:spacing w:after="0"/>
              <w:rPr>
                <w:rFonts w:ascii="Arial" w:cs="Arial" w:eastAsia="Arial" w:hAnsi="Arial"/>
                <w:sz w:val="16"/>
                <w:szCs w:val="16"/>
                <w:color w:val="0000EE"/>
                <w:w w:val="91"/>
              </w:rPr>
            </w:pPr>
            <w:hyperlink w:anchor="page129">
              <w:r>
                <w:rPr>
                  <w:rFonts w:ascii="Arial" w:cs="Arial" w:eastAsia="Arial" w:hAnsi="Arial"/>
                  <w:sz w:val="16"/>
                  <w:szCs w:val="16"/>
                  <w:color w:val="0000EE"/>
                  <w:w w:val="91"/>
                </w:rPr>
                <w:t>Certification Pursuant to 18 U.S.C. Section 1350, as Adopted Pursuant to Section 906 of the Sarbanes-Oxley Act of 2002, signed by Jeffrey J. Clarke,</w:t>
              </w:r>
            </w:hyperlink>
          </w:p>
        </w:tc>
      </w:tr>
      <w:tr>
        <w:trPr>
          <w:trHeight w:val="173"/>
        </w:trPr>
        <w:tc>
          <w:tcPr>
            <w:tcW w:w="1620" w:type="dxa"/>
            <w:vAlign w:val="bottom"/>
          </w:tcPr>
          <w:p>
            <w:pPr>
              <w:spacing w:after="0"/>
              <w:rPr>
                <w:sz w:val="15"/>
                <w:szCs w:val="15"/>
                <w:color w:val="auto"/>
              </w:rPr>
            </w:pPr>
          </w:p>
        </w:tc>
        <w:tc>
          <w:tcPr>
            <w:tcW w:w="940" w:type="dxa"/>
            <w:vAlign w:val="bottom"/>
            <w:tcBorders>
              <w:bottom w:val="single" w:sz="8" w:color="0000EE"/>
            </w:tcBorders>
          </w:tcPr>
          <w:p>
            <w:pPr>
              <w:spacing w:after="0" w:line="174" w:lineRule="exact"/>
              <w:rPr>
                <w:rFonts w:ascii="Arial" w:cs="Arial" w:eastAsia="Arial" w:hAnsi="Arial"/>
                <w:sz w:val="16"/>
                <w:szCs w:val="16"/>
                <w:color w:val="0000EE"/>
                <w:w w:val="93"/>
              </w:rPr>
            </w:pPr>
            <w:hyperlink w:anchor="page129">
              <w:r>
                <w:rPr>
                  <w:rFonts w:ascii="Arial" w:cs="Arial" w:eastAsia="Arial" w:hAnsi="Arial"/>
                  <w:sz w:val="16"/>
                  <w:szCs w:val="16"/>
                  <w:color w:val="0000EE"/>
                  <w:w w:val="93"/>
                </w:rPr>
                <w:t>filed herewith.</w:t>
              </w:r>
            </w:hyperlink>
          </w:p>
        </w:tc>
        <w:tc>
          <w:tcPr>
            <w:tcW w:w="8720" w:type="dxa"/>
            <w:vAlign w:val="bottom"/>
            <w:gridSpan w:val="8"/>
          </w:tcPr>
          <w:p>
            <w:pPr>
              <w:spacing w:after="0"/>
              <w:rPr>
                <w:sz w:val="15"/>
                <w:szCs w:val="15"/>
                <w:color w:val="auto"/>
              </w:rPr>
            </w:pPr>
          </w:p>
        </w:tc>
      </w:tr>
      <w:tr>
        <w:trPr>
          <w:trHeight w:val="391"/>
        </w:trPr>
        <w:tc>
          <w:tcPr>
            <w:tcW w:w="1620" w:type="dxa"/>
            <w:vAlign w:val="bottom"/>
          </w:tcPr>
          <w:p>
            <w:pPr>
              <w:spacing w:after="0"/>
              <w:rPr>
                <w:sz w:val="20"/>
                <w:szCs w:val="20"/>
                <w:color w:val="auto"/>
              </w:rPr>
            </w:pPr>
            <w:r>
              <w:rPr>
                <w:rFonts w:ascii="Arial" w:cs="Arial" w:eastAsia="Arial" w:hAnsi="Arial"/>
                <w:sz w:val="16"/>
                <w:szCs w:val="16"/>
                <w:color w:val="auto"/>
              </w:rPr>
              <w:t>(32.2)</w:t>
            </w:r>
          </w:p>
        </w:tc>
        <w:tc>
          <w:tcPr>
            <w:tcW w:w="9100" w:type="dxa"/>
            <w:vAlign w:val="bottom"/>
            <w:tcBorders>
              <w:bottom w:val="single" w:sz="8" w:color="0000EE"/>
            </w:tcBorders>
            <w:gridSpan w:val="8"/>
          </w:tcPr>
          <w:p>
            <w:pPr>
              <w:spacing w:after="0"/>
              <w:rPr>
                <w:rFonts w:ascii="Arial" w:cs="Arial" w:eastAsia="Arial" w:hAnsi="Arial"/>
                <w:sz w:val="16"/>
                <w:szCs w:val="16"/>
                <w:color w:val="0000EE"/>
                <w:w w:val="91"/>
              </w:rPr>
            </w:pPr>
            <w:hyperlink w:anchor="page130">
              <w:r>
                <w:rPr>
                  <w:rFonts w:ascii="Arial" w:cs="Arial" w:eastAsia="Arial" w:hAnsi="Arial"/>
                  <w:sz w:val="16"/>
                  <w:szCs w:val="16"/>
                  <w:color w:val="0000EE"/>
                  <w:w w:val="91"/>
                </w:rPr>
                <w:t>Certification Pursuant to 18 U.S.C. Section 1350, as Adopted Pursuant to Section 906 of the Sarbanes-Oxley Act of 2002 signed by David E.</w:t>
              </w:r>
            </w:hyperlink>
          </w:p>
        </w:tc>
        <w:tc>
          <w:tcPr>
            <w:tcW w:w="560" w:type="dxa"/>
            <w:vAlign w:val="bottom"/>
          </w:tcPr>
          <w:p>
            <w:pPr>
              <w:spacing w:after="0"/>
              <w:rPr>
                <w:sz w:val="24"/>
                <w:szCs w:val="24"/>
                <w:color w:val="auto"/>
              </w:rPr>
            </w:pPr>
          </w:p>
        </w:tc>
      </w:tr>
      <w:tr>
        <w:trPr>
          <w:trHeight w:val="173"/>
        </w:trPr>
        <w:tc>
          <w:tcPr>
            <w:tcW w:w="1620" w:type="dxa"/>
            <w:vAlign w:val="bottom"/>
          </w:tcPr>
          <w:p>
            <w:pPr>
              <w:spacing w:after="0"/>
              <w:rPr>
                <w:sz w:val="15"/>
                <w:szCs w:val="15"/>
                <w:color w:val="auto"/>
              </w:rPr>
            </w:pPr>
          </w:p>
        </w:tc>
        <w:tc>
          <w:tcPr>
            <w:tcW w:w="1740" w:type="dxa"/>
            <w:vAlign w:val="bottom"/>
            <w:tcBorders>
              <w:bottom w:val="single" w:sz="8" w:color="0000EE"/>
            </w:tcBorders>
            <w:gridSpan w:val="2"/>
          </w:tcPr>
          <w:p>
            <w:pPr>
              <w:spacing w:after="0" w:line="174" w:lineRule="exact"/>
              <w:rPr>
                <w:rFonts w:ascii="Arial" w:cs="Arial" w:eastAsia="Arial" w:hAnsi="Arial"/>
                <w:sz w:val="16"/>
                <w:szCs w:val="16"/>
                <w:color w:val="0000EE"/>
                <w:w w:val="96"/>
              </w:rPr>
            </w:pPr>
            <w:hyperlink w:anchor="page130">
              <w:r>
                <w:rPr>
                  <w:rFonts w:ascii="Arial" w:cs="Arial" w:eastAsia="Arial" w:hAnsi="Arial"/>
                  <w:sz w:val="16"/>
                  <w:szCs w:val="16"/>
                  <w:color w:val="0000EE"/>
                  <w:w w:val="96"/>
                </w:rPr>
                <w:t>Bullwinkle, filed herewith.</w:t>
              </w:r>
            </w:hyperlink>
          </w:p>
        </w:tc>
        <w:tc>
          <w:tcPr>
            <w:tcW w:w="7920" w:type="dxa"/>
            <w:vAlign w:val="bottom"/>
            <w:gridSpan w:val="7"/>
          </w:tcPr>
          <w:p>
            <w:pPr>
              <w:spacing w:after="0"/>
              <w:rPr>
                <w:sz w:val="15"/>
                <w:szCs w:val="15"/>
                <w:color w:val="auto"/>
              </w:rPr>
            </w:pPr>
          </w:p>
        </w:tc>
      </w:tr>
      <w:tr>
        <w:trPr>
          <w:trHeight w:val="427"/>
        </w:trPr>
        <w:tc>
          <w:tcPr>
            <w:tcW w:w="1620" w:type="dxa"/>
            <w:vAlign w:val="bottom"/>
          </w:tcPr>
          <w:p>
            <w:pPr>
              <w:spacing w:after="0"/>
              <w:rPr>
                <w:sz w:val="20"/>
                <w:szCs w:val="20"/>
                <w:color w:val="auto"/>
              </w:rPr>
            </w:pPr>
            <w:r>
              <w:rPr>
                <w:rFonts w:ascii="Arial" w:cs="Arial" w:eastAsia="Arial" w:hAnsi="Arial"/>
                <w:sz w:val="16"/>
                <w:szCs w:val="16"/>
                <w:color w:val="auto"/>
              </w:rPr>
              <w:t>(101.CAL)</w:t>
            </w:r>
          </w:p>
        </w:tc>
        <w:tc>
          <w:tcPr>
            <w:tcW w:w="9660" w:type="dxa"/>
            <w:vAlign w:val="bottom"/>
            <w:gridSpan w:val="9"/>
          </w:tcPr>
          <w:p>
            <w:pPr>
              <w:spacing w:after="0"/>
              <w:rPr>
                <w:sz w:val="20"/>
                <w:szCs w:val="20"/>
                <w:color w:val="auto"/>
              </w:rPr>
            </w:pPr>
            <w:r>
              <w:rPr>
                <w:rFonts w:ascii="Arial" w:cs="Arial" w:eastAsia="Arial" w:hAnsi="Arial"/>
                <w:sz w:val="16"/>
                <w:szCs w:val="16"/>
                <w:color w:val="auto"/>
              </w:rPr>
              <w:t>XBRL Taxonomy Extension Calculation Linkbase.</w:t>
            </w:r>
          </w:p>
        </w:tc>
      </w:tr>
      <w:tr>
        <w:trPr>
          <w:trHeight w:val="435"/>
        </w:trPr>
        <w:tc>
          <w:tcPr>
            <w:tcW w:w="1620" w:type="dxa"/>
            <w:vAlign w:val="bottom"/>
          </w:tcPr>
          <w:p>
            <w:pPr>
              <w:spacing w:after="0"/>
              <w:rPr>
                <w:sz w:val="20"/>
                <w:szCs w:val="20"/>
                <w:color w:val="auto"/>
              </w:rPr>
            </w:pPr>
            <w:r>
              <w:rPr>
                <w:rFonts w:ascii="Arial" w:cs="Arial" w:eastAsia="Arial" w:hAnsi="Arial"/>
                <w:sz w:val="16"/>
                <w:szCs w:val="16"/>
                <w:color w:val="auto"/>
              </w:rPr>
              <w:t>(101.INS)</w:t>
            </w:r>
          </w:p>
        </w:tc>
        <w:tc>
          <w:tcPr>
            <w:tcW w:w="9660" w:type="dxa"/>
            <w:vAlign w:val="bottom"/>
            <w:gridSpan w:val="9"/>
          </w:tcPr>
          <w:p>
            <w:pPr>
              <w:spacing w:after="0"/>
              <w:rPr>
                <w:sz w:val="20"/>
                <w:szCs w:val="20"/>
                <w:color w:val="auto"/>
              </w:rPr>
            </w:pPr>
            <w:r>
              <w:rPr>
                <w:rFonts w:ascii="Arial" w:cs="Arial" w:eastAsia="Arial" w:hAnsi="Arial"/>
                <w:sz w:val="16"/>
                <w:szCs w:val="16"/>
                <w:color w:val="auto"/>
              </w:rPr>
              <w:t>XBRL Instance Document.</w:t>
            </w:r>
          </w:p>
        </w:tc>
      </w:tr>
      <w:tr>
        <w:trPr>
          <w:trHeight w:val="435"/>
        </w:trPr>
        <w:tc>
          <w:tcPr>
            <w:tcW w:w="1620" w:type="dxa"/>
            <w:vAlign w:val="bottom"/>
          </w:tcPr>
          <w:p>
            <w:pPr>
              <w:spacing w:after="0"/>
              <w:rPr>
                <w:sz w:val="20"/>
                <w:szCs w:val="20"/>
                <w:color w:val="auto"/>
              </w:rPr>
            </w:pPr>
            <w:r>
              <w:rPr>
                <w:rFonts w:ascii="Arial" w:cs="Arial" w:eastAsia="Arial" w:hAnsi="Arial"/>
                <w:sz w:val="16"/>
                <w:szCs w:val="16"/>
                <w:color w:val="auto"/>
              </w:rPr>
              <w:t>(101.LAB)</w:t>
            </w:r>
          </w:p>
        </w:tc>
        <w:tc>
          <w:tcPr>
            <w:tcW w:w="9660" w:type="dxa"/>
            <w:vAlign w:val="bottom"/>
            <w:gridSpan w:val="9"/>
          </w:tcPr>
          <w:p>
            <w:pPr>
              <w:spacing w:after="0"/>
              <w:rPr>
                <w:sz w:val="20"/>
                <w:szCs w:val="20"/>
                <w:color w:val="auto"/>
              </w:rPr>
            </w:pPr>
            <w:r>
              <w:rPr>
                <w:rFonts w:ascii="Arial" w:cs="Arial" w:eastAsia="Arial" w:hAnsi="Arial"/>
                <w:sz w:val="16"/>
                <w:szCs w:val="16"/>
                <w:color w:val="auto"/>
              </w:rPr>
              <w:t>XBRL Taxonomy Extension Label Linkbase.</w:t>
            </w:r>
          </w:p>
        </w:tc>
      </w:tr>
      <w:tr>
        <w:trPr>
          <w:trHeight w:val="435"/>
        </w:trPr>
        <w:tc>
          <w:tcPr>
            <w:tcW w:w="1620" w:type="dxa"/>
            <w:vAlign w:val="bottom"/>
          </w:tcPr>
          <w:p>
            <w:pPr>
              <w:spacing w:after="0"/>
              <w:rPr>
                <w:sz w:val="20"/>
                <w:szCs w:val="20"/>
                <w:color w:val="auto"/>
              </w:rPr>
            </w:pPr>
            <w:r>
              <w:rPr>
                <w:rFonts w:ascii="Arial" w:cs="Arial" w:eastAsia="Arial" w:hAnsi="Arial"/>
                <w:sz w:val="16"/>
                <w:szCs w:val="16"/>
                <w:color w:val="auto"/>
              </w:rPr>
              <w:t>(101.PRE)</w:t>
            </w:r>
          </w:p>
        </w:tc>
        <w:tc>
          <w:tcPr>
            <w:tcW w:w="9660" w:type="dxa"/>
            <w:vAlign w:val="bottom"/>
            <w:gridSpan w:val="9"/>
          </w:tcPr>
          <w:p>
            <w:pPr>
              <w:spacing w:after="0"/>
              <w:rPr>
                <w:sz w:val="20"/>
                <w:szCs w:val="20"/>
                <w:color w:val="auto"/>
              </w:rPr>
            </w:pPr>
            <w:r>
              <w:rPr>
                <w:rFonts w:ascii="Arial" w:cs="Arial" w:eastAsia="Arial" w:hAnsi="Arial"/>
                <w:sz w:val="16"/>
                <w:szCs w:val="16"/>
                <w:color w:val="auto"/>
              </w:rPr>
              <w:t>XBRL Taxonomy Extension Presentation Linkbase.</w:t>
            </w:r>
          </w:p>
        </w:tc>
      </w:tr>
      <w:tr>
        <w:trPr>
          <w:trHeight w:val="435"/>
        </w:trPr>
        <w:tc>
          <w:tcPr>
            <w:tcW w:w="1620" w:type="dxa"/>
            <w:vAlign w:val="bottom"/>
          </w:tcPr>
          <w:p>
            <w:pPr>
              <w:spacing w:after="0"/>
              <w:rPr>
                <w:sz w:val="20"/>
                <w:szCs w:val="20"/>
                <w:color w:val="auto"/>
              </w:rPr>
            </w:pPr>
            <w:r>
              <w:rPr>
                <w:rFonts w:ascii="Arial" w:cs="Arial" w:eastAsia="Arial" w:hAnsi="Arial"/>
                <w:sz w:val="16"/>
                <w:szCs w:val="16"/>
                <w:color w:val="auto"/>
              </w:rPr>
              <w:t>(101.SCH)</w:t>
            </w:r>
          </w:p>
        </w:tc>
        <w:tc>
          <w:tcPr>
            <w:tcW w:w="9660" w:type="dxa"/>
            <w:vAlign w:val="bottom"/>
            <w:gridSpan w:val="9"/>
          </w:tcPr>
          <w:p>
            <w:pPr>
              <w:spacing w:after="0"/>
              <w:rPr>
                <w:sz w:val="20"/>
                <w:szCs w:val="20"/>
                <w:color w:val="auto"/>
              </w:rPr>
            </w:pPr>
            <w:r>
              <w:rPr>
                <w:rFonts w:ascii="Arial" w:cs="Arial" w:eastAsia="Arial" w:hAnsi="Arial"/>
                <w:sz w:val="16"/>
                <w:szCs w:val="16"/>
                <w:color w:val="auto"/>
              </w:rPr>
              <w:t>XBRL Taxonomy Extension Scheme Linkbase.</w:t>
            </w:r>
          </w:p>
        </w:tc>
      </w:tr>
      <w:tr>
        <w:trPr>
          <w:trHeight w:val="435"/>
        </w:trPr>
        <w:tc>
          <w:tcPr>
            <w:tcW w:w="1620" w:type="dxa"/>
            <w:vAlign w:val="bottom"/>
          </w:tcPr>
          <w:p>
            <w:pPr>
              <w:spacing w:after="0"/>
              <w:rPr>
                <w:sz w:val="20"/>
                <w:szCs w:val="20"/>
                <w:color w:val="auto"/>
              </w:rPr>
            </w:pPr>
            <w:r>
              <w:rPr>
                <w:rFonts w:ascii="Arial" w:cs="Arial" w:eastAsia="Arial" w:hAnsi="Arial"/>
                <w:sz w:val="16"/>
                <w:szCs w:val="16"/>
                <w:color w:val="auto"/>
              </w:rPr>
              <w:t>(101.DEF)</w:t>
            </w:r>
          </w:p>
        </w:tc>
        <w:tc>
          <w:tcPr>
            <w:tcW w:w="9660" w:type="dxa"/>
            <w:vAlign w:val="bottom"/>
            <w:gridSpan w:val="9"/>
          </w:tcPr>
          <w:p>
            <w:pPr>
              <w:spacing w:after="0"/>
              <w:rPr>
                <w:sz w:val="20"/>
                <w:szCs w:val="20"/>
                <w:color w:val="auto"/>
              </w:rPr>
            </w:pPr>
            <w:r>
              <w:rPr>
                <w:rFonts w:ascii="Arial" w:cs="Arial" w:eastAsia="Arial" w:hAnsi="Arial"/>
                <w:sz w:val="16"/>
                <w:szCs w:val="16"/>
                <w:color w:val="auto"/>
              </w:rPr>
              <w:t>XBRL Taxonomy Extension Definition Linkbase.</w:t>
            </w:r>
          </w:p>
        </w:tc>
      </w:tr>
    </w:tbl>
    <w:p>
      <w:pPr>
        <w:spacing w:after="0" w:line="230" w:lineRule="exact"/>
        <w:rPr>
          <w:sz w:val="20"/>
          <w:szCs w:val="20"/>
          <w:color w:val="auto"/>
        </w:rPr>
      </w:pPr>
    </w:p>
    <w:p>
      <w:pPr>
        <w:ind w:left="3"/>
        <w:spacing w:after="0"/>
        <w:rPr>
          <w:sz w:val="20"/>
          <w:szCs w:val="20"/>
          <w:color w:val="auto"/>
        </w:rPr>
      </w:pPr>
      <w:r>
        <w:rPr>
          <w:rFonts w:ascii="Arial" w:cs="Arial" w:eastAsia="Arial" w:hAnsi="Arial"/>
          <w:sz w:val="16"/>
          <w:szCs w:val="16"/>
          <w:color w:val="auto"/>
        </w:rPr>
        <w:t>* Management contract or compensatory plan or arrangement.</w:t>
      </w:r>
    </w:p>
    <w:p>
      <w:pPr>
        <w:spacing w:after="0" w:line="106" w:lineRule="exact"/>
        <w:rPr>
          <w:sz w:val="20"/>
          <w:szCs w:val="20"/>
          <w:color w:val="auto"/>
        </w:rPr>
      </w:pPr>
    </w:p>
    <w:p>
      <w:pPr>
        <w:ind w:left="3" w:hanging="3"/>
        <w:spacing w:after="0" w:line="280" w:lineRule="auto"/>
        <w:tabs>
          <w:tab w:leader="none" w:pos="131" w:val="left"/>
        </w:tabs>
        <w:numPr>
          <w:ilvl w:val="0"/>
          <w:numId w:val="46"/>
        </w:numPr>
        <w:rPr>
          <w:rFonts w:ascii="Arial" w:cs="Arial" w:eastAsia="Arial" w:hAnsi="Arial"/>
          <w:sz w:val="16"/>
          <w:szCs w:val="16"/>
          <w:color w:val="auto"/>
        </w:rPr>
      </w:pPr>
      <w:r>
        <w:rPr>
          <w:rFonts w:ascii="Arial" w:cs="Arial" w:eastAsia="Arial" w:hAnsi="Arial"/>
          <w:sz w:val="16"/>
          <w:szCs w:val="16"/>
          <w:color w:val="auto"/>
        </w:rPr>
        <w:t>Eastman Kodak Company was granted confidential treatment for certain information contained in this exhibit. Such information was filed separately with the Securities and Exchange Commission pursuant to an application for confidential treatment under 17 C.F.R. §§ 200.80(b)(4) and 240.24b-2.</w:t>
      </w:r>
    </w:p>
    <w:p>
      <w:pPr>
        <w:spacing w:after="0" w:line="368"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62865</wp:posOffset>
            </wp:positionV>
            <wp:extent cx="7301865" cy="406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91">
                      <a:extLst>
                        <a:ext uri="{28A0092B-C50C-407E-A947-70E740481C1C}"/>
                      </a:extLst>
                    </a:blip>
                    <a:srcRect/>
                    <a:stretch>
                      <a:fillRect/>
                    </a:stretch>
                  </pic:blipFill>
                  <pic:spPr bwMode="auto">
                    <a:xfrm>
                      <a:off x="0" y="0"/>
                      <a:ext cx="7301865" cy="40640"/>
                    </a:xfrm>
                    <a:prstGeom prst="rect">
                      <a:avLst/>
                    </a:prstGeom>
                    <a:noFill/>
                  </pic:spPr>
                </pic:pic>
              </a:graphicData>
            </a:graphic>
          </wp:anchor>
        </w:drawing>
      </w:r>
    </w:p>
    <w:p>
      <w:pPr>
        <w:sectPr>
          <w:pgSz w:w="11900" w:h="16838" w:orient="portrait"/>
          <w:cols w:equalWidth="0" w:num="1">
            <w:col w:w="11423"/>
          </w:cols>
          <w:pgMar w:left="237" w:top="330" w:right="239" w:bottom="1440" w:gutter="0" w:footer="0" w:header="0"/>
        </w:sectPr>
      </w:pPr>
    </w:p>
    <w:bookmarkStart w:id="110" w:name="page111"/>
    <w:bookmarkEnd w:id="110"/>
    <w:p>
      <w:pPr>
        <w:jc w:val="center"/>
        <w:ind w:right="-79"/>
        <w:spacing w:after="0"/>
        <w:rPr>
          <w:sz w:val="20"/>
          <w:szCs w:val="20"/>
          <w:color w:val="auto"/>
        </w:rPr>
      </w:pPr>
      <w:r>
        <w:rPr>
          <w:rFonts w:ascii="Arial" w:cs="Arial" w:eastAsia="Arial" w:hAnsi="Arial"/>
          <w:sz w:val="16"/>
          <w:szCs w:val="16"/>
          <w:b w:val="1"/>
          <w:bCs w:val="1"/>
          <w:color w:val="auto"/>
        </w:rPr>
        <w:t>SIGNATURES</w:t>
      </w:r>
    </w:p>
    <w:p>
      <w:pPr>
        <w:spacing w:after="0" w:line="207" w:lineRule="exact"/>
        <w:rPr>
          <w:sz w:val="20"/>
          <w:szCs w:val="20"/>
          <w:color w:val="auto"/>
        </w:rPr>
      </w:pPr>
    </w:p>
    <w:p>
      <w:pPr>
        <w:ind w:right="680"/>
        <w:spacing w:after="0" w:line="280" w:lineRule="auto"/>
        <w:rPr>
          <w:sz w:val="20"/>
          <w:szCs w:val="20"/>
          <w:color w:val="auto"/>
        </w:rPr>
      </w:pPr>
      <w:r>
        <w:rPr>
          <w:rFonts w:ascii="Arial" w:cs="Arial" w:eastAsia="Arial" w:hAnsi="Arial"/>
          <w:sz w:val="16"/>
          <w:szCs w:val="16"/>
          <w:color w:val="auto"/>
        </w:rPr>
        <w:t>Pursuant to the requirements of Section 13 or 15(d) of the Securities Exchange Act of 1934, the registrant has duly caused this report to be signed on its behalf by the undersigned, thereunto duly authorized.</w:t>
      </w:r>
    </w:p>
    <w:p>
      <w:pPr>
        <w:spacing w:after="0" w:line="195" w:lineRule="exact"/>
        <w:rPr>
          <w:sz w:val="20"/>
          <w:szCs w:val="20"/>
          <w:color w:val="auto"/>
        </w:rPr>
      </w:pPr>
    </w:p>
    <w:p>
      <w:pPr>
        <w:ind w:left="420"/>
        <w:spacing w:after="0"/>
        <w:rPr>
          <w:sz w:val="20"/>
          <w:szCs w:val="20"/>
          <w:color w:val="auto"/>
        </w:rPr>
      </w:pPr>
      <w:r>
        <w:rPr>
          <w:rFonts w:ascii="Arial" w:cs="Arial" w:eastAsia="Arial" w:hAnsi="Arial"/>
          <w:sz w:val="16"/>
          <w:szCs w:val="16"/>
          <w:b w:val="1"/>
          <w:bCs w:val="1"/>
          <w:color w:val="auto"/>
        </w:rPr>
        <w:t>EASTMAN KODAK COMPANY</w:t>
      </w:r>
    </w:p>
    <w:p>
      <w:pPr>
        <w:spacing w:after="0" w:line="38" w:lineRule="exact"/>
        <w:rPr>
          <w:sz w:val="20"/>
          <w:szCs w:val="20"/>
          <w:color w:val="auto"/>
        </w:rPr>
      </w:pPr>
    </w:p>
    <w:p>
      <w:pPr>
        <w:ind w:left="420"/>
        <w:spacing w:after="0"/>
        <w:rPr>
          <w:sz w:val="20"/>
          <w:szCs w:val="20"/>
          <w:color w:val="auto"/>
        </w:rPr>
      </w:pPr>
      <w:r>
        <w:rPr>
          <w:rFonts w:ascii="Arial" w:cs="Arial" w:eastAsia="Arial" w:hAnsi="Arial"/>
          <w:sz w:val="16"/>
          <w:szCs w:val="16"/>
          <w:color w:val="auto"/>
        </w:rPr>
        <w:t>(Registrant)</w:t>
      </w:r>
    </w:p>
    <w:p>
      <w:pPr>
        <w:spacing w:after="0" w:line="227" w:lineRule="exact"/>
        <w:rPr>
          <w:sz w:val="20"/>
          <w:szCs w:val="20"/>
          <w:color w:val="auto"/>
        </w:rPr>
      </w:pPr>
    </w:p>
    <w:p>
      <w:pPr>
        <w:spacing w:after="0"/>
        <w:tabs>
          <w:tab w:leader="none" w:pos="400" w:val="left"/>
        </w:tabs>
        <w:rPr>
          <w:sz w:val="20"/>
          <w:szCs w:val="20"/>
          <w:color w:val="auto"/>
        </w:rPr>
      </w:pPr>
      <w:r>
        <w:rPr>
          <w:rFonts w:ascii="Arial" w:cs="Arial" w:eastAsia="Arial" w:hAnsi="Arial"/>
          <w:sz w:val="16"/>
          <w:szCs w:val="16"/>
          <w:color w:val="auto"/>
        </w:rPr>
        <w:t>By:</w:t>
        <w:tab/>
        <w:t>/s/ Jeffrey J. Clarke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266700</wp:posOffset>
            </wp:positionH>
            <wp:positionV relativeFrom="paragraph">
              <wp:posOffset>13970</wp:posOffset>
            </wp:positionV>
            <wp:extent cx="2993390" cy="762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2">
                      <a:extLst>
                        <a:ext uri="{28A0092B-C50C-407E-A947-70E740481C1C}"/>
                      </a:extLst>
                    </a:blip>
                    <a:srcRect/>
                    <a:stretch>
                      <a:fillRect/>
                    </a:stretch>
                  </pic:blipFill>
                  <pic:spPr bwMode="auto">
                    <a:xfrm>
                      <a:off x="0" y="0"/>
                      <a:ext cx="2993390" cy="7620"/>
                    </a:xfrm>
                    <a:prstGeom prst="rect">
                      <a:avLst/>
                    </a:prstGeom>
                    <a:noFill/>
                  </pic:spPr>
                </pic:pic>
              </a:graphicData>
            </a:graphic>
          </wp:anchor>
        </w:drawing>
      </w:r>
    </w:p>
    <w:p>
      <w:pPr>
        <w:spacing w:after="0" w:line="2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Jeffrey J. Clarke</w:t>
      </w:r>
    </w:p>
    <w:p>
      <w:pPr>
        <w:spacing w:after="0" w:line="34" w:lineRule="exact"/>
        <w:rPr>
          <w:sz w:val="20"/>
          <w:szCs w:val="20"/>
          <w:color w:val="auto"/>
        </w:rPr>
      </w:pPr>
    </w:p>
    <w:p>
      <w:pPr>
        <w:ind w:left="420"/>
        <w:spacing w:after="0"/>
        <w:rPr>
          <w:sz w:val="20"/>
          <w:szCs w:val="20"/>
          <w:color w:val="auto"/>
        </w:rPr>
      </w:pPr>
      <w:r>
        <w:rPr>
          <w:rFonts w:ascii="Arial" w:cs="Arial" w:eastAsia="Arial" w:hAnsi="Arial"/>
          <w:sz w:val="16"/>
          <w:szCs w:val="16"/>
          <w:color w:val="auto"/>
        </w:rPr>
        <w:t>Chief Executive Officer</w:t>
      </w:r>
    </w:p>
    <w:p>
      <w:pPr>
        <w:spacing w:after="0" w:line="34" w:lineRule="exact"/>
        <w:rPr>
          <w:sz w:val="20"/>
          <w:szCs w:val="20"/>
          <w:color w:val="auto"/>
        </w:rPr>
      </w:pPr>
    </w:p>
    <w:p>
      <w:pPr>
        <w:ind w:left="420"/>
        <w:spacing w:after="0"/>
        <w:rPr>
          <w:sz w:val="20"/>
          <w:szCs w:val="20"/>
          <w:color w:val="auto"/>
        </w:rPr>
      </w:pPr>
      <w:r>
        <w:rPr>
          <w:rFonts w:ascii="Arial" w:cs="Arial" w:eastAsia="Arial" w:hAnsi="Arial"/>
          <w:sz w:val="16"/>
          <w:szCs w:val="16"/>
          <w:color w:val="auto"/>
        </w:rPr>
        <w:t>March 15, 2018</w:t>
      </w:r>
    </w:p>
    <w:p>
      <w:pPr>
        <w:spacing w:after="0" w:line="203" w:lineRule="exact"/>
        <w:rPr>
          <w:sz w:val="20"/>
          <w:szCs w:val="20"/>
          <w:color w:val="auto"/>
        </w:rPr>
      </w:pPr>
    </w:p>
    <w:p>
      <w:pPr>
        <w:spacing w:after="0" w:line="280" w:lineRule="auto"/>
        <w:rPr>
          <w:sz w:val="20"/>
          <w:szCs w:val="20"/>
          <w:color w:val="auto"/>
        </w:rPr>
      </w:pPr>
      <w:r>
        <w:rPr>
          <w:rFonts w:ascii="Arial" w:cs="Arial" w:eastAsia="Arial" w:hAnsi="Arial"/>
          <w:sz w:val="16"/>
          <w:szCs w:val="16"/>
          <w:color w:val="auto"/>
        </w:rPr>
        <w:t>Pursuant to the requirements of the Securities Exchange Act of 1934, this report has been signed below by the following persons on behalf of the registrant and in the capacities and on the date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40" w:type="dxa"/>
            <w:vAlign w:val="bottom"/>
          </w:tcPr>
          <w:p>
            <w:pPr>
              <w:spacing w:after="0"/>
              <w:rPr>
                <w:sz w:val="17"/>
                <w:szCs w:val="17"/>
                <w:color w:val="auto"/>
              </w:rPr>
            </w:pPr>
          </w:p>
        </w:tc>
        <w:tc>
          <w:tcPr>
            <w:tcW w:w="5620" w:type="dxa"/>
            <w:vAlign w:val="bottom"/>
          </w:tcPr>
          <w:p>
            <w:pPr>
              <w:ind w:left="580"/>
              <w:spacing w:after="0"/>
              <w:rPr>
                <w:sz w:val="20"/>
                <w:szCs w:val="20"/>
                <w:color w:val="auto"/>
              </w:rPr>
            </w:pPr>
            <w:r>
              <w:rPr>
                <w:rFonts w:ascii="Arial" w:cs="Arial" w:eastAsia="Arial" w:hAnsi="Arial"/>
                <w:sz w:val="15"/>
                <w:szCs w:val="15"/>
                <w:b w:val="1"/>
                <w:bCs w:val="1"/>
                <w:color w:val="auto"/>
              </w:rPr>
              <w:t>Signature</w:t>
            </w:r>
          </w:p>
        </w:tc>
        <w:tc>
          <w:tcPr>
            <w:tcW w:w="3600" w:type="dxa"/>
            <w:vAlign w:val="bottom"/>
          </w:tcPr>
          <w:p>
            <w:pPr>
              <w:ind w:left="300"/>
              <w:spacing w:after="0"/>
              <w:rPr>
                <w:sz w:val="20"/>
                <w:szCs w:val="20"/>
                <w:color w:val="auto"/>
              </w:rPr>
            </w:pPr>
            <w:r>
              <w:rPr>
                <w:rFonts w:ascii="Arial" w:cs="Arial" w:eastAsia="Arial" w:hAnsi="Arial"/>
                <w:sz w:val="15"/>
                <w:szCs w:val="15"/>
                <w:b w:val="1"/>
                <w:bCs w:val="1"/>
                <w:color w:val="auto"/>
              </w:rPr>
              <w:t>Title</w:t>
            </w:r>
          </w:p>
        </w:tc>
      </w:tr>
      <w:tr>
        <w:trPr>
          <w:trHeight w:val="329"/>
        </w:trPr>
        <w:tc>
          <w:tcPr>
            <w:tcW w:w="440" w:type="dxa"/>
            <w:vAlign w:val="bottom"/>
          </w:tcPr>
          <w:p>
            <w:pPr>
              <w:spacing w:after="0"/>
              <w:rPr>
                <w:sz w:val="20"/>
                <w:szCs w:val="20"/>
                <w:color w:val="auto"/>
              </w:rPr>
            </w:pPr>
            <w:r>
              <w:rPr>
                <w:rFonts w:ascii="Arial" w:cs="Arial" w:eastAsia="Arial" w:hAnsi="Arial"/>
                <w:sz w:val="16"/>
                <w:szCs w:val="16"/>
                <w:color w:val="auto"/>
              </w:rPr>
              <w:t>By:</w:t>
            </w:r>
          </w:p>
        </w:tc>
        <w:tc>
          <w:tcPr>
            <w:tcW w:w="5620" w:type="dxa"/>
            <w:vAlign w:val="bottom"/>
            <w:tcBorders>
              <w:bottom w:val="single" w:sz="8" w:color="auto"/>
            </w:tcBorders>
          </w:tcPr>
          <w:p>
            <w:pPr>
              <w:ind w:left="580"/>
              <w:spacing w:after="0"/>
              <w:rPr>
                <w:sz w:val="20"/>
                <w:szCs w:val="20"/>
                <w:color w:val="auto"/>
              </w:rPr>
            </w:pPr>
            <w:r>
              <w:rPr>
                <w:rFonts w:ascii="Arial" w:cs="Arial" w:eastAsia="Arial" w:hAnsi="Arial"/>
                <w:sz w:val="16"/>
                <w:szCs w:val="16"/>
                <w:color w:val="auto"/>
              </w:rPr>
              <w:t>/s/ Jeffrey J. Clarke</w:t>
            </w:r>
          </w:p>
        </w:tc>
        <w:tc>
          <w:tcPr>
            <w:tcW w:w="3600" w:type="dxa"/>
            <w:vAlign w:val="bottom"/>
          </w:tcPr>
          <w:p>
            <w:pPr>
              <w:ind w:left="300"/>
              <w:spacing w:after="0"/>
              <w:rPr>
                <w:sz w:val="20"/>
                <w:szCs w:val="20"/>
                <w:color w:val="auto"/>
              </w:rPr>
            </w:pPr>
            <w:r>
              <w:rPr>
                <w:rFonts w:ascii="Arial" w:cs="Arial" w:eastAsia="Arial" w:hAnsi="Arial"/>
                <w:sz w:val="16"/>
                <w:szCs w:val="16"/>
                <w:color w:val="auto"/>
              </w:rPr>
              <w:t>Chief Executive Officer and Director</w:t>
            </w:r>
          </w:p>
        </w:tc>
      </w:tr>
      <w:tr>
        <w:trPr>
          <w:trHeight w:val="209"/>
        </w:trPr>
        <w:tc>
          <w:tcPr>
            <w:tcW w:w="440" w:type="dxa"/>
            <w:vAlign w:val="bottom"/>
          </w:tcPr>
          <w:p>
            <w:pPr>
              <w:spacing w:after="0"/>
              <w:rPr>
                <w:sz w:val="18"/>
                <w:szCs w:val="18"/>
                <w:color w:val="auto"/>
              </w:rPr>
            </w:pPr>
          </w:p>
        </w:tc>
        <w:tc>
          <w:tcPr>
            <w:tcW w:w="5620" w:type="dxa"/>
            <w:vAlign w:val="bottom"/>
          </w:tcPr>
          <w:p>
            <w:pPr>
              <w:ind w:left="580"/>
              <w:spacing w:after="0"/>
              <w:rPr>
                <w:sz w:val="20"/>
                <w:szCs w:val="20"/>
                <w:color w:val="auto"/>
              </w:rPr>
            </w:pPr>
            <w:r>
              <w:rPr>
                <w:rFonts w:ascii="Arial" w:cs="Arial" w:eastAsia="Arial" w:hAnsi="Arial"/>
                <w:sz w:val="16"/>
                <w:szCs w:val="16"/>
                <w:color w:val="auto"/>
              </w:rPr>
              <w:t>Jeffrey J. Clarke</w:t>
            </w:r>
          </w:p>
        </w:tc>
        <w:tc>
          <w:tcPr>
            <w:tcW w:w="3600" w:type="dxa"/>
            <w:vAlign w:val="bottom"/>
          </w:tcPr>
          <w:p>
            <w:pPr>
              <w:ind w:left="520"/>
              <w:spacing w:after="0"/>
              <w:rPr>
                <w:sz w:val="20"/>
                <w:szCs w:val="20"/>
                <w:color w:val="auto"/>
              </w:rPr>
            </w:pPr>
            <w:r>
              <w:rPr>
                <w:rFonts w:ascii="Arial" w:cs="Arial" w:eastAsia="Arial" w:hAnsi="Arial"/>
                <w:sz w:val="16"/>
                <w:szCs w:val="16"/>
                <w:color w:val="auto"/>
              </w:rPr>
              <w:t>(Principal Executive Officer)</w:t>
            </w:r>
          </w:p>
        </w:tc>
      </w:tr>
      <w:tr>
        <w:trPr>
          <w:trHeight w:val="327"/>
        </w:trPr>
        <w:tc>
          <w:tcPr>
            <w:tcW w:w="440" w:type="dxa"/>
            <w:vAlign w:val="bottom"/>
          </w:tcPr>
          <w:p>
            <w:pPr>
              <w:spacing w:after="0"/>
              <w:rPr>
                <w:sz w:val="20"/>
                <w:szCs w:val="20"/>
                <w:color w:val="auto"/>
              </w:rPr>
            </w:pPr>
            <w:r>
              <w:rPr>
                <w:rFonts w:ascii="Arial" w:cs="Arial" w:eastAsia="Arial" w:hAnsi="Arial"/>
                <w:sz w:val="16"/>
                <w:szCs w:val="16"/>
                <w:color w:val="auto"/>
              </w:rPr>
              <w:t>By:</w:t>
            </w:r>
          </w:p>
        </w:tc>
        <w:tc>
          <w:tcPr>
            <w:tcW w:w="5620" w:type="dxa"/>
            <w:vAlign w:val="bottom"/>
            <w:tcBorders>
              <w:bottom w:val="single" w:sz="8" w:color="auto"/>
            </w:tcBorders>
          </w:tcPr>
          <w:p>
            <w:pPr>
              <w:ind w:left="580"/>
              <w:spacing w:after="0"/>
              <w:rPr>
                <w:sz w:val="20"/>
                <w:szCs w:val="20"/>
                <w:color w:val="auto"/>
              </w:rPr>
            </w:pPr>
            <w:r>
              <w:rPr>
                <w:rFonts w:ascii="Arial" w:cs="Arial" w:eastAsia="Arial" w:hAnsi="Arial"/>
                <w:sz w:val="16"/>
                <w:szCs w:val="16"/>
                <w:color w:val="auto"/>
              </w:rPr>
              <w:t>/s/ David E. Bullwinkle</w:t>
            </w:r>
          </w:p>
        </w:tc>
        <w:tc>
          <w:tcPr>
            <w:tcW w:w="3600" w:type="dxa"/>
            <w:vAlign w:val="bottom"/>
          </w:tcPr>
          <w:p>
            <w:pPr>
              <w:ind w:left="300"/>
              <w:spacing w:after="0"/>
              <w:rPr>
                <w:sz w:val="20"/>
                <w:szCs w:val="20"/>
                <w:color w:val="auto"/>
              </w:rPr>
            </w:pPr>
            <w:r>
              <w:rPr>
                <w:rFonts w:ascii="Arial" w:cs="Arial" w:eastAsia="Arial" w:hAnsi="Arial"/>
                <w:sz w:val="16"/>
                <w:szCs w:val="16"/>
                <w:color w:val="auto"/>
              </w:rPr>
              <w:t>Chief Financial Officer</w:t>
            </w:r>
          </w:p>
        </w:tc>
      </w:tr>
      <w:tr>
        <w:trPr>
          <w:trHeight w:val="209"/>
        </w:trPr>
        <w:tc>
          <w:tcPr>
            <w:tcW w:w="440" w:type="dxa"/>
            <w:vAlign w:val="bottom"/>
          </w:tcPr>
          <w:p>
            <w:pPr>
              <w:spacing w:after="0"/>
              <w:rPr>
                <w:sz w:val="18"/>
                <w:szCs w:val="18"/>
                <w:color w:val="auto"/>
              </w:rPr>
            </w:pPr>
          </w:p>
        </w:tc>
        <w:tc>
          <w:tcPr>
            <w:tcW w:w="5620" w:type="dxa"/>
            <w:vAlign w:val="bottom"/>
          </w:tcPr>
          <w:p>
            <w:pPr>
              <w:ind w:left="580"/>
              <w:spacing w:after="0"/>
              <w:rPr>
                <w:sz w:val="20"/>
                <w:szCs w:val="20"/>
                <w:color w:val="auto"/>
              </w:rPr>
            </w:pPr>
            <w:r>
              <w:rPr>
                <w:rFonts w:ascii="Arial" w:cs="Arial" w:eastAsia="Arial" w:hAnsi="Arial"/>
                <w:sz w:val="16"/>
                <w:szCs w:val="16"/>
                <w:color w:val="auto"/>
              </w:rPr>
              <w:t>David E. Bullwinkle</w:t>
            </w:r>
          </w:p>
        </w:tc>
        <w:tc>
          <w:tcPr>
            <w:tcW w:w="3600" w:type="dxa"/>
            <w:vAlign w:val="bottom"/>
          </w:tcPr>
          <w:p>
            <w:pPr>
              <w:ind w:left="540"/>
              <w:spacing w:after="0"/>
              <w:rPr>
                <w:sz w:val="20"/>
                <w:szCs w:val="20"/>
                <w:color w:val="auto"/>
              </w:rPr>
            </w:pPr>
            <w:r>
              <w:rPr>
                <w:rFonts w:ascii="Arial" w:cs="Arial" w:eastAsia="Arial" w:hAnsi="Arial"/>
                <w:sz w:val="16"/>
                <w:szCs w:val="16"/>
                <w:color w:val="auto"/>
              </w:rPr>
              <w:t>(Principal Financial Officer)</w:t>
            </w:r>
          </w:p>
        </w:tc>
      </w:tr>
      <w:tr>
        <w:trPr>
          <w:trHeight w:val="327"/>
        </w:trPr>
        <w:tc>
          <w:tcPr>
            <w:tcW w:w="440" w:type="dxa"/>
            <w:vAlign w:val="bottom"/>
          </w:tcPr>
          <w:p>
            <w:pPr>
              <w:spacing w:after="0"/>
              <w:rPr>
                <w:sz w:val="20"/>
                <w:szCs w:val="20"/>
                <w:color w:val="auto"/>
              </w:rPr>
            </w:pPr>
            <w:r>
              <w:rPr>
                <w:rFonts w:ascii="Arial" w:cs="Arial" w:eastAsia="Arial" w:hAnsi="Arial"/>
                <w:sz w:val="16"/>
                <w:szCs w:val="16"/>
                <w:color w:val="auto"/>
              </w:rPr>
              <w:t>By:</w:t>
            </w:r>
          </w:p>
        </w:tc>
        <w:tc>
          <w:tcPr>
            <w:tcW w:w="5620" w:type="dxa"/>
            <w:vAlign w:val="bottom"/>
            <w:tcBorders>
              <w:bottom w:val="single" w:sz="8" w:color="auto"/>
            </w:tcBorders>
          </w:tcPr>
          <w:p>
            <w:pPr>
              <w:ind w:left="580"/>
              <w:spacing w:after="0"/>
              <w:rPr>
                <w:sz w:val="20"/>
                <w:szCs w:val="20"/>
                <w:color w:val="auto"/>
              </w:rPr>
            </w:pPr>
            <w:r>
              <w:rPr>
                <w:rFonts w:ascii="Arial" w:cs="Arial" w:eastAsia="Arial" w:hAnsi="Arial"/>
                <w:sz w:val="16"/>
                <w:szCs w:val="16"/>
                <w:color w:val="auto"/>
              </w:rPr>
              <w:t>/s/ Eric H. Samuels</w:t>
            </w:r>
          </w:p>
        </w:tc>
        <w:tc>
          <w:tcPr>
            <w:tcW w:w="3600" w:type="dxa"/>
            <w:vAlign w:val="bottom"/>
          </w:tcPr>
          <w:p>
            <w:pPr>
              <w:ind w:left="300"/>
              <w:spacing w:after="0"/>
              <w:rPr>
                <w:sz w:val="20"/>
                <w:szCs w:val="20"/>
                <w:color w:val="auto"/>
              </w:rPr>
            </w:pPr>
            <w:r>
              <w:rPr>
                <w:rFonts w:ascii="Arial" w:cs="Arial" w:eastAsia="Arial" w:hAnsi="Arial"/>
                <w:sz w:val="16"/>
                <w:szCs w:val="16"/>
                <w:color w:val="auto"/>
                <w:w w:val="92"/>
              </w:rPr>
              <w:t>Chief Accounting Officer and Corporate Controller</w:t>
            </w:r>
          </w:p>
        </w:tc>
      </w:tr>
      <w:tr>
        <w:trPr>
          <w:trHeight w:val="209"/>
        </w:trPr>
        <w:tc>
          <w:tcPr>
            <w:tcW w:w="440" w:type="dxa"/>
            <w:vAlign w:val="bottom"/>
          </w:tcPr>
          <w:p>
            <w:pPr>
              <w:spacing w:after="0"/>
              <w:rPr>
                <w:sz w:val="18"/>
                <w:szCs w:val="18"/>
                <w:color w:val="auto"/>
              </w:rPr>
            </w:pPr>
          </w:p>
        </w:tc>
        <w:tc>
          <w:tcPr>
            <w:tcW w:w="5620" w:type="dxa"/>
            <w:vAlign w:val="bottom"/>
          </w:tcPr>
          <w:p>
            <w:pPr>
              <w:ind w:left="580"/>
              <w:spacing w:after="0"/>
              <w:rPr>
                <w:sz w:val="20"/>
                <w:szCs w:val="20"/>
                <w:color w:val="auto"/>
              </w:rPr>
            </w:pPr>
            <w:r>
              <w:rPr>
                <w:rFonts w:ascii="Arial" w:cs="Arial" w:eastAsia="Arial" w:hAnsi="Arial"/>
                <w:sz w:val="16"/>
                <w:szCs w:val="16"/>
                <w:color w:val="auto"/>
              </w:rPr>
              <w:t>Eric H. Samuels</w:t>
            </w:r>
          </w:p>
        </w:tc>
        <w:tc>
          <w:tcPr>
            <w:tcW w:w="3600" w:type="dxa"/>
            <w:vAlign w:val="bottom"/>
          </w:tcPr>
          <w:p>
            <w:pPr>
              <w:ind w:left="520"/>
              <w:spacing w:after="0"/>
              <w:rPr>
                <w:sz w:val="20"/>
                <w:szCs w:val="20"/>
                <w:color w:val="auto"/>
              </w:rPr>
            </w:pPr>
            <w:r>
              <w:rPr>
                <w:rFonts w:ascii="Arial" w:cs="Arial" w:eastAsia="Arial" w:hAnsi="Arial"/>
                <w:sz w:val="16"/>
                <w:szCs w:val="16"/>
                <w:color w:val="auto"/>
              </w:rPr>
              <w:t>(Principal Accounting Officer)</w:t>
            </w:r>
          </w:p>
        </w:tc>
      </w:tr>
      <w:tr>
        <w:trPr>
          <w:trHeight w:val="435"/>
        </w:trPr>
        <w:tc>
          <w:tcPr>
            <w:tcW w:w="440" w:type="dxa"/>
            <w:vAlign w:val="bottom"/>
          </w:tcPr>
          <w:p>
            <w:pPr>
              <w:spacing w:after="0"/>
              <w:rPr>
                <w:sz w:val="20"/>
                <w:szCs w:val="20"/>
                <w:color w:val="auto"/>
              </w:rPr>
            </w:pPr>
            <w:r>
              <w:rPr>
                <w:rFonts w:ascii="Arial" w:cs="Arial" w:eastAsia="Arial" w:hAnsi="Arial"/>
                <w:sz w:val="16"/>
                <w:szCs w:val="16"/>
                <w:color w:val="auto"/>
              </w:rPr>
              <w:t>By:</w:t>
            </w:r>
          </w:p>
        </w:tc>
        <w:tc>
          <w:tcPr>
            <w:tcW w:w="5620" w:type="dxa"/>
            <w:vAlign w:val="bottom"/>
            <w:tcBorders>
              <w:bottom w:val="single" w:sz="8" w:color="auto"/>
            </w:tcBorders>
          </w:tcPr>
          <w:p>
            <w:pPr>
              <w:ind w:left="580"/>
              <w:spacing w:after="0"/>
              <w:rPr>
                <w:sz w:val="20"/>
                <w:szCs w:val="20"/>
                <w:color w:val="auto"/>
              </w:rPr>
            </w:pPr>
            <w:r>
              <w:rPr>
                <w:rFonts w:ascii="Arial" w:cs="Arial" w:eastAsia="Arial" w:hAnsi="Arial"/>
                <w:sz w:val="16"/>
                <w:szCs w:val="16"/>
                <w:color w:val="auto"/>
              </w:rPr>
              <w:t>/s/ Richard Todd Bradley</w:t>
            </w:r>
          </w:p>
        </w:tc>
        <w:tc>
          <w:tcPr>
            <w:tcW w:w="3600" w:type="dxa"/>
            <w:vAlign w:val="bottom"/>
          </w:tcPr>
          <w:p>
            <w:pPr>
              <w:ind w:left="300"/>
              <w:spacing w:after="0"/>
              <w:rPr>
                <w:sz w:val="20"/>
                <w:szCs w:val="20"/>
                <w:color w:val="auto"/>
              </w:rPr>
            </w:pPr>
            <w:r>
              <w:rPr>
                <w:rFonts w:ascii="Arial" w:cs="Arial" w:eastAsia="Arial" w:hAnsi="Arial"/>
                <w:sz w:val="16"/>
                <w:szCs w:val="16"/>
                <w:color w:val="auto"/>
              </w:rPr>
              <w:t>Director</w:t>
            </w:r>
          </w:p>
        </w:tc>
      </w:tr>
      <w:tr>
        <w:trPr>
          <w:trHeight w:val="209"/>
        </w:trPr>
        <w:tc>
          <w:tcPr>
            <w:tcW w:w="440" w:type="dxa"/>
            <w:vAlign w:val="bottom"/>
          </w:tcPr>
          <w:p>
            <w:pPr>
              <w:spacing w:after="0"/>
              <w:rPr>
                <w:sz w:val="18"/>
                <w:szCs w:val="18"/>
                <w:color w:val="auto"/>
              </w:rPr>
            </w:pPr>
          </w:p>
        </w:tc>
        <w:tc>
          <w:tcPr>
            <w:tcW w:w="5620" w:type="dxa"/>
            <w:vAlign w:val="bottom"/>
          </w:tcPr>
          <w:p>
            <w:pPr>
              <w:ind w:left="580"/>
              <w:spacing w:after="0"/>
              <w:rPr>
                <w:sz w:val="20"/>
                <w:szCs w:val="20"/>
                <w:color w:val="auto"/>
              </w:rPr>
            </w:pPr>
            <w:r>
              <w:rPr>
                <w:rFonts w:ascii="Arial" w:cs="Arial" w:eastAsia="Arial" w:hAnsi="Arial"/>
                <w:sz w:val="16"/>
                <w:szCs w:val="16"/>
                <w:color w:val="auto"/>
              </w:rPr>
              <w:t>Richard Todd Bradley</w:t>
            </w:r>
          </w:p>
        </w:tc>
        <w:tc>
          <w:tcPr>
            <w:tcW w:w="3600" w:type="dxa"/>
            <w:vAlign w:val="bottom"/>
          </w:tcPr>
          <w:p>
            <w:pPr>
              <w:spacing w:after="0"/>
              <w:rPr>
                <w:sz w:val="18"/>
                <w:szCs w:val="18"/>
                <w:color w:val="auto"/>
              </w:rPr>
            </w:pPr>
          </w:p>
        </w:tc>
      </w:tr>
      <w:tr>
        <w:trPr>
          <w:trHeight w:val="327"/>
        </w:trPr>
        <w:tc>
          <w:tcPr>
            <w:tcW w:w="440" w:type="dxa"/>
            <w:vAlign w:val="bottom"/>
          </w:tcPr>
          <w:p>
            <w:pPr>
              <w:spacing w:after="0"/>
              <w:rPr>
                <w:sz w:val="20"/>
                <w:szCs w:val="20"/>
                <w:color w:val="auto"/>
              </w:rPr>
            </w:pPr>
            <w:r>
              <w:rPr>
                <w:rFonts w:ascii="Arial" w:cs="Arial" w:eastAsia="Arial" w:hAnsi="Arial"/>
                <w:sz w:val="16"/>
                <w:szCs w:val="16"/>
                <w:color w:val="auto"/>
              </w:rPr>
              <w:t>By:</w:t>
            </w:r>
          </w:p>
        </w:tc>
        <w:tc>
          <w:tcPr>
            <w:tcW w:w="5620" w:type="dxa"/>
            <w:vAlign w:val="bottom"/>
            <w:tcBorders>
              <w:bottom w:val="single" w:sz="8" w:color="auto"/>
            </w:tcBorders>
          </w:tcPr>
          <w:p>
            <w:pPr>
              <w:ind w:left="580"/>
              <w:spacing w:after="0"/>
              <w:rPr>
                <w:sz w:val="20"/>
                <w:szCs w:val="20"/>
                <w:color w:val="auto"/>
              </w:rPr>
            </w:pPr>
            <w:r>
              <w:rPr>
                <w:rFonts w:ascii="Arial" w:cs="Arial" w:eastAsia="Arial" w:hAnsi="Arial"/>
                <w:sz w:val="16"/>
                <w:szCs w:val="16"/>
                <w:color w:val="auto"/>
              </w:rPr>
              <w:t>/s/ Mark S. Burgess</w:t>
            </w:r>
          </w:p>
        </w:tc>
        <w:tc>
          <w:tcPr>
            <w:tcW w:w="3600" w:type="dxa"/>
            <w:vAlign w:val="bottom"/>
          </w:tcPr>
          <w:p>
            <w:pPr>
              <w:ind w:left="300"/>
              <w:spacing w:after="0"/>
              <w:rPr>
                <w:sz w:val="20"/>
                <w:szCs w:val="20"/>
                <w:color w:val="auto"/>
              </w:rPr>
            </w:pPr>
            <w:r>
              <w:rPr>
                <w:rFonts w:ascii="Arial" w:cs="Arial" w:eastAsia="Arial" w:hAnsi="Arial"/>
                <w:sz w:val="16"/>
                <w:szCs w:val="16"/>
                <w:color w:val="auto"/>
              </w:rPr>
              <w:t>Director</w:t>
            </w:r>
          </w:p>
        </w:tc>
      </w:tr>
      <w:tr>
        <w:trPr>
          <w:trHeight w:val="209"/>
        </w:trPr>
        <w:tc>
          <w:tcPr>
            <w:tcW w:w="440" w:type="dxa"/>
            <w:vAlign w:val="bottom"/>
          </w:tcPr>
          <w:p>
            <w:pPr>
              <w:spacing w:after="0"/>
              <w:rPr>
                <w:sz w:val="18"/>
                <w:szCs w:val="18"/>
                <w:color w:val="auto"/>
              </w:rPr>
            </w:pPr>
          </w:p>
        </w:tc>
        <w:tc>
          <w:tcPr>
            <w:tcW w:w="5620" w:type="dxa"/>
            <w:vAlign w:val="bottom"/>
          </w:tcPr>
          <w:p>
            <w:pPr>
              <w:ind w:left="580"/>
              <w:spacing w:after="0"/>
              <w:rPr>
                <w:sz w:val="20"/>
                <w:szCs w:val="20"/>
                <w:color w:val="auto"/>
              </w:rPr>
            </w:pPr>
            <w:r>
              <w:rPr>
                <w:rFonts w:ascii="Arial" w:cs="Arial" w:eastAsia="Arial" w:hAnsi="Arial"/>
                <w:sz w:val="16"/>
                <w:szCs w:val="16"/>
                <w:color w:val="auto"/>
              </w:rPr>
              <w:t>Mark S. Burgess</w:t>
            </w:r>
          </w:p>
        </w:tc>
        <w:tc>
          <w:tcPr>
            <w:tcW w:w="3600" w:type="dxa"/>
            <w:vAlign w:val="bottom"/>
          </w:tcPr>
          <w:p>
            <w:pPr>
              <w:spacing w:after="0"/>
              <w:rPr>
                <w:sz w:val="18"/>
                <w:szCs w:val="18"/>
                <w:color w:val="auto"/>
              </w:rPr>
            </w:pPr>
          </w:p>
        </w:tc>
      </w:tr>
      <w:tr>
        <w:trPr>
          <w:trHeight w:val="327"/>
        </w:trPr>
        <w:tc>
          <w:tcPr>
            <w:tcW w:w="440" w:type="dxa"/>
            <w:vAlign w:val="bottom"/>
          </w:tcPr>
          <w:p>
            <w:pPr>
              <w:spacing w:after="0"/>
              <w:rPr>
                <w:sz w:val="20"/>
                <w:szCs w:val="20"/>
                <w:color w:val="auto"/>
              </w:rPr>
            </w:pPr>
            <w:r>
              <w:rPr>
                <w:rFonts w:ascii="Arial" w:cs="Arial" w:eastAsia="Arial" w:hAnsi="Arial"/>
                <w:sz w:val="16"/>
                <w:szCs w:val="16"/>
                <w:color w:val="auto"/>
              </w:rPr>
              <w:t>By:</w:t>
            </w:r>
          </w:p>
        </w:tc>
        <w:tc>
          <w:tcPr>
            <w:tcW w:w="5620" w:type="dxa"/>
            <w:vAlign w:val="bottom"/>
            <w:tcBorders>
              <w:bottom w:val="single" w:sz="8" w:color="auto"/>
            </w:tcBorders>
          </w:tcPr>
          <w:p>
            <w:pPr>
              <w:ind w:left="580"/>
              <w:spacing w:after="0"/>
              <w:rPr>
                <w:sz w:val="20"/>
                <w:szCs w:val="20"/>
                <w:color w:val="auto"/>
              </w:rPr>
            </w:pPr>
            <w:r>
              <w:rPr>
                <w:rFonts w:ascii="Arial" w:cs="Arial" w:eastAsia="Arial" w:hAnsi="Arial"/>
                <w:sz w:val="16"/>
                <w:szCs w:val="16"/>
                <w:color w:val="auto"/>
              </w:rPr>
              <w:t>/s/ James V. Continenza</w:t>
            </w:r>
          </w:p>
        </w:tc>
        <w:tc>
          <w:tcPr>
            <w:tcW w:w="3600" w:type="dxa"/>
            <w:vAlign w:val="bottom"/>
          </w:tcPr>
          <w:p>
            <w:pPr>
              <w:ind w:left="300"/>
              <w:spacing w:after="0"/>
              <w:rPr>
                <w:sz w:val="20"/>
                <w:szCs w:val="20"/>
                <w:color w:val="auto"/>
              </w:rPr>
            </w:pPr>
            <w:r>
              <w:rPr>
                <w:rFonts w:ascii="Arial" w:cs="Arial" w:eastAsia="Arial" w:hAnsi="Arial"/>
                <w:sz w:val="16"/>
                <w:szCs w:val="16"/>
                <w:color w:val="auto"/>
              </w:rPr>
              <w:t>Chairman</w:t>
            </w:r>
          </w:p>
        </w:tc>
      </w:tr>
      <w:tr>
        <w:trPr>
          <w:trHeight w:val="209"/>
        </w:trPr>
        <w:tc>
          <w:tcPr>
            <w:tcW w:w="440" w:type="dxa"/>
            <w:vAlign w:val="bottom"/>
          </w:tcPr>
          <w:p>
            <w:pPr>
              <w:spacing w:after="0"/>
              <w:rPr>
                <w:sz w:val="18"/>
                <w:szCs w:val="18"/>
                <w:color w:val="auto"/>
              </w:rPr>
            </w:pPr>
          </w:p>
        </w:tc>
        <w:tc>
          <w:tcPr>
            <w:tcW w:w="5620" w:type="dxa"/>
            <w:vAlign w:val="bottom"/>
          </w:tcPr>
          <w:p>
            <w:pPr>
              <w:ind w:left="580"/>
              <w:spacing w:after="0"/>
              <w:rPr>
                <w:sz w:val="20"/>
                <w:szCs w:val="20"/>
                <w:color w:val="auto"/>
              </w:rPr>
            </w:pPr>
            <w:r>
              <w:rPr>
                <w:rFonts w:ascii="Arial" w:cs="Arial" w:eastAsia="Arial" w:hAnsi="Arial"/>
                <w:sz w:val="16"/>
                <w:szCs w:val="16"/>
                <w:color w:val="auto"/>
              </w:rPr>
              <w:t>James V. Continenza</w:t>
            </w:r>
          </w:p>
        </w:tc>
        <w:tc>
          <w:tcPr>
            <w:tcW w:w="3600" w:type="dxa"/>
            <w:vAlign w:val="bottom"/>
          </w:tcPr>
          <w:p>
            <w:pPr>
              <w:spacing w:after="0"/>
              <w:rPr>
                <w:sz w:val="18"/>
                <w:szCs w:val="18"/>
                <w:color w:val="auto"/>
              </w:rPr>
            </w:pPr>
          </w:p>
        </w:tc>
      </w:tr>
      <w:tr>
        <w:trPr>
          <w:trHeight w:val="327"/>
        </w:trPr>
        <w:tc>
          <w:tcPr>
            <w:tcW w:w="440" w:type="dxa"/>
            <w:vAlign w:val="bottom"/>
          </w:tcPr>
          <w:p>
            <w:pPr>
              <w:spacing w:after="0"/>
              <w:rPr>
                <w:sz w:val="20"/>
                <w:szCs w:val="20"/>
                <w:color w:val="auto"/>
              </w:rPr>
            </w:pPr>
            <w:r>
              <w:rPr>
                <w:rFonts w:ascii="Arial" w:cs="Arial" w:eastAsia="Arial" w:hAnsi="Arial"/>
                <w:sz w:val="16"/>
                <w:szCs w:val="16"/>
                <w:color w:val="auto"/>
              </w:rPr>
              <w:t>By:</w:t>
            </w:r>
          </w:p>
        </w:tc>
        <w:tc>
          <w:tcPr>
            <w:tcW w:w="5620" w:type="dxa"/>
            <w:vAlign w:val="bottom"/>
            <w:tcBorders>
              <w:bottom w:val="single" w:sz="8" w:color="auto"/>
            </w:tcBorders>
          </w:tcPr>
          <w:p>
            <w:pPr>
              <w:ind w:left="580"/>
              <w:spacing w:after="0"/>
              <w:rPr>
                <w:sz w:val="20"/>
                <w:szCs w:val="20"/>
                <w:color w:val="auto"/>
              </w:rPr>
            </w:pPr>
            <w:r>
              <w:rPr>
                <w:rFonts w:ascii="Arial" w:cs="Arial" w:eastAsia="Arial" w:hAnsi="Arial"/>
                <w:sz w:val="16"/>
                <w:szCs w:val="16"/>
                <w:color w:val="auto"/>
              </w:rPr>
              <w:t>/s/ Matthew A. Doheny</w:t>
            </w:r>
          </w:p>
        </w:tc>
        <w:tc>
          <w:tcPr>
            <w:tcW w:w="3600" w:type="dxa"/>
            <w:vAlign w:val="bottom"/>
          </w:tcPr>
          <w:p>
            <w:pPr>
              <w:ind w:left="300"/>
              <w:spacing w:after="0"/>
              <w:rPr>
                <w:sz w:val="20"/>
                <w:szCs w:val="20"/>
                <w:color w:val="auto"/>
              </w:rPr>
            </w:pPr>
            <w:r>
              <w:rPr>
                <w:rFonts w:ascii="Arial" w:cs="Arial" w:eastAsia="Arial" w:hAnsi="Arial"/>
                <w:sz w:val="16"/>
                <w:szCs w:val="16"/>
                <w:color w:val="auto"/>
              </w:rPr>
              <w:t>Director</w:t>
            </w:r>
          </w:p>
        </w:tc>
      </w:tr>
      <w:tr>
        <w:trPr>
          <w:trHeight w:val="209"/>
        </w:trPr>
        <w:tc>
          <w:tcPr>
            <w:tcW w:w="440" w:type="dxa"/>
            <w:vAlign w:val="bottom"/>
          </w:tcPr>
          <w:p>
            <w:pPr>
              <w:spacing w:after="0"/>
              <w:rPr>
                <w:sz w:val="18"/>
                <w:szCs w:val="18"/>
                <w:color w:val="auto"/>
              </w:rPr>
            </w:pPr>
          </w:p>
        </w:tc>
        <w:tc>
          <w:tcPr>
            <w:tcW w:w="5620" w:type="dxa"/>
            <w:vAlign w:val="bottom"/>
          </w:tcPr>
          <w:p>
            <w:pPr>
              <w:ind w:left="580"/>
              <w:spacing w:after="0"/>
              <w:rPr>
                <w:sz w:val="20"/>
                <w:szCs w:val="20"/>
                <w:color w:val="auto"/>
              </w:rPr>
            </w:pPr>
            <w:r>
              <w:rPr>
                <w:rFonts w:ascii="Arial" w:cs="Arial" w:eastAsia="Arial" w:hAnsi="Arial"/>
                <w:sz w:val="16"/>
                <w:szCs w:val="16"/>
                <w:color w:val="auto"/>
              </w:rPr>
              <w:t>Matthew A. Doheny</w:t>
            </w:r>
          </w:p>
        </w:tc>
        <w:tc>
          <w:tcPr>
            <w:tcW w:w="3600" w:type="dxa"/>
            <w:vAlign w:val="bottom"/>
          </w:tcPr>
          <w:p>
            <w:pPr>
              <w:spacing w:after="0"/>
              <w:rPr>
                <w:sz w:val="18"/>
                <w:szCs w:val="18"/>
                <w:color w:val="auto"/>
              </w:rPr>
            </w:pPr>
          </w:p>
        </w:tc>
      </w:tr>
      <w:tr>
        <w:trPr>
          <w:trHeight w:val="327"/>
        </w:trPr>
        <w:tc>
          <w:tcPr>
            <w:tcW w:w="440" w:type="dxa"/>
            <w:vAlign w:val="bottom"/>
          </w:tcPr>
          <w:p>
            <w:pPr>
              <w:spacing w:after="0"/>
              <w:rPr>
                <w:sz w:val="20"/>
                <w:szCs w:val="20"/>
                <w:color w:val="auto"/>
              </w:rPr>
            </w:pPr>
            <w:r>
              <w:rPr>
                <w:rFonts w:ascii="Arial" w:cs="Arial" w:eastAsia="Arial" w:hAnsi="Arial"/>
                <w:sz w:val="16"/>
                <w:szCs w:val="16"/>
                <w:color w:val="auto"/>
              </w:rPr>
              <w:t>By:</w:t>
            </w:r>
          </w:p>
        </w:tc>
        <w:tc>
          <w:tcPr>
            <w:tcW w:w="5620" w:type="dxa"/>
            <w:vAlign w:val="bottom"/>
            <w:tcBorders>
              <w:bottom w:val="single" w:sz="8" w:color="auto"/>
            </w:tcBorders>
          </w:tcPr>
          <w:p>
            <w:pPr>
              <w:ind w:left="580"/>
              <w:spacing w:after="0"/>
              <w:rPr>
                <w:sz w:val="20"/>
                <w:szCs w:val="20"/>
                <w:color w:val="auto"/>
              </w:rPr>
            </w:pPr>
            <w:r>
              <w:rPr>
                <w:rFonts w:ascii="Arial" w:cs="Arial" w:eastAsia="Arial" w:hAnsi="Arial"/>
                <w:sz w:val="16"/>
                <w:szCs w:val="16"/>
                <w:color w:val="auto"/>
              </w:rPr>
              <w:t>/s/ Jeffrey D. Engelberg</w:t>
            </w:r>
          </w:p>
        </w:tc>
        <w:tc>
          <w:tcPr>
            <w:tcW w:w="3600" w:type="dxa"/>
            <w:vAlign w:val="bottom"/>
          </w:tcPr>
          <w:p>
            <w:pPr>
              <w:ind w:left="300"/>
              <w:spacing w:after="0"/>
              <w:rPr>
                <w:sz w:val="20"/>
                <w:szCs w:val="20"/>
                <w:color w:val="auto"/>
              </w:rPr>
            </w:pPr>
            <w:r>
              <w:rPr>
                <w:rFonts w:ascii="Arial" w:cs="Arial" w:eastAsia="Arial" w:hAnsi="Arial"/>
                <w:sz w:val="16"/>
                <w:szCs w:val="16"/>
                <w:color w:val="auto"/>
              </w:rPr>
              <w:t>Director</w:t>
            </w:r>
          </w:p>
        </w:tc>
      </w:tr>
      <w:tr>
        <w:trPr>
          <w:trHeight w:val="209"/>
        </w:trPr>
        <w:tc>
          <w:tcPr>
            <w:tcW w:w="440" w:type="dxa"/>
            <w:vAlign w:val="bottom"/>
          </w:tcPr>
          <w:p>
            <w:pPr>
              <w:spacing w:after="0"/>
              <w:rPr>
                <w:sz w:val="18"/>
                <w:szCs w:val="18"/>
                <w:color w:val="auto"/>
              </w:rPr>
            </w:pPr>
          </w:p>
        </w:tc>
        <w:tc>
          <w:tcPr>
            <w:tcW w:w="5620" w:type="dxa"/>
            <w:vAlign w:val="bottom"/>
          </w:tcPr>
          <w:p>
            <w:pPr>
              <w:ind w:left="580"/>
              <w:spacing w:after="0"/>
              <w:rPr>
                <w:sz w:val="20"/>
                <w:szCs w:val="20"/>
                <w:color w:val="auto"/>
              </w:rPr>
            </w:pPr>
            <w:r>
              <w:rPr>
                <w:rFonts w:ascii="Arial" w:cs="Arial" w:eastAsia="Arial" w:hAnsi="Arial"/>
                <w:sz w:val="16"/>
                <w:szCs w:val="16"/>
                <w:color w:val="auto"/>
              </w:rPr>
              <w:t>Jeffrey D. Engelberg</w:t>
            </w:r>
          </w:p>
        </w:tc>
        <w:tc>
          <w:tcPr>
            <w:tcW w:w="3600" w:type="dxa"/>
            <w:vAlign w:val="bottom"/>
          </w:tcPr>
          <w:p>
            <w:pPr>
              <w:spacing w:after="0"/>
              <w:rPr>
                <w:sz w:val="18"/>
                <w:szCs w:val="18"/>
                <w:color w:val="auto"/>
              </w:rPr>
            </w:pPr>
          </w:p>
        </w:tc>
      </w:tr>
      <w:tr>
        <w:trPr>
          <w:trHeight w:val="327"/>
        </w:trPr>
        <w:tc>
          <w:tcPr>
            <w:tcW w:w="440" w:type="dxa"/>
            <w:vAlign w:val="bottom"/>
          </w:tcPr>
          <w:p>
            <w:pPr>
              <w:spacing w:after="0"/>
              <w:rPr>
                <w:sz w:val="20"/>
                <w:szCs w:val="20"/>
                <w:color w:val="auto"/>
              </w:rPr>
            </w:pPr>
            <w:r>
              <w:rPr>
                <w:rFonts w:ascii="Arial" w:cs="Arial" w:eastAsia="Arial" w:hAnsi="Arial"/>
                <w:sz w:val="16"/>
                <w:szCs w:val="16"/>
                <w:color w:val="auto"/>
              </w:rPr>
              <w:t>By:</w:t>
            </w:r>
          </w:p>
        </w:tc>
        <w:tc>
          <w:tcPr>
            <w:tcW w:w="5620" w:type="dxa"/>
            <w:vAlign w:val="bottom"/>
            <w:tcBorders>
              <w:bottom w:val="single" w:sz="8" w:color="auto"/>
            </w:tcBorders>
          </w:tcPr>
          <w:p>
            <w:pPr>
              <w:ind w:left="580"/>
              <w:spacing w:after="0"/>
              <w:rPr>
                <w:sz w:val="20"/>
                <w:szCs w:val="20"/>
                <w:color w:val="auto"/>
              </w:rPr>
            </w:pPr>
            <w:r>
              <w:rPr>
                <w:rFonts w:ascii="Arial" w:cs="Arial" w:eastAsia="Arial" w:hAnsi="Arial"/>
                <w:sz w:val="16"/>
                <w:szCs w:val="16"/>
                <w:color w:val="auto"/>
              </w:rPr>
              <w:t>/s/ George Karfunkel</w:t>
            </w:r>
          </w:p>
        </w:tc>
        <w:tc>
          <w:tcPr>
            <w:tcW w:w="3600" w:type="dxa"/>
            <w:vAlign w:val="bottom"/>
          </w:tcPr>
          <w:p>
            <w:pPr>
              <w:ind w:left="300"/>
              <w:spacing w:after="0"/>
              <w:rPr>
                <w:sz w:val="20"/>
                <w:szCs w:val="20"/>
                <w:color w:val="auto"/>
              </w:rPr>
            </w:pPr>
            <w:r>
              <w:rPr>
                <w:rFonts w:ascii="Arial" w:cs="Arial" w:eastAsia="Arial" w:hAnsi="Arial"/>
                <w:sz w:val="16"/>
                <w:szCs w:val="16"/>
                <w:color w:val="auto"/>
              </w:rPr>
              <w:t>Director</w:t>
            </w:r>
          </w:p>
        </w:tc>
      </w:tr>
      <w:tr>
        <w:trPr>
          <w:trHeight w:val="209"/>
        </w:trPr>
        <w:tc>
          <w:tcPr>
            <w:tcW w:w="440" w:type="dxa"/>
            <w:vAlign w:val="bottom"/>
          </w:tcPr>
          <w:p>
            <w:pPr>
              <w:spacing w:after="0"/>
              <w:rPr>
                <w:sz w:val="18"/>
                <w:szCs w:val="18"/>
                <w:color w:val="auto"/>
              </w:rPr>
            </w:pPr>
          </w:p>
        </w:tc>
        <w:tc>
          <w:tcPr>
            <w:tcW w:w="5620" w:type="dxa"/>
            <w:vAlign w:val="bottom"/>
          </w:tcPr>
          <w:p>
            <w:pPr>
              <w:ind w:left="580"/>
              <w:spacing w:after="0"/>
              <w:rPr>
                <w:sz w:val="20"/>
                <w:szCs w:val="20"/>
                <w:color w:val="auto"/>
              </w:rPr>
            </w:pPr>
            <w:r>
              <w:rPr>
                <w:rFonts w:ascii="Arial" w:cs="Arial" w:eastAsia="Arial" w:hAnsi="Arial"/>
                <w:sz w:val="16"/>
                <w:szCs w:val="16"/>
                <w:color w:val="auto"/>
              </w:rPr>
              <w:t>George Karfunkel</w:t>
            </w:r>
          </w:p>
        </w:tc>
        <w:tc>
          <w:tcPr>
            <w:tcW w:w="3600" w:type="dxa"/>
            <w:vAlign w:val="bottom"/>
          </w:tcPr>
          <w:p>
            <w:pPr>
              <w:spacing w:after="0"/>
              <w:rPr>
                <w:sz w:val="18"/>
                <w:szCs w:val="18"/>
                <w:color w:val="auto"/>
              </w:rPr>
            </w:pPr>
          </w:p>
        </w:tc>
      </w:tr>
      <w:tr>
        <w:trPr>
          <w:trHeight w:val="327"/>
        </w:trPr>
        <w:tc>
          <w:tcPr>
            <w:tcW w:w="440" w:type="dxa"/>
            <w:vAlign w:val="bottom"/>
          </w:tcPr>
          <w:p>
            <w:pPr>
              <w:spacing w:after="0"/>
              <w:rPr>
                <w:sz w:val="20"/>
                <w:szCs w:val="20"/>
                <w:color w:val="auto"/>
              </w:rPr>
            </w:pPr>
            <w:r>
              <w:rPr>
                <w:rFonts w:ascii="Arial" w:cs="Arial" w:eastAsia="Arial" w:hAnsi="Arial"/>
                <w:sz w:val="16"/>
                <w:szCs w:val="16"/>
                <w:color w:val="auto"/>
              </w:rPr>
              <w:t>By:</w:t>
            </w:r>
          </w:p>
        </w:tc>
        <w:tc>
          <w:tcPr>
            <w:tcW w:w="5620" w:type="dxa"/>
            <w:vAlign w:val="bottom"/>
            <w:tcBorders>
              <w:bottom w:val="single" w:sz="8" w:color="auto"/>
            </w:tcBorders>
          </w:tcPr>
          <w:p>
            <w:pPr>
              <w:ind w:left="580"/>
              <w:spacing w:after="0"/>
              <w:rPr>
                <w:sz w:val="20"/>
                <w:szCs w:val="20"/>
                <w:color w:val="auto"/>
              </w:rPr>
            </w:pPr>
            <w:r>
              <w:rPr>
                <w:rFonts w:ascii="Arial" w:cs="Arial" w:eastAsia="Arial" w:hAnsi="Arial"/>
                <w:sz w:val="16"/>
                <w:szCs w:val="16"/>
                <w:color w:val="auto"/>
              </w:rPr>
              <w:t>/s/ Jason New</w:t>
            </w:r>
          </w:p>
        </w:tc>
        <w:tc>
          <w:tcPr>
            <w:tcW w:w="3600" w:type="dxa"/>
            <w:vAlign w:val="bottom"/>
          </w:tcPr>
          <w:p>
            <w:pPr>
              <w:ind w:left="300"/>
              <w:spacing w:after="0"/>
              <w:rPr>
                <w:sz w:val="20"/>
                <w:szCs w:val="20"/>
                <w:color w:val="auto"/>
              </w:rPr>
            </w:pPr>
            <w:r>
              <w:rPr>
                <w:rFonts w:ascii="Arial" w:cs="Arial" w:eastAsia="Arial" w:hAnsi="Arial"/>
                <w:sz w:val="16"/>
                <w:szCs w:val="16"/>
                <w:color w:val="auto"/>
              </w:rPr>
              <w:t>Director</w:t>
            </w:r>
          </w:p>
        </w:tc>
      </w:tr>
      <w:tr>
        <w:trPr>
          <w:trHeight w:val="209"/>
        </w:trPr>
        <w:tc>
          <w:tcPr>
            <w:tcW w:w="440" w:type="dxa"/>
            <w:vAlign w:val="bottom"/>
          </w:tcPr>
          <w:p>
            <w:pPr>
              <w:spacing w:after="0"/>
              <w:rPr>
                <w:sz w:val="18"/>
                <w:szCs w:val="18"/>
                <w:color w:val="auto"/>
              </w:rPr>
            </w:pPr>
          </w:p>
        </w:tc>
        <w:tc>
          <w:tcPr>
            <w:tcW w:w="5620" w:type="dxa"/>
            <w:vAlign w:val="bottom"/>
          </w:tcPr>
          <w:p>
            <w:pPr>
              <w:ind w:left="580"/>
              <w:spacing w:after="0"/>
              <w:rPr>
                <w:sz w:val="20"/>
                <w:szCs w:val="20"/>
                <w:color w:val="auto"/>
              </w:rPr>
            </w:pPr>
            <w:r>
              <w:rPr>
                <w:rFonts w:ascii="Arial" w:cs="Arial" w:eastAsia="Arial" w:hAnsi="Arial"/>
                <w:sz w:val="16"/>
                <w:szCs w:val="16"/>
                <w:color w:val="auto"/>
              </w:rPr>
              <w:t>Jason New</w:t>
            </w:r>
          </w:p>
        </w:tc>
        <w:tc>
          <w:tcPr>
            <w:tcW w:w="3600" w:type="dxa"/>
            <w:vAlign w:val="bottom"/>
          </w:tcPr>
          <w:p>
            <w:pPr>
              <w:spacing w:after="0"/>
              <w:rPr>
                <w:sz w:val="18"/>
                <w:szCs w:val="18"/>
                <w:color w:val="auto"/>
              </w:rPr>
            </w:pPr>
          </w:p>
        </w:tc>
      </w:tr>
      <w:tr>
        <w:trPr>
          <w:trHeight w:val="326"/>
        </w:trPr>
        <w:tc>
          <w:tcPr>
            <w:tcW w:w="440" w:type="dxa"/>
            <w:vAlign w:val="bottom"/>
          </w:tcPr>
          <w:p>
            <w:pPr>
              <w:spacing w:after="0"/>
              <w:rPr>
                <w:sz w:val="20"/>
                <w:szCs w:val="20"/>
                <w:color w:val="auto"/>
              </w:rPr>
            </w:pPr>
            <w:r>
              <w:rPr>
                <w:rFonts w:ascii="Arial" w:cs="Arial" w:eastAsia="Arial" w:hAnsi="Arial"/>
                <w:sz w:val="16"/>
                <w:szCs w:val="16"/>
                <w:color w:val="auto"/>
              </w:rPr>
              <w:t>By:</w:t>
            </w:r>
          </w:p>
        </w:tc>
        <w:tc>
          <w:tcPr>
            <w:tcW w:w="5620" w:type="dxa"/>
            <w:vAlign w:val="bottom"/>
          </w:tcPr>
          <w:p>
            <w:pPr>
              <w:ind w:left="580"/>
              <w:spacing w:after="0"/>
              <w:rPr>
                <w:sz w:val="20"/>
                <w:szCs w:val="20"/>
                <w:color w:val="auto"/>
              </w:rPr>
            </w:pPr>
            <w:r>
              <w:rPr>
                <w:rFonts w:ascii="Arial" w:cs="Arial" w:eastAsia="Arial" w:hAnsi="Arial"/>
                <w:sz w:val="16"/>
                <w:szCs w:val="16"/>
                <w:color w:val="auto"/>
              </w:rPr>
              <w:t>/s/ William G. Parrett</w:t>
            </w:r>
          </w:p>
        </w:tc>
        <w:tc>
          <w:tcPr>
            <w:tcW w:w="3600" w:type="dxa"/>
            <w:vAlign w:val="bottom"/>
          </w:tcPr>
          <w:p>
            <w:pPr>
              <w:ind w:left="300"/>
              <w:spacing w:after="0"/>
              <w:rPr>
                <w:sz w:val="20"/>
                <w:szCs w:val="20"/>
                <w:color w:val="auto"/>
              </w:rPr>
            </w:pPr>
            <w:r>
              <w:rPr>
                <w:rFonts w:ascii="Arial" w:cs="Arial" w:eastAsia="Arial" w:hAnsi="Arial"/>
                <w:sz w:val="16"/>
                <w:szCs w:val="16"/>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274320</wp:posOffset>
            </wp:positionH>
            <wp:positionV relativeFrom="paragraph">
              <wp:posOffset>0</wp:posOffset>
            </wp:positionV>
            <wp:extent cx="3569335" cy="762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3">
                      <a:extLst>
                        <a:ext uri="{28A0092B-C50C-407E-A947-70E740481C1C}"/>
                      </a:extLst>
                    </a:blip>
                    <a:srcRect/>
                    <a:stretch>
                      <a:fillRect/>
                    </a:stretch>
                  </pic:blipFill>
                  <pic:spPr bwMode="auto">
                    <a:xfrm>
                      <a:off x="0" y="0"/>
                      <a:ext cx="3569335" cy="7620"/>
                    </a:xfrm>
                    <a:prstGeom prst="rect">
                      <a:avLst/>
                    </a:prstGeom>
                    <a:noFill/>
                  </pic:spPr>
                </pic:pic>
              </a:graphicData>
            </a:graphic>
          </wp:anchor>
        </w:drawing>
      </w:r>
    </w:p>
    <w:p>
      <w:pPr>
        <w:spacing w:after="0" w:line="4"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William G. Parrett</w:t>
      </w:r>
    </w:p>
    <w:p>
      <w:pPr>
        <w:spacing w:after="0" w:line="312" w:lineRule="exact"/>
        <w:rPr>
          <w:sz w:val="20"/>
          <w:szCs w:val="20"/>
          <w:color w:val="auto"/>
        </w:rPr>
      </w:pPr>
    </w:p>
    <w:p>
      <w:pPr>
        <w:spacing w:after="0"/>
        <w:rPr>
          <w:sz w:val="20"/>
          <w:szCs w:val="20"/>
          <w:color w:val="auto"/>
        </w:rPr>
      </w:pPr>
      <w:r>
        <w:rPr>
          <w:rFonts w:ascii="Arial" w:cs="Arial" w:eastAsia="Arial" w:hAnsi="Arial"/>
          <w:sz w:val="16"/>
          <w:szCs w:val="16"/>
          <w:color w:val="auto"/>
        </w:rPr>
        <w:t>Date: March 15, 2018</w:t>
      </w:r>
    </w:p>
    <w:p>
      <w:pPr>
        <w:spacing w:after="0" w:line="200" w:lineRule="exact"/>
        <w:rPr>
          <w:sz w:val="20"/>
          <w:szCs w:val="20"/>
          <w:color w:val="auto"/>
        </w:rPr>
      </w:pPr>
    </w:p>
    <w:p>
      <w:pPr>
        <w:spacing w:after="0" w:line="365"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111</w:t>
      </w:r>
    </w:p>
    <w:p>
      <w:pPr>
        <w:sectPr>
          <w:pgSz w:w="11900" w:h="16838" w:orient="portrait"/>
          <w:cols w:equalWidth="0" w:num="1">
            <w:col w:w="11340"/>
          </w:cols>
          <w:pgMar w:left="240" w:top="123" w:right="319" w:bottom="1440" w:gutter="0" w:footer="0" w:header="0"/>
        </w:sectPr>
      </w:pPr>
    </w:p>
    <w:bookmarkStart w:id="111" w:name="page112"/>
    <w:bookmarkEnd w:id="111"/>
    <w:p>
      <w:pPr>
        <w:spacing w:after="0" w:line="348" w:lineRule="exact"/>
        <w:rPr>
          <w:sz w:val="20"/>
          <w:szCs w:val="20"/>
          <w:color w:val="auto"/>
        </w:rPr>
      </w:pPr>
    </w:p>
    <w:p>
      <w:pPr>
        <w:ind w:left="3"/>
        <w:spacing w:after="0"/>
        <w:rPr>
          <w:sz w:val="20"/>
          <w:szCs w:val="20"/>
          <w:color w:val="auto"/>
        </w:rPr>
      </w:pPr>
      <w:r>
        <w:rPr>
          <w:rFonts w:ascii="Arial" w:cs="Arial" w:eastAsia="Arial" w:hAnsi="Arial"/>
          <w:sz w:val="17"/>
          <w:szCs w:val="17"/>
          <w:color w:val="auto"/>
        </w:rPr>
        <w:t>December 17, 2014</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3"/>
        <w:spacing w:after="0"/>
        <w:rPr>
          <w:sz w:val="20"/>
          <w:szCs w:val="20"/>
          <w:color w:val="auto"/>
        </w:rPr>
      </w:pPr>
      <w:r>
        <w:rPr>
          <w:rFonts w:ascii="Arial" w:cs="Arial" w:eastAsia="Arial" w:hAnsi="Arial"/>
          <w:sz w:val="17"/>
          <w:szCs w:val="17"/>
          <w:color w:val="auto"/>
        </w:rPr>
        <w:t>[Address]</w:t>
      </w:r>
    </w:p>
    <w:p>
      <w:pPr>
        <w:spacing w:after="0" w:line="191" w:lineRule="exact"/>
        <w:rPr>
          <w:sz w:val="20"/>
          <w:szCs w:val="20"/>
          <w:color w:val="auto"/>
        </w:rPr>
      </w:pPr>
    </w:p>
    <w:p>
      <w:pPr>
        <w:ind w:left="3"/>
        <w:spacing w:after="0"/>
        <w:tabs>
          <w:tab w:leader="none" w:pos="803" w:val="left"/>
        </w:tabs>
        <w:rPr>
          <w:sz w:val="20"/>
          <w:szCs w:val="20"/>
          <w:color w:val="auto"/>
        </w:rPr>
      </w:pPr>
      <w:r>
        <w:rPr>
          <w:rFonts w:ascii="Arial" w:cs="Arial" w:eastAsia="Arial" w:hAnsi="Arial"/>
          <w:sz w:val="17"/>
          <w:szCs w:val="17"/>
          <w:color w:val="auto"/>
        </w:rPr>
        <w:t>Re:</w:t>
      </w:r>
      <w:r>
        <w:rPr>
          <w:sz w:val="20"/>
          <w:szCs w:val="20"/>
          <w:color w:val="auto"/>
        </w:rPr>
        <w:tab/>
      </w:r>
      <w:r>
        <w:rPr>
          <w:rFonts w:ascii="Arial" w:cs="Arial" w:eastAsia="Arial" w:hAnsi="Arial"/>
          <w:sz w:val="17"/>
          <w:szCs w:val="17"/>
          <w:u w:val="single" w:color="auto"/>
          <w:color w:val="auto"/>
        </w:rPr>
        <w:t>Employment Agreement</w:t>
      </w:r>
    </w:p>
    <w:p>
      <w:pPr>
        <w:spacing w:after="0" w:line="191" w:lineRule="exact"/>
        <w:rPr>
          <w:sz w:val="20"/>
          <w:szCs w:val="20"/>
          <w:color w:val="auto"/>
        </w:rPr>
      </w:pPr>
    </w:p>
    <w:p>
      <w:pPr>
        <w:ind w:left="3"/>
        <w:spacing w:after="0"/>
        <w:rPr>
          <w:sz w:val="20"/>
          <w:szCs w:val="20"/>
          <w:color w:val="auto"/>
        </w:rPr>
      </w:pPr>
      <w:r>
        <w:rPr>
          <w:rFonts w:ascii="Arial" w:cs="Arial" w:eastAsia="Arial" w:hAnsi="Arial"/>
          <w:sz w:val="17"/>
          <w:szCs w:val="17"/>
          <w:color w:val="auto"/>
        </w:rPr>
        <w:t>Dear Sharon:</w:t>
      </w:r>
    </w:p>
    <w:p>
      <w:pPr>
        <w:spacing w:after="0" w:line="191" w:lineRule="exact"/>
        <w:rPr>
          <w:sz w:val="20"/>
          <w:szCs w:val="20"/>
          <w:color w:val="auto"/>
        </w:rPr>
      </w:pPr>
    </w:p>
    <w:p>
      <w:pPr>
        <w:ind w:left="3" w:right="140"/>
        <w:spacing w:after="0" w:line="292" w:lineRule="auto"/>
        <w:rPr>
          <w:sz w:val="20"/>
          <w:szCs w:val="20"/>
          <w:color w:val="auto"/>
        </w:rPr>
      </w:pPr>
      <w:r>
        <w:rPr>
          <w:rFonts w:ascii="Arial" w:cs="Arial" w:eastAsia="Arial" w:hAnsi="Arial"/>
          <w:sz w:val="16"/>
          <w:szCs w:val="16"/>
          <w:color w:val="auto"/>
        </w:rPr>
        <w:t>This mutually agreeable form of employment agreement (this “</w:t>
      </w:r>
      <w:r>
        <w:rPr>
          <w:rFonts w:ascii="Arial" w:cs="Arial" w:eastAsia="Arial" w:hAnsi="Arial"/>
          <w:sz w:val="16"/>
          <w:szCs w:val="16"/>
          <w:i w:val="1"/>
          <w:iCs w:val="1"/>
          <w:color w:val="auto"/>
        </w:rPr>
        <w:t>Agreement</w:t>
      </w:r>
      <w:r>
        <w:rPr>
          <w:rFonts w:ascii="Arial" w:cs="Arial" w:eastAsia="Arial" w:hAnsi="Arial"/>
          <w:sz w:val="16"/>
          <w:szCs w:val="16"/>
          <w:color w:val="auto"/>
        </w:rPr>
        <w:t>”), will be your employment agreement with Eastman Kodak Company and will be effective on January 6, 2015 (“the Effective Date”). For purposes of this Agreement, the term “</w:t>
      </w:r>
      <w:r>
        <w:rPr>
          <w:rFonts w:ascii="Arial" w:cs="Arial" w:eastAsia="Arial" w:hAnsi="Arial"/>
          <w:sz w:val="16"/>
          <w:szCs w:val="16"/>
          <w:i w:val="1"/>
          <w:iCs w:val="1"/>
          <w:color w:val="auto"/>
        </w:rPr>
        <w:t>Company</w:t>
      </w:r>
      <w:r>
        <w:rPr>
          <w:rFonts w:ascii="Arial" w:cs="Arial" w:eastAsia="Arial" w:hAnsi="Arial"/>
          <w:sz w:val="16"/>
          <w:szCs w:val="16"/>
          <w:color w:val="auto"/>
        </w:rPr>
        <w:t>” shall refer to Eastman Kodak Company.</w:t>
      </w:r>
    </w:p>
    <w:p>
      <w:pPr>
        <w:spacing w:after="0" w:line="322" w:lineRule="exact"/>
        <w:rPr>
          <w:sz w:val="20"/>
          <w:szCs w:val="20"/>
          <w:color w:val="auto"/>
        </w:rPr>
      </w:pPr>
    </w:p>
    <w:p>
      <w:pPr>
        <w:ind w:left="423" w:hanging="423"/>
        <w:spacing w:after="0"/>
        <w:tabs>
          <w:tab w:leader="none" w:pos="423" w:val="left"/>
        </w:tabs>
        <w:numPr>
          <w:ilvl w:val="0"/>
          <w:numId w:val="47"/>
        </w:numPr>
        <w:rPr>
          <w:rFonts w:ascii="Arial" w:cs="Arial" w:eastAsia="Arial" w:hAnsi="Arial"/>
          <w:sz w:val="17"/>
          <w:szCs w:val="17"/>
          <w:b w:val="1"/>
          <w:bCs w:val="1"/>
          <w:color w:val="auto"/>
        </w:rPr>
      </w:pPr>
      <w:r>
        <w:rPr>
          <w:rFonts w:ascii="Arial" w:cs="Arial" w:eastAsia="Arial" w:hAnsi="Arial"/>
          <w:sz w:val="17"/>
          <w:szCs w:val="17"/>
          <w:b w:val="1"/>
          <w:bCs w:val="1"/>
          <w:color w:val="auto"/>
        </w:rPr>
        <w:t>Terms Schedule</w:t>
      </w:r>
    </w:p>
    <w:p>
      <w:pPr>
        <w:spacing w:after="0" w:line="195" w:lineRule="exact"/>
        <w:rPr>
          <w:sz w:val="20"/>
          <w:szCs w:val="20"/>
          <w:color w:val="auto"/>
        </w:rPr>
      </w:pPr>
    </w:p>
    <w:p>
      <w:pPr>
        <w:ind w:left="1183"/>
        <w:spacing w:after="0"/>
        <w:rPr>
          <w:sz w:val="20"/>
          <w:szCs w:val="20"/>
          <w:color w:val="auto"/>
        </w:rPr>
      </w:pPr>
      <w:r>
        <w:rPr>
          <w:rFonts w:ascii="Arial" w:cs="Arial" w:eastAsia="Arial" w:hAnsi="Arial"/>
          <w:sz w:val="17"/>
          <w:szCs w:val="17"/>
          <w:color w:val="auto"/>
        </w:rPr>
        <w:t>Some of the terms of your employment are in the attached schedule (your “</w:t>
      </w:r>
      <w:r>
        <w:rPr>
          <w:rFonts w:ascii="Arial" w:cs="Arial" w:eastAsia="Arial" w:hAnsi="Arial"/>
          <w:sz w:val="17"/>
          <w:szCs w:val="17"/>
          <w:i w:val="1"/>
          <w:iCs w:val="1"/>
          <w:color w:val="auto"/>
        </w:rPr>
        <w:t>Schedule</w:t>
      </w:r>
      <w:r>
        <w:rPr>
          <w:rFonts w:ascii="Arial" w:cs="Arial" w:eastAsia="Arial" w:hAnsi="Arial"/>
          <w:sz w:val="17"/>
          <w:szCs w:val="17"/>
          <w:color w:val="auto"/>
        </w:rPr>
        <w:t>”), which is part of this Agreement.</w:t>
      </w:r>
    </w:p>
    <w:p>
      <w:pPr>
        <w:spacing w:after="0" w:line="187" w:lineRule="exact"/>
        <w:rPr>
          <w:sz w:val="20"/>
          <w:szCs w:val="20"/>
          <w:color w:val="auto"/>
        </w:rPr>
      </w:pPr>
    </w:p>
    <w:p>
      <w:pPr>
        <w:ind w:left="423" w:hanging="423"/>
        <w:spacing w:after="0"/>
        <w:tabs>
          <w:tab w:leader="none" w:pos="423" w:val="left"/>
        </w:tabs>
        <w:numPr>
          <w:ilvl w:val="0"/>
          <w:numId w:val="48"/>
        </w:numPr>
        <w:rPr>
          <w:rFonts w:ascii="Arial" w:cs="Arial" w:eastAsia="Arial" w:hAnsi="Arial"/>
          <w:sz w:val="17"/>
          <w:szCs w:val="17"/>
          <w:b w:val="1"/>
          <w:bCs w:val="1"/>
          <w:color w:val="auto"/>
        </w:rPr>
      </w:pPr>
      <w:r>
        <w:rPr>
          <w:rFonts w:ascii="Arial" w:cs="Arial" w:eastAsia="Arial" w:hAnsi="Arial"/>
          <w:sz w:val="17"/>
          <w:szCs w:val="17"/>
          <w:b w:val="1"/>
          <w:bCs w:val="1"/>
          <w:color w:val="auto"/>
        </w:rPr>
        <w:t>Your Position, Performance and Other Activities</w:t>
      </w:r>
    </w:p>
    <w:p>
      <w:pPr>
        <w:spacing w:after="0" w:line="195" w:lineRule="exact"/>
        <w:rPr>
          <w:sz w:val="20"/>
          <w:szCs w:val="20"/>
          <w:color w:val="auto"/>
        </w:rPr>
      </w:pPr>
    </w:p>
    <w:p>
      <w:pPr>
        <w:ind w:left="1183"/>
        <w:spacing w:after="0"/>
        <w:rPr>
          <w:sz w:val="20"/>
          <w:szCs w:val="20"/>
          <w:color w:val="auto"/>
        </w:rPr>
      </w:pPr>
      <w:r>
        <w:rPr>
          <w:rFonts w:ascii="Arial" w:cs="Arial" w:eastAsia="Arial" w:hAnsi="Arial"/>
          <w:sz w:val="17"/>
          <w:szCs w:val="17"/>
          <w:color w:val="auto"/>
        </w:rPr>
        <w:t>Position.</w:t>
      </w:r>
    </w:p>
    <w:p>
      <w:pPr>
        <w:spacing w:after="0" w:line="191" w:lineRule="exact"/>
        <w:rPr>
          <w:sz w:val="20"/>
          <w:szCs w:val="20"/>
          <w:color w:val="auto"/>
        </w:rPr>
      </w:pPr>
    </w:p>
    <w:p>
      <w:pPr>
        <w:ind w:left="1263"/>
        <w:spacing w:after="0"/>
        <w:rPr>
          <w:sz w:val="20"/>
          <w:szCs w:val="20"/>
          <w:color w:val="auto"/>
        </w:rPr>
      </w:pPr>
      <w:r>
        <w:rPr>
          <w:rFonts w:ascii="Arial" w:cs="Arial" w:eastAsia="Arial" w:hAnsi="Arial"/>
          <w:sz w:val="17"/>
          <w:szCs w:val="17"/>
          <w:color w:val="auto"/>
        </w:rPr>
        <w:t>You will be employed in the position stated in your Schedule.</w:t>
      </w:r>
    </w:p>
    <w:p>
      <w:pPr>
        <w:spacing w:after="0" w:line="191" w:lineRule="exact"/>
        <w:rPr>
          <w:sz w:val="20"/>
          <w:szCs w:val="20"/>
          <w:color w:val="auto"/>
        </w:rPr>
      </w:pPr>
    </w:p>
    <w:p>
      <w:pPr>
        <w:ind w:left="1183"/>
        <w:spacing w:after="0"/>
        <w:rPr>
          <w:sz w:val="20"/>
          <w:szCs w:val="20"/>
          <w:color w:val="auto"/>
        </w:rPr>
      </w:pPr>
      <w:r>
        <w:rPr>
          <w:rFonts w:ascii="Arial" w:cs="Arial" w:eastAsia="Arial" w:hAnsi="Arial"/>
          <w:sz w:val="17"/>
          <w:szCs w:val="17"/>
          <w:color w:val="auto"/>
        </w:rPr>
        <w:t>Authority, Responsibilities, and Reporting.</w:t>
      </w:r>
    </w:p>
    <w:p>
      <w:pPr>
        <w:spacing w:after="0" w:line="191" w:lineRule="exact"/>
        <w:rPr>
          <w:sz w:val="20"/>
          <w:szCs w:val="20"/>
          <w:color w:val="auto"/>
        </w:rPr>
      </w:pPr>
    </w:p>
    <w:p>
      <w:pPr>
        <w:ind w:left="3" w:right="140" w:firstLine="1257"/>
        <w:spacing w:after="0" w:line="249" w:lineRule="auto"/>
        <w:rPr>
          <w:sz w:val="20"/>
          <w:szCs w:val="20"/>
          <w:color w:val="auto"/>
        </w:rPr>
      </w:pPr>
      <w:r>
        <w:rPr>
          <w:rFonts w:ascii="Arial" w:cs="Arial" w:eastAsia="Arial" w:hAnsi="Arial"/>
          <w:sz w:val="17"/>
          <w:szCs w:val="17"/>
          <w:color w:val="auto"/>
        </w:rPr>
        <w:t>Your authority, responsibilities and reporting relationships will correspond to your position and will include any particular authority, responsibilities and reporting relationships that the Company’s Board of Directors (the “</w:t>
      </w:r>
      <w:r>
        <w:rPr>
          <w:rFonts w:ascii="Arial" w:cs="Arial" w:eastAsia="Arial" w:hAnsi="Arial"/>
          <w:sz w:val="17"/>
          <w:szCs w:val="17"/>
          <w:i w:val="1"/>
          <w:iCs w:val="1"/>
          <w:color w:val="auto"/>
        </w:rPr>
        <w:t>Board</w:t>
      </w:r>
      <w:r>
        <w:rPr>
          <w:rFonts w:ascii="Arial" w:cs="Arial" w:eastAsia="Arial" w:hAnsi="Arial"/>
          <w:sz w:val="17"/>
          <w:szCs w:val="17"/>
          <w:color w:val="auto"/>
        </w:rPr>
        <w:t>”) or any officer of the Company to whom you report may assign to you from time to time.</w:t>
      </w:r>
    </w:p>
    <w:p>
      <w:pPr>
        <w:spacing w:after="0" w:line="165" w:lineRule="exact"/>
        <w:rPr>
          <w:sz w:val="20"/>
          <w:szCs w:val="20"/>
          <w:color w:val="auto"/>
        </w:rPr>
      </w:pPr>
    </w:p>
    <w:p>
      <w:pPr>
        <w:ind w:left="1183"/>
        <w:spacing w:after="0"/>
        <w:rPr>
          <w:sz w:val="20"/>
          <w:szCs w:val="20"/>
          <w:color w:val="auto"/>
        </w:rPr>
      </w:pPr>
      <w:r>
        <w:rPr>
          <w:rFonts w:ascii="Arial" w:cs="Arial" w:eastAsia="Arial" w:hAnsi="Arial"/>
          <w:sz w:val="17"/>
          <w:szCs w:val="17"/>
          <w:color w:val="auto"/>
        </w:rPr>
        <w:t>Performance.</w:t>
      </w:r>
    </w:p>
    <w:p>
      <w:pPr>
        <w:spacing w:after="0" w:line="191" w:lineRule="exact"/>
        <w:rPr>
          <w:sz w:val="20"/>
          <w:szCs w:val="20"/>
          <w:color w:val="auto"/>
        </w:rPr>
      </w:pPr>
    </w:p>
    <w:p>
      <w:pPr>
        <w:ind w:left="3" w:firstLine="1257"/>
        <w:spacing w:after="0" w:line="261" w:lineRule="auto"/>
        <w:rPr>
          <w:sz w:val="20"/>
          <w:szCs w:val="20"/>
          <w:color w:val="auto"/>
        </w:rPr>
      </w:pPr>
      <w:r>
        <w:rPr>
          <w:rFonts w:ascii="Arial" w:cs="Arial" w:eastAsia="Arial" w:hAnsi="Arial"/>
          <w:sz w:val="17"/>
          <w:szCs w:val="17"/>
          <w:color w:val="auto"/>
        </w:rPr>
        <w:t>You are expected to devote your best efforts and all of your business time to the affairs of the Company. You may, however, engage in any charitable, civic and community activities, provided, however, such activities do not materially interfere with your duties and responsibilities.</w:t>
      </w:r>
    </w:p>
    <w:p>
      <w:pPr>
        <w:spacing w:after="0" w:line="151" w:lineRule="exact"/>
        <w:rPr>
          <w:sz w:val="20"/>
          <w:szCs w:val="20"/>
          <w:color w:val="auto"/>
        </w:rPr>
      </w:pPr>
    </w:p>
    <w:p>
      <w:pPr>
        <w:ind w:left="1183" w:right="9540" w:hanging="1183"/>
        <w:spacing w:after="0" w:line="540" w:lineRule="auto"/>
        <w:tabs>
          <w:tab w:leader="none" w:pos="422" w:val="left"/>
        </w:tabs>
        <w:numPr>
          <w:ilvl w:val="0"/>
          <w:numId w:val="49"/>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Your Compensation </w:t>
      </w:r>
      <w:r>
        <w:rPr>
          <w:rFonts w:ascii="Arial" w:cs="Arial" w:eastAsia="Arial" w:hAnsi="Arial"/>
          <w:sz w:val="15"/>
          <w:szCs w:val="15"/>
          <w:color w:val="auto"/>
        </w:rPr>
        <w:t>Salary.</w:t>
      </w:r>
    </w:p>
    <w:p>
      <w:pPr>
        <w:spacing w:after="0" w:line="1" w:lineRule="exact"/>
        <w:rPr>
          <w:sz w:val="20"/>
          <w:szCs w:val="20"/>
          <w:color w:val="auto"/>
        </w:rPr>
      </w:pPr>
    </w:p>
    <w:p>
      <w:pPr>
        <w:ind w:left="3" w:right="580" w:firstLine="1257"/>
        <w:spacing w:after="0" w:line="261" w:lineRule="auto"/>
        <w:rPr>
          <w:sz w:val="20"/>
          <w:szCs w:val="20"/>
          <w:color w:val="auto"/>
        </w:rPr>
      </w:pPr>
      <w:r>
        <w:rPr>
          <w:rFonts w:ascii="Arial" w:cs="Arial" w:eastAsia="Arial" w:hAnsi="Arial"/>
          <w:sz w:val="17"/>
          <w:szCs w:val="17"/>
          <w:color w:val="auto"/>
        </w:rPr>
        <w:t>You will receive an annual base salary (your “</w:t>
      </w:r>
      <w:r>
        <w:rPr>
          <w:rFonts w:ascii="Arial" w:cs="Arial" w:eastAsia="Arial" w:hAnsi="Arial"/>
          <w:sz w:val="17"/>
          <w:szCs w:val="17"/>
          <w:i w:val="1"/>
          <w:iCs w:val="1"/>
          <w:color w:val="auto"/>
        </w:rPr>
        <w:t>Salary</w:t>
      </w:r>
      <w:r>
        <w:rPr>
          <w:rFonts w:ascii="Arial" w:cs="Arial" w:eastAsia="Arial" w:hAnsi="Arial"/>
          <w:sz w:val="17"/>
          <w:szCs w:val="17"/>
          <w:color w:val="auto"/>
        </w:rPr>
        <w:t>”). Commencing on the Effective Date, your Salary will be the amount set forth in your Schedule. Your Salary will be paid in accordance with the Company's normal payroll practices.</w:t>
      </w:r>
    </w:p>
    <w:p>
      <w:pPr>
        <w:spacing w:after="0" w:line="155" w:lineRule="exact"/>
        <w:rPr>
          <w:sz w:val="20"/>
          <w:szCs w:val="20"/>
          <w:color w:val="auto"/>
        </w:rPr>
      </w:pPr>
    </w:p>
    <w:p>
      <w:pPr>
        <w:ind w:left="1183"/>
        <w:spacing w:after="0"/>
        <w:rPr>
          <w:sz w:val="20"/>
          <w:szCs w:val="20"/>
          <w:color w:val="auto"/>
        </w:rPr>
      </w:pPr>
      <w:r>
        <w:rPr>
          <w:rFonts w:ascii="Arial" w:cs="Arial" w:eastAsia="Arial" w:hAnsi="Arial"/>
          <w:sz w:val="17"/>
          <w:szCs w:val="17"/>
          <w:color w:val="auto"/>
        </w:rPr>
        <w:t>Annual Incentive.</w:t>
      </w:r>
    </w:p>
    <w:p>
      <w:pPr>
        <w:spacing w:after="0" w:line="191" w:lineRule="exact"/>
        <w:rPr>
          <w:sz w:val="20"/>
          <w:szCs w:val="20"/>
          <w:color w:val="auto"/>
        </w:rPr>
      </w:pPr>
    </w:p>
    <w:p>
      <w:pPr>
        <w:ind w:left="3" w:right="180" w:firstLine="1257"/>
        <w:spacing w:after="0" w:line="249" w:lineRule="auto"/>
        <w:rPr>
          <w:sz w:val="20"/>
          <w:szCs w:val="20"/>
          <w:color w:val="auto"/>
        </w:rPr>
      </w:pPr>
      <w:r>
        <w:rPr>
          <w:rFonts w:ascii="Arial" w:cs="Arial" w:eastAsia="Arial" w:hAnsi="Arial"/>
          <w:sz w:val="17"/>
          <w:szCs w:val="17"/>
          <w:color w:val="auto"/>
        </w:rPr>
        <w:t>You will be eligible to participate in the Company’s short-term variable pay plan for its management level employees, known as Executive Compensation for Excellence and Leadership (“EXCEL”) (your “</w:t>
      </w:r>
      <w:r>
        <w:rPr>
          <w:rFonts w:ascii="Arial" w:cs="Arial" w:eastAsia="Arial" w:hAnsi="Arial"/>
          <w:sz w:val="17"/>
          <w:szCs w:val="17"/>
          <w:i w:val="1"/>
          <w:iCs w:val="1"/>
          <w:color w:val="auto"/>
        </w:rPr>
        <w:t>Annual Incentive</w:t>
      </w:r>
      <w:r>
        <w:rPr>
          <w:rFonts w:ascii="Arial" w:cs="Arial" w:eastAsia="Arial" w:hAnsi="Arial"/>
          <w:sz w:val="17"/>
          <w:szCs w:val="17"/>
          <w:color w:val="auto"/>
        </w:rPr>
        <w:t>”). Your annual target award under EXCEL will be determined in accordance with your Schedule. Any actual award in a given annual performance period will depend upon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104775</wp:posOffset>
            </wp:positionV>
            <wp:extent cx="7301865" cy="406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4">
                      <a:extLst>
                        <a:ext uri="{28A0092B-C50C-407E-A947-70E740481C1C}"/>
                      </a:extLst>
                    </a:blip>
                    <a:srcRect/>
                    <a:stretch>
                      <a:fillRect/>
                    </a:stretch>
                  </pic:blipFill>
                  <pic:spPr bwMode="auto">
                    <a:xfrm>
                      <a:off x="0" y="0"/>
                      <a:ext cx="7301865" cy="40640"/>
                    </a:xfrm>
                    <a:prstGeom prst="rect">
                      <a:avLst/>
                    </a:prstGeom>
                    <a:noFill/>
                  </pic:spPr>
                </pic:pic>
              </a:graphicData>
            </a:graphic>
          </wp:anchor>
        </w:drawing>
      </w:r>
    </w:p>
    <w:p>
      <w:pPr>
        <w:sectPr>
          <w:pgSz w:w="11900" w:h="16838" w:orient="portrait"/>
          <w:cols w:equalWidth="0" w:num="1">
            <w:col w:w="11403"/>
          </w:cols>
          <w:pgMar w:left="237" w:top="1440" w:right="259" w:bottom="1440" w:gutter="0" w:footer="0" w:header="0"/>
        </w:sectPr>
      </w:pPr>
    </w:p>
    <w:bookmarkStart w:id="112" w:name="page113"/>
    <w:bookmarkEnd w:id="112"/>
    <w:p>
      <w:pPr>
        <w:ind w:left="8383"/>
        <w:spacing w:after="0"/>
        <w:rPr>
          <w:sz w:val="20"/>
          <w:szCs w:val="20"/>
          <w:color w:val="auto"/>
        </w:rPr>
      </w:pPr>
      <w:r>
        <w:rPr>
          <w:rFonts w:ascii="Arial" w:cs="Arial" w:eastAsia="Arial" w:hAnsi="Arial"/>
          <w:sz w:val="17"/>
          <w:szCs w:val="17"/>
          <w:color w:val="auto"/>
        </w:rPr>
        <w:t>-2-</w:t>
      </w:r>
    </w:p>
    <w:p>
      <w:pPr>
        <w:spacing w:after="0" w:line="192" w:lineRule="exact"/>
        <w:rPr>
          <w:sz w:val="20"/>
          <w:szCs w:val="20"/>
          <w:color w:val="auto"/>
        </w:rPr>
      </w:pPr>
    </w:p>
    <w:p>
      <w:pPr>
        <w:ind w:left="3" w:right="420"/>
        <w:spacing w:after="0" w:line="261" w:lineRule="auto"/>
        <w:rPr>
          <w:sz w:val="20"/>
          <w:szCs w:val="20"/>
          <w:color w:val="auto"/>
        </w:rPr>
      </w:pPr>
      <w:r>
        <w:rPr>
          <w:rFonts w:ascii="Arial" w:cs="Arial" w:eastAsia="Arial" w:hAnsi="Arial"/>
          <w:sz w:val="17"/>
          <w:szCs w:val="17"/>
          <w:color w:val="auto"/>
        </w:rPr>
        <w:t>against corporate goals selected by management and approved by the appropriate committee of the Board and will be paid in the discretion of such committee and management. The terms of the EXCEL plan itself govern and control all interpretations of the plan.</w:t>
      </w:r>
    </w:p>
    <w:p>
      <w:pPr>
        <w:spacing w:after="0" w:line="155" w:lineRule="exact"/>
        <w:rPr>
          <w:sz w:val="20"/>
          <w:szCs w:val="20"/>
          <w:color w:val="auto"/>
        </w:rPr>
      </w:pPr>
    </w:p>
    <w:p>
      <w:pPr>
        <w:jc w:val="both"/>
        <w:ind w:left="3" w:right="200" w:firstLine="1176"/>
        <w:spacing w:after="0" w:line="288" w:lineRule="auto"/>
        <w:tabs>
          <w:tab w:leader="none" w:pos="2434" w:val="left"/>
        </w:tabs>
        <w:numPr>
          <w:ilvl w:val="1"/>
          <w:numId w:val="50"/>
        </w:numPr>
        <w:rPr>
          <w:rFonts w:ascii="Arial" w:cs="Arial" w:eastAsia="Arial" w:hAnsi="Arial"/>
          <w:sz w:val="15"/>
          <w:szCs w:val="15"/>
          <w:color w:val="auto"/>
        </w:rPr>
      </w:pPr>
      <w:r>
        <w:rPr>
          <w:rFonts w:ascii="Arial" w:cs="Arial" w:eastAsia="Arial" w:hAnsi="Arial"/>
          <w:sz w:val="15"/>
          <w:szCs w:val="15"/>
          <w:i w:val="1"/>
          <w:iCs w:val="1"/>
          <w:color w:val="auto"/>
        </w:rPr>
        <w:t>Long-Term Incentive Awards</w:t>
      </w:r>
      <w:r>
        <w:rPr>
          <w:rFonts w:ascii="Arial" w:cs="Arial" w:eastAsia="Arial" w:hAnsi="Arial"/>
          <w:sz w:val="15"/>
          <w:szCs w:val="15"/>
          <w:color w:val="auto"/>
        </w:rPr>
        <w:t>. You will be eligible to participate in the Company’s Long-Term Incentive (LTI) program under the</w:t>
      </w:r>
      <w:r>
        <w:rPr>
          <w:rFonts w:ascii="Arial" w:cs="Arial" w:eastAsia="Arial" w:hAnsi="Arial"/>
          <w:sz w:val="15"/>
          <w:szCs w:val="15"/>
          <w:i w:val="1"/>
          <w:iCs w:val="1"/>
          <w:color w:val="auto"/>
        </w:rPr>
        <w:t xml:space="preserve"> </w:t>
      </w:r>
      <w:r>
        <w:rPr>
          <w:rFonts w:ascii="Arial" w:cs="Arial" w:eastAsia="Arial" w:hAnsi="Arial"/>
          <w:sz w:val="15"/>
          <w:szCs w:val="15"/>
          <w:color w:val="auto"/>
        </w:rPr>
        <w:t>Eastman Kodak Company 2013 Omnibus Incentive Plan (the “</w:t>
      </w:r>
      <w:r>
        <w:rPr>
          <w:rFonts w:ascii="Arial" w:cs="Arial" w:eastAsia="Arial" w:hAnsi="Arial"/>
          <w:sz w:val="15"/>
          <w:szCs w:val="15"/>
          <w:i w:val="1"/>
          <w:iCs w:val="1"/>
          <w:color w:val="auto"/>
        </w:rPr>
        <w:t>Omnibus Plan</w:t>
      </w:r>
      <w:r>
        <w:rPr>
          <w:rFonts w:ascii="Arial" w:cs="Arial" w:eastAsia="Arial" w:hAnsi="Arial"/>
          <w:sz w:val="15"/>
          <w:szCs w:val="15"/>
          <w:color w:val="auto"/>
        </w:rPr>
        <w:t>”). The amount and form of the award (the “</w:t>
      </w:r>
      <w:r>
        <w:rPr>
          <w:rFonts w:ascii="Arial" w:cs="Arial" w:eastAsia="Arial" w:hAnsi="Arial"/>
          <w:sz w:val="15"/>
          <w:szCs w:val="15"/>
          <w:i w:val="1"/>
          <w:iCs w:val="1"/>
          <w:color w:val="auto"/>
        </w:rPr>
        <w:t>Long-Term Equity Award</w:t>
      </w:r>
      <w:r>
        <w:rPr>
          <w:rFonts w:ascii="Arial" w:cs="Arial" w:eastAsia="Arial" w:hAnsi="Arial"/>
          <w:sz w:val="15"/>
          <w:szCs w:val="15"/>
          <w:color w:val="auto"/>
        </w:rPr>
        <w:t>”) to be granted to you will be determined by the Company in accordance with the terms of the Omnibus Plan and your Schedule. The specific terms, conditions and restrictions on any Long-Term Equity Award will be contained in the Administrative Guide and Award Notice delivered to you within twenty (20) business days of the grant date.</w:t>
      </w:r>
    </w:p>
    <w:p>
      <w:pPr>
        <w:spacing w:after="0" w:line="135" w:lineRule="exact"/>
        <w:rPr>
          <w:rFonts w:ascii="Arial" w:cs="Arial" w:eastAsia="Arial" w:hAnsi="Arial"/>
          <w:sz w:val="15"/>
          <w:szCs w:val="15"/>
          <w:color w:val="auto"/>
        </w:rPr>
      </w:pPr>
    </w:p>
    <w:p>
      <w:pPr>
        <w:ind w:left="423" w:hanging="423"/>
        <w:spacing w:after="0"/>
        <w:tabs>
          <w:tab w:leader="none" w:pos="423" w:val="left"/>
        </w:tabs>
        <w:numPr>
          <w:ilvl w:val="0"/>
          <w:numId w:val="51"/>
        </w:numPr>
        <w:rPr>
          <w:rFonts w:ascii="Arial" w:cs="Arial" w:eastAsia="Arial" w:hAnsi="Arial"/>
          <w:sz w:val="17"/>
          <w:szCs w:val="17"/>
          <w:b w:val="1"/>
          <w:bCs w:val="1"/>
          <w:color w:val="auto"/>
        </w:rPr>
      </w:pPr>
      <w:r>
        <w:rPr>
          <w:rFonts w:ascii="Arial" w:cs="Arial" w:eastAsia="Arial" w:hAnsi="Arial"/>
          <w:sz w:val="17"/>
          <w:szCs w:val="17"/>
          <w:b w:val="1"/>
          <w:bCs w:val="1"/>
          <w:color w:val="auto"/>
        </w:rPr>
        <w:t>Your Benefits</w:t>
      </w:r>
    </w:p>
    <w:p>
      <w:pPr>
        <w:spacing w:after="0" w:line="195" w:lineRule="exact"/>
        <w:rPr>
          <w:sz w:val="20"/>
          <w:szCs w:val="20"/>
          <w:color w:val="auto"/>
        </w:rPr>
      </w:pPr>
    </w:p>
    <w:p>
      <w:pPr>
        <w:ind w:left="1183"/>
        <w:spacing w:after="0"/>
        <w:rPr>
          <w:sz w:val="20"/>
          <w:szCs w:val="20"/>
          <w:color w:val="auto"/>
        </w:rPr>
      </w:pPr>
      <w:r>
        <w:rPr>
          <w:rFonts w:ascii="Arial" w:cs="Arial" w:eastAsia="Arial" w:hAnsi="Arial"/>
          <w:sz w:val="17"/>
          <w:szCs w:val="17"/>
          <w:color w:val="auto"/>
        </w:rPr>
        <w:t>Employee Benefit Plans.</w:t>
      </w:r>
    </w:p>
    <w:p>
      <w:pPr>
        <w:spacing w:after="0" w:line="191" w:lineRule="exact"/>
        <w:rPr>
          <w:sz w:val="20"/>
          <w:szCs w:val="20"/>
          <w:color w:val="auto"/>
        </w:rPr>
      </w:pPr>
    </w:p>
    <w:p>
      <w:pPr>
        <w:ind w:left="2483" w:hanging="1304"/>
        <w:spacing w:after="0"/>
        <w:tabs>
          <w:tab w:leader="none" w:pos="2483" w:val="left"/>
        </w:tabs>
        <w:numPr>
          <w:ilvl w:val="0"/>
          <w:numId w:val="52"/>
        </w:numPr>
        <w:rPr>
          <w:rFonts w:ascii="Arial" w:cs="Arial" w:eastAsia="Arial" w:hAnsi="Arial"/>
          <w:sz w:val="15"/>
          <w:szCs w:val="15"/>
          <w:color w:val="auto"/>
        </w:rPr>
      </w:pPr>
      <w:r>
        <w:rPr>
          <w:rFonts w:ascii="Arial" w:cs="Arial" w:eastAsia="Arial" w:hAnsi="Arial"/>
          <w:sz w:val="15"/>
          <w:szCs w:val="15"/>
          <w:color w:val="auto"/>
        </w:rPr>
        <w:t>During your employment, you will be entitled to participate in the Company's employee benefit plans, including plans that provide</w:t>
      </w:r>
    </w:p>
    <w:p>
      <w:pPr>
        <w:spacing w:after="0" w:line="34" w:lineRule="exact"/>
        <w:rPr>
          <w:rFonts w:ascii="Arial" w:cs="Arial" w:eastAsia="Arial" w:hAnsi="Arial"/>
          <w:sz w:val="15"/>
          <w:szCs w:val="15"/>
          <w:color w:val="auto"/>
        </w:rPr>
      </w:pPr>
    </w:p>
    <w:p>
      <w:pPr>
        <w:ind w:left="3"/>
        <w:spacing w:after="0"/>
        <w:rPr>
          <w:rFonts w:ascii="Arial" w:cs="Arial" w:eastAsia="Arial" w:hAnsi="Arial"/>
          <w:sz w:val="15"/>
          <w:szCs w:val="15"/>
          <w:color w:val="auto"/>
        </w:rPr>
      </w:pPr>
      <w:r>
        <w:rPr>
          <w:rFonts w:ascii="Arial" w:cs="Arial" w:eastAsia="Arial" w:hAnsi="Arial"/>
          <w:sz w:val="17"/>
          <w:szCs w:val="17"/>
          <w:color w:val="auto"/>
        </w:rPr>
        <w:t>retirement and welfare benefits.</w:t>
      </w:r>
    </w:p>
    <w:p>
      <w:pPr>
        <w:spacing w:after="0" w:line="177" w:lineRule="exact"/>
        <w:rPr>
          <w:sz w:val="20"/>
          <w:szCs w:val="20"/>
          <w:color w:val="auto"/>
        </w:rPr>
      </w:pPr>
    </w:p>
    <w:p>
      <w:pPr>
        <w:ind w:left="1183" w:right="1140" w:hanging="4"/>
        <w:spacing w:after="0" w:line="474" w:lineRule="auto"/>
        <w:tabs>
          <w:tab w:leader="none" w:pos="2444" w:val="left"/>
        </w:tabs>
        <w:numPr>
          <w:ilvl w:val="1"/>
          <w:numId w:val="53"/>
        </w:numPr>
        <w:rPr>
          <w:rFonts w:ascii="Arial" w:cs="Arial" w:eastAsia="Arial" w:hAnsi="Arial"/>
          <w:sz w:val="17"/>
          <w:szCs w:val="17"/>
          <w:color w:val="auto"/>
        </w:rPr>
      </w:pPr>
      <w:r>
        <w:rPr>
          <w:rFonts w:ascii="Arial" w:cs="Arial" w:eastAsia="Arial" w:hAnsi="Arial"/>
          <w:sz w:val="17"/>
          <w:szCs w:val="17"/>
          <w:i w:val="1"/>
          <w:iCs w:val="1"/>
          <w:color w:val="auto"/>
        </w:rPr>
        <w:t xml:space="preserve">Vacation. </w:t>
      </w:r>
      <w:r>
        <w:rPr>
          <w:rFonts w:ascii="Arial" w:cs="Arial" w:eastAsia="Arial" w:hAnsi="Arial"/>
          <w:sz w:val="17"/>
          <w:szCs w:val="17"/>
          <w:color w:val="auto"/>
        </w:rPr>
        <w:t>You will be entitled to paid annual vacation on the same basis as immediately prior to the Effective Date.</w:t>
      </w:r>
      <w:r>
        <w:rPr>
          <w:rFonts w:ascii="Arial" w:cs="Arial" w:eastAsia="Arial" w:hAnsi="Arial"/>
          <w:sz w:val="17"/>
          <w:szCs w:val="17"/>
          <w:i w:val="1"/>
          <w:iCs w:val="1"/>
          <w:color w:val="auto"/>
        </w:rPr>
        <w:t xml:space="preserve"> </w:t>
      </w:r>
      <w:r>
        <w:rPr>
          <w:rFonts w:ascii="Arial" w:cs="Arial" w:eastAsia="Arial" w:hAnsi="Arial"/>
          <w:sz w:val="17"/>
          <w:szCs w:val="17"/>
          <w:color w:val="auto"/>
        </w:rPr>
        <w:t>Additional Benefits.</w:t>
      </w:r>
    </w:p>
    <w:p>
      <w:pPr>
        <w:spacing w:after="0" w:line="1" w:lineRule="exact"/>
        <w:rPr>
          <w:rFonts w:ascii="Arial" w:cs="Arial" w:eastAsia="Arial" w:hAnsi="Arial"/>
          <w:sz w:val="17"/>
          <w:szCs w:val="17"/>
          <w:color w:val="auto"/>
        </w:rPr>
      </w:pPr>
    </w:p>
    <w:p>
      <w:pPr>
        <w:ind w:left="1263"/>
        <w:spacing w:after="0"/>
        <w:rPr>
          <w:rFonts w:ascii="Arial" w:cs="Arial" w:eastAsia="Arial" w:hAnsi="Arial"/>
          <w:sz w:val="17"/>
          <w:szCs w:val="17"/>
          <w:color w:val="auto"/>
        </w:rPr>
      </w:pPr>
      <w:r>
        <w:rPr>
          <w:rFonts w:ascii="Arial" w:cs="Arial" w:eastAsia="Arial" w:hAnsi="Arial"/>
          <w:sz w:val="17"/>
          <w:szCs w:val="17"/>
          <w:color w:val="auto"/>
        </w:rPr>
        <w:t>During your employment, you will be provided any additional benefits stated in your Schedule.</w:t>
      </w:r>
    </w:p>
    <w:p>
      <w:pPr>
        <w:spacing w:after="0" w:line="187" w:lineRule="exact"/>
        <w:rPr>
          <w:rFonts w:ascii="Arial" w:cs="Arial" w:eastAsia="Arial" w:hAnsi="Arial"/>
          <w:sz w:val="17"/>
          <w:szCs w:val="17"/>
          <w:color w:val="auto"/>
        </w:rPr>
      </w:pPr>
    </w:p>
    <w:p>
      <w:pPr>
        <w:ind w:left="423" w:hanging="423"/>
        <w:spacing w:after="0"/>
        <w:tabs>
          <w:tab w:leader="none" w:pos="423" w:val="left"/>
        </w:tabs>
        <w:numPr>
          <w:ilvl w:val="0"/>
          <w:numId w:val="54"/>
        </w:numPr>
        <w:rPr>
          <w:rFonts w:ascii="Arial" w:cs="Arial" w:eastAsia="Arial" w:hAnsi="Arial"/>
          <w:sz w:val="17"/>
          <w:szCs w:val="17"/>
          <w:b w:val="1"/>
          <w:bCs w:val="1"/>
          <w:color w:val="auto"/>
        </w:rPr>
      </w:pPr>
      <w:r>
        <w:rPr>
          <w:rFonts w:ascii="Arial" w:cs="Arial" w:eastAsia="Arial" w:hAnsi="Arial"/>
          <w:sz w:val="17"/>
          <w:szCs w:val="17"/>
          <w:b w:val="1"/>
          <w:bCs w:val="1"/>
          <w:color w:val="auto"/>
        </w:rPr>
        <w:t>Termination of Your Employment</w:t>
      </w:r>
    </w:p>
    <w:p>
      <w:pPr>
        <w:spacing w:after="0" w:line="195" w:lineRule="exact"/>
        <w:rPr>
          <w:sz w:val="20"/>
          <w:szCs w:val="20"/>
          <w:color w:val="auto"/>
        </w:rPr>
      </w:pPr>
    </w:p>
    <w:p>
      <w:pPr>
        <w:ind w:left="1183"/>
        <w:spacing w:after="0"/>
        <w:rPr>
          <w:sz w:val="20"/>
          <w:szCs w:val="20"/>
          <w:color w:val="auto"/>
        </w:rPr>
      </w:pPr>
      <w:r>
        <w:rPr>
          <w:rFonts w:ascii="Arial" w:cs="Arial" w:eastAsia="Arial" w:hAnsi="Arial"/>
          <w:sz w:val="17"/>
          <w:szCs w:val="17"/>
          <w:color w:val="auto"/>
        </w:rPr>
        <w:t>No Reason Required.</w:t>
      </w:r>
    </w:p>
    <w:p>
      <w:pPr>
        <w:spacing w:after="0" w:line="191" w:lineRule="exact"/>
        <w:rPr>
          <w:sz w:val="20"/>
          <w:szCs w:val="20"/>
          <w:color w:val="auto"/>
        </w:rPr>
      </w:pPr>
    </w:p>
    <w:p>
      <w:pPr>
        <w:ind w:left="3" w:right="780" w:firstLine="1264"/>
        <w:spacing w:after="0" w:line="261" w:lineRule="auto"/>
        <w:rPr>
          <w:sz w:val="20"/>
          <w:szCs w:val="20"/>
          <w:color w:val="auto"/>
        </w:rPr>
      </w:pPr>
      <w:r>
        <w:rPr>
          <w:rFonts w:ascii="Arial" w:cs="Arial" w:eastAsia="Arial" w:hAnsi="Arial"/>
          <w:sz w:val="17"/>
          <w:szCs w:val="17"/>
          <w:color w:val="auto"/>
        </w:rPr>
        <w:t>Neither you nor the Company is under any obligation to continue your employment. In addition, you or the Company may terminate your employment at any time for any reason, or for no reason, subject to compliance with Section 5(c).</w:t>
      </w:r>
    </w:p>
    <w:p>
      <w:pPr>
        <w:spacing w:after="0" w:line="155" w:lineRule="exact"/>
        <w:rPr>
          <w:sz w:val="20"/>
          <w:szCs w:val="20"/>
          <w:color w:val="auto"/>
        </w:rPr>
      </w:pPr>
    </w:p>
    <w:p>
      <w:pPr>
        <w:ind w:left="2443" w:hanging="1264"/>
        <w:spacing w:after="0"/>
        <w:tabs>
          <w:tab w:leader="none" w:pos="2443" w:val="left"/>
        </w:tabs>
        <w:numPr>
          <w:ilvl w:val="0"/>
          <w:numId w:val="55"/>
        </w:numPr>
        <w:rPr>
          <w:rFonts w:ascii="Arial" w:cs="Arial" w:eastAsia="Arial" w:hAnsi="Arial"/>
          <w:sz w:val="17"/>
          <w:szCs w:val="17"/>
          <w:color w:val="auto"/>
        </w:rPr>
      </w:pPr>
      <w:r>
        <w:rPr>
          <w:rFonts w:ascii="Arial" w:cs="Arial" w:eastAsia="Arial" w:hAnsi="Arial"/>
          <w:sz w:val="17"/>
          <w:szCs w:val="17"/>
          <w:i w:val="1"/>
          <w:iCs w:val="1"/>
          <w:color w:val="auto"/>
        </w:rPr>
        <w:t>Related Definitions.</w:t>
      </w:r>
    </w:p>
    <w:p>
      <w:pPr>
        <w:spacing w:after="0" w:line="191" w:lineRule="exact"/>
        <w:rPr>
          <w:rFonts w:ascii="Arial" w:cs="Arial" w:eastAsia="Arial" w:hAnsi="Arial"/>
          <w:sz w:val="17"/>
          <w:szCs w:val="17"/>
          <w:color w:val="auto"/>
        </w:rPr>
      </w:pPr>
    </w:p>
    <w:p>
      <w:pPr>
        <w:ind w:left="1183" w:firstLine="516"/>
        <w:spacing w:after="0" w:line="256" w:lineRule="auto"/>
        <w:tabs>
          <w:tab w:leader="none" w:pos="2481" w:val="left"/>
        </w:tabs>
        <w:numPr>
          <w:ilvl w:val="1"/>
          <w:numId w:val="5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Cause</w:t>
      </w:r>
      <w:r>
        <w:rPr>
          <w:rFonts w:ascii="Arial" w:cs="Arial" w:eastAsia="Arial" w:hAnsi="Arial"/>
          <w:sz w:val="16"/>
          <w:szCs w:val="16"/>
          <w:color w:val="auto"/>
        </w:rPr>
        <w:t>” means any of the following: (A) your continued failure, for a period of at least 30 calendar days following a written warning, to perform your duties in a manner deemed satisfactory by your supervisor, in the exercise of his or her sole discretion; (B) your failure to follow a lawful written directive of the Chief Executive Officer, your supervisor or the Board; (C) your willful violation of any material rule, regulation, or policy that may be established from time to time for the conduct of the Company’s business; (D) your unlawful possession, use or sale of narcotics or other controlled substances, or performing job duties while illegally used controlled substances are present in your system; (E) any act or omission or commission by you in the scope of your employment (a) which results in the assessment of a civil or criminal penalty against you or the Company, or (b) which in the reasonable judgment of your supervisor could result in a material violation of any foreign or U.S. federal, state or local law or regulation having the force of law; (F) your conviction of or plea of guilty or no contest to any crime involving moral turpitude; (G) any misrepresentation of a material fact to, or concealment of a material fact from, your supervisor or any other person in the Company to whom you have a reporting relationship in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104775</wp:posOffset>
            </wp:positionV>
            <wp:extent cx="7301865" cy="406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5">
                      <a:extLst>
                        <a:ext uri="{28A0092B-C50C-407E-A947-70E740481C1C}"/>
                      </a:extLst>
                    </a:blip>
                    <a:srcRect/>
                    <a:stretch>
                      <a:fillRect/>
                    </a:stretch>
                  </pic:blipFill>
                  <pic:spPr bwMode="auto">
                    <a:xfrm>
                      <a:off x="0" y="0"/>
                      <a:ext cx="7301865" cy="40640"/>
                    </a:xfrm>
                    <a:prstGeom prst="rect">
                      <a:avLst/>
                    </a:prstGeom>
                    <a:noFill/>
                  </pic:spPr>
                </pic:pic>
              </a:graphicData>
            </a:graphic>
          </wp:anchor>
        </w:drawing>
      </w:r>
    </w:p>
    <w:p>
      <w:pPr>
        <w:sectPr>
          <w:pgSz w:w="11900" w:h="16838" w:orient="portrait"/>
          <w:cols w:equalWidth="0" w:num="1">
            <w:col w:w="11403"/>
          </w:cols>
          <w:pgMar w:left="237" w:top="120" w:right="259" w:bottom="1440" w:gutter="0" w:footer="0" w:header="0"/>
        </w:sectPr>
      </w:pPr>
    </w:p>
    <w:bookmarkStart w:id="113" w:name="page114"/>
    <w:bookmarkEnd w:id="113"/>
    <w:p>
      <w:pPr>
        <w:ind w:left="8300"/>
        <w:spacing w:after="0"/>
        <w:rPr>
          <w:sz w:val="20"/>
          <w:szCs w:val="20"/>
          <w:color w:val="auto"/>
        </w:rPr>
      </w:pPr>
      <w:r>
        <w:rPr>
          <w:rFonts w:ascii="Arial" w:cs="Arial" w:eastAsia="Arial" w:hAnsi="Arial"/>
          <w:sz w:val="17"/>
          <w:szCs w:val="17"/>
          <w:color w:val="auto"/>
        </w:rPr>
        <w:t>-3-</w:t>
      </w:r>
    </w:p>
    <w:p>
      <w:pPr>
        <w:spacing w:after="0" w:line="192"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capacity; or (H) your breach of the Company’s Business Conduct Guide or the Eastman Kodak Company Employee's Agreement.</w:t>
      </w:r>
    </w:p>
    <w:p>
      <w:pPr>
        <w:spacing w:after="0" w:line="191" w:lineRule="exact"/>
        <w:rPr>
          <w:sz w:val="20"/>
          <w:szCs w:val="20"/>
          <w:color w:val="auto"/>
        </w:rPr>
      </w:pPr>
    </w:p>
    <w:p>
      <w:pPr>
        <w:ind w:left="2440" w:hanging="824"/>
        <w:spacing w:after="0"/>
        <w:tabs>
          <w:tab w:leader="none" w:pos="2440" w:val="left"/>
        </w:tabs>
        <w:numPr>
          <w:ilvl w:val="0"/>
          <w:numId w:val="5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i w:val="1"/>
          <w:iCs w:val="1"/>
          <w:color w:val="auto"/>
        </w:rPr>
        <w:t>Disability</w:t>
      </w:r>
      <w:r>
        <w:rPr>
          <w:rFonts w:ascii="Arial" w:cs="Arial" w:eastAsia="Arial" w:hAnsi="Arial"/>
          <w:sz w:val="17"/>
          <w:szCs w:val="17"/>
          <w:color w:val="auto"/>
        </w:rPr>
        <w:t>” means disability under the terms of the Company’s Long-Term Disability Plan.</w:t>
      </w:r>
    </w:p>
    <w:p>
      <w:pPr>
        <w:spacing w:after="0" w:line="191" w:lineRule="exact"/>
        <w:rPr>
          <w:rFonts w:ascii="Arial" w:cs="Arial" w:eastAsia="Arial" w:hAnsi="Arial"/>
          <w:sz w:val="17"/>
          <w:szCs w:val="17"/>
          <w:color w:val="auto"/>
        </w:rPr>
      </w:pPr>
    </w:p>
    <w:p>
      <w:pPr>
        <w:ind w:left="1120" w:right="80" w:firstLine="793"/>
        <w:spacing w:after="0" w:line="243" w:lineRule="auto"/>
        <w:tabs>
          <w:tab w:leader="none" w:pos="2684" w:val="left"/>
        </w:tabs>
        <w:numPr>
          <w:ilvl w:val="1"/>
          <w:numId w:val="5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i w:val="1"/>
          <w:iCs w:val="1"/>
          <w:color w:val="auto"/>
        </w:rPr>
        <w:t>Good Reason</w:t>
      </w:r>
      <w:r>
        <w:rPr>
          <w:rFonts w:ascii="Arial" w:cs="Arial" w:eastAsia="Arial" w:hAnsi="Arial"/>
          <w:sz w:val="17"/>
          <w:szCs w:val="17"/>
          <w:color w:val="auto"/>
        </w:rPr>
        <w:t>” means any of the following: (A) a material diminution in your total target cash compensation, comprised of your Salary and target Annual Incentive; (B) a material diminution in your authority or responsibilities as provided in Section 2(a); (C) the transfer of your primary work site to a new primary work site that increases your one-way commute to work by more than 35 miles; (D) any material breach of this Agreement by the Company; or (E) any purported termination by the Company of your employment other than as expressly permitted by this Agreement.</w:t>
      </w:r>
    </w:p>
    <w:p>
      <w:pPr>
        <w:spacing w:after="0" w:line="171"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Advance Notice Generally Required.</w:t>
      </w:r>
    </w:p>
    <w:p>
      <w:pPr>
        <w:spacing w:after="0" w:line="200" w:lineRule="exact"/>
        <w:rPr>
          <w:sz w:val="20"/>
          <w:szCs w:val="20"/>
          <w:color w:val="auto"/>
        </w:rPr>
      </w:pPr>
    </w:p>
    <w:p>
      <w:pPr>
        <w:spacing w:after="0" w:line="378" w:lineRule="exact"/>
        <w:rPr>
          <w:sz w:val="20"/>
          <w:szCs w:val="20"/>
          <w:color w:val="auto"/>
        </w:rPr>
      </w:pPr>
    </w:p>
    <w:p>
      <w:pPr>
        <w:ind w:left="1100" w:firstLine="516"/>
        <w:spacing w:after="0" w:line="243" w:lineRule="auto"/>
        <w:tabs>
          <w:tab w:leader="none" w:pos="2397" w:val="left"/>
        </w:tabs>
        <w:numPr>
          <w:ilvl w:val="0"/>
          <w:numId w:val="57"/>
        </w:numPr>
        <w:rPr>
          <w:rFonts w:ascii="Arial" w:cs="Arial" w:eastAsia="Arial" w:hAnsi="Arial"/>
          <w:sz w:val="17"/>
          <w:szCs w:val="17"/>
          <w:color w:val="auto"/>
        </w:rPr>
      </w:pPr>
      <w:r>
        <w:rPr>
          <w:rFonts w:ascii="Arial" w:cs="Arial" w:eastAsia="Arial" w:hAnsi="Arial"/>
          <w:sz w:val="17"/>
          <w:szCs w:val="17"/>
          <w:color w:val="auto"/>
        </w:rPr>
        <w:t>To terminate your employment, either you or the Company must provide a Termination Notice to the other. A “</w:t>
      </w:r>
      <w:r>
        <w:rPr>
          <w:rFonts w:ascii="Arial" w:cs="Arial" w:eastAsia="Arial" w:hAnsi="Arial"/>
          <w:sz w:val="17"/>
          <w:szCs w:val="17"/>
          <w:i w:val="1"/>
          <w:iCs w:val="1"/>
          <w:color w:val="auto"/>
        </w:rPr>
        <w:t>Termination Notice</w:t>
      </w:r>
      <w:r>
        <w:rPr>
          <w:rFonts w:ascii="Arial" w:cs="Arial" w:eastAsia="Arial" w:hAnsi="Arial"/>
          <w:sz w:val="17"/>
          <w:szCs w:val="17"/>
          <w:color w:val="auto"/>
        </w:rPr>
        <w:t xml:space="preserve">” is a written notice that states the specific provision of this Agreement on which termination is based, including, if applicable, the specific clause of the definition of Cause or Good Reason and a reasonably detailed description of the facts that permit termination under that clause; </w:t>
      </w:r>
      <w:r>
        <w:rPr>
          <w:rFonts w:ascii="Arial" w:cs="Arial" w:eastAsia="Arial" w:hAnsi="Arial"/>
          <w:sz w:val="17"/>
          <w:szCs w:val="17"/>
          <w:i w:val="1"/>
          <w:iCs w:val="1"/>
          <w:color w:val="auto"/>
        </w:rPr>
        <w:t>provided</w:t>
      </w:r>
      <w:r>
        <w:rPr>
          <w:rFonts w:ascii="Arial" w:cs="Arial" w:eastAsia="Arial" w:hAnsi="Arial"/>
          <w:sz w:val="17"/>
          <w:szCs w:val="17"/>
          <w:color w:val="auto"/>
        </w:rPr>
        <w:t>, that the failure to include any fact in a Termination Notice that contributes to a showing of Cause or Good Reason does not preclude either party from asserting that fact in enforcing its rights under this Agreement.</w:t>
      </w:r>
    </w:p>
    <w:p>
      <w:pPr>
        <w:spacing w:after="0" w:line="171" w:lineRule="exact"/>
        <w:rPr>
          <w:sz w:val="20"/>
          <w:szCs w:val="20"/>
          <w:color w:val="auto"/>
        </w:rPr>
      </w:pPr>
    </w:p>
    <w:p>
      <w:pPr>
        <w:ind w:left="1100" w:right="300" w:firstLine="520"/>
        <w:spacing w:after="0" w:line="327" w:lineRule="auto"/>
        <w:rPr>
          <w:sz w:val="20"/>
          <w:szCs w:val="20"/>
          <w:color w:val="auto"/>
        </w:rPr>
      </w:pPr>
      <w:r>
        <w:rPr>
          <w:rFonts w:ascii="Arial" w:cs="Arial" w:eastAsia="Arial" w:hAnsi="Arial"/>
          <w:sz w:val="15"/>
          <w:szCs w:val="15"/>
          <w:color w:val="auto"/>
        </w:rPr>
        <w:t>If you do not give a Termination Notice within 90 days after you have knowledge that an event constituting Good Reason has occurred, the event will no longer constitute Good Reason. In addition, you must give the Company 30 days to cure the first event constituting Good Reason.</w:t>
      </w:r>
    </w:p>
    <w:p>
      <w:pPr>
        <w:spacing w:after="0" w:line="110" w:lineRule="exact"/>
        <w:rPr>
          <w:sz w:val="20"/>
          <w:szCs w:val="20"/>
          <w:color w:val="auto"/>
        </w:rPr>
      </w:pPr>
    </w:p>
    <w:p>
      <w:pPr>
        <w:ind w:left="1100" w:firstLine="516"/>
        <w:spacing w:after="0" w:line="245" w:lineRule="auto"/>
        <w:tabs>
          <w:tab w:leader="none" w:pos="2397" w:val="left"/>
        </w:tabs>
        <w:numPr>
          <w:ilvl w:val="0"/>
          <w:numId w:val="58"/>
        </w:numPr>
        <w:rPr>
          <w:rFonts w:ascii="Arial" w:cs="Arial" w:eastAsia="Arial" w:hAnsi="Arial"/>
          <w:sz w:val="17"/>
          <w:szCs w:val="17"/>
          <w:color w:val="auto"/>
        </w:rPr>
      </w:pPr>
      <w:r>
        <w:rPr>
          <w:rFonts w:ascii="Arial" w:cs="Arial" w:eastAsia="Arial" w:hAnsi="Arial"/>
          <w:sz w:val="17"/>
          <w:szCs w:val="17"/>
          <w:color w:val="auto"/>
        </w:rPr>
        <w:t xml:space="preserve">You and the Company agree to provide at least 30 days’ advance Termination Notice of any termination, </w:t>
      </w:r>
      <w:r>
        <w:rPr>
          <w:rFonts w:ascii="Arial" w:cs="Arial" w:eastAsia="Arial" w:hAnsi="Arial"/>
          <w:sz w:val="17"/>
          <w:szCs w:val="17"/>
          <w:i w:val="1"/>
          <w:iCs w:val="1"/>
          <w:color w:val="auto"/>
        </w:rPr>
        <w:t>unless</w:t>
      </w:r>
      <w:r>
        <w:rPr>
          <w:rFonts w:ascii="Arial" w:cs="Arial" w:eastAsia="Arial" w:hAnsi="Arial"/>
          <w:sz w:val="17"/>
          <w:szCs w:val="17"/>
          <w:color w:val="auto"/>
        </w:rPr>
        <w:t xml:space="preserve"> your employment is terminated by the Company for Cause or because of your Disability or death. If you die or become Disabled after you provide a valid Termination Notice with Good Reason or the Company provides Termination Notice without Cause, your termination will be treated as a termination with Good Reason or without Cause, effective as of the date of your Disability or death.</w:t>
      </w:r>
    </w:p>
    <w:p>
      <w:pPr>
        <w:spacing w:after="0" w:line="169" w:lineRule="exact"/>
        <w:rPr>
          <w:sz w:val="20"/>
          <w:szCs w:val="20"/>
          <w:color w:val="auto"/>
        </w:rPr>
      </w:pPr>
    </w:p>
    <w:p>
      <w:pPr>
        <w:ind w:left="1100" w:right="220" w:firstLine="520"/>
        <w:spacing w:after="0" w:line="292" w:lineRule="auto"/>
        <w:rPr>
          <w:sz w:val="20"/>
          <w:szCs w:val="20"/>
          <w:color w:val="auto"/>
        </w:rPr>
      </w:pPr>
      <w:r>
        <w:rPr>
          <w:rFonts w:ascii="Arial" w:cs="Arial" w:eastAsia="Arial" w:hAnsi="Arial"/>
          <w:sz w:val="16"/>
          <w:szCs w:val="16"/>
          <w:color w:val="auto"/>
        </w:rPr>
        <w:t>Following receipt of such notice, the Company may, at its sole discretion, choose to either (1) waive that notice period (thereby immediately terminating your employment) or (2) place you on paid leave, at your then-current salary for any or all of the notice period.</w:t>
      </w:r>
    </w:p>
    <w:p>
      <w:pPr>
        <w:spacing w:after="0" w:line="132"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With Good Reason or Without Cause.</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color w:val="auto"/>
        </w:rPr>
        <w:t>If the Company terminates your employment without Cause or you terminate your employment with Good Reason:</w:t>
      </w:r>
    </w:p>
    <w:p>
      <w:pPr>
        <w:spacing w:after="0" w:line="191" w:lineRule="exact"/>
        <w:rPr>
          <w:sz w:val="20"/>
          <w:szCs w:val="20"/>
          <w:color w:val="auto"/>
        </w:rPr>
      </w:pPr>
    </w:p>
    <w:p>
      <w:pPr>
        <w:ind w:left="1100" w:right="220" w:firstLine="516"/>
        <w:spacing w:after="0" w:line="249" w:lineRule="auto"/>
        <w:tabs>
          <w:tab w:leader="none" w:pos="2397"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Company will pay the following as of the end of your employment: (A) accrued but unpaid Salary up to the last day of your employment, (B) your Salary for any accrued but unused vacation, and (C) any accrued expense reimbursements and other cash entitlements (including for accrued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104775</wp:posOffset>
            </wp:positionV>
            <wp:extent cx="7301865" cy="406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6">
                      <a:extLst>
                        <a:ext uri="{28A0092B-C50C-407E-A947-70E740481C1C}"/>
                      </a:extLst>
                    </a:blip>
                    <a:srcRect/>
                    <a:stretch>
                      <a:fillRect/>
                    </a:stretch>
                  </pic:blipFill>
                  <pic:spPr bwMode="auto">
                    <a:xfrm>
                      <a:off x="0" y="0"/>
                      <a:ext cx="7301865" cy="40640"/>
                    </a:xfrm>
                    <a:prstGeom prst="rect">
                      <a:avLst/>
                    </a:prstGeom>
                    <a:noFill/>
                  </pic:spPr>
                </pic:pic>
              </a:graphicData>
            </a:graphic>
          </wp:anchor>
        </w:drawing>
      </w:r>
    </w:p>
    <w:p>
      <w:pPr>
        <w:sectPr>
          <w:pgSz w:w="11900" w:h="16838" w:orient="portrait"/>
          <w:cols w:equalWidth="0" w:num="1">
            <w:col w:w="11340"/>
          </w:cols>
          <w:pgMar w:left="320" w:top="120" w:right="239" w:bottom="1440" w:gutter="0" w:footer="0" w:header="0"/>
        </w:sectPr>
      </w:pPr>
    </w:p>
    <w:bookmarkStart w:id="114" w:name="page115"/>
    <w:bookmarkEnd w:id="114"/>
    <w:p>
      <w:pPr>
        <w:ind w:left="8380"/>
        <w:spacing w:after="0"/>
        <w:rPr>
          <w:sz w:val="20"/>
          <w:szCs w:val="20"/>
          <w:color w:val="auto"/>
        </w:rPr>
      </w:pPr>
      <w:r>
        <w:rPr>
          <w:rFonts w:ascii="Arial" w:cs="Arial" w:eastAsia="Arial" w:hAnsi="Arial"/>
          <w:sz w:val="17"/>
          <w:szCs w:val="17"/>
          <w:color w:val="auto"/>
        </w:rPr>
        <w:t>-4-</w:t>
      </w:r>
    </w:p>
    <w:p>
      <w:pPr>
        <w:spacing w:after="0" w:line="192" w:lineRule="exact"/>
        <w:rPr>
          <w:sz w:val="20"/>
          <w:szCs w:val="20"/>
          <w:color w:val="auto"/>
        </w:rPr>
      </w:pPr>
    </w:p>
    <w:p>
      <w:pPr>
        <w:jc w:val="both"/>
        <w:ind w:left="1180" w:right="440"/>
        <w:spacing w:after="0" w:line="298" w:lineRule="auto"/>
        <w:rPr>
          <w:sz w:val="20"/>
          <w:szCs w:val="20"/>
          <w:color w:val="auto"/>
        </w:rPr>
      </w:pPr>
      <w:r>
        <w:rPr>
          <w:rFonts w:ascii="Arial" w:cs="Arial" w:eastAsia="Arial" w:hAnsi="Arial"/>
          <w:sz w:val="15"/>
          <w:szCs w:val="15"/>
          <w:color w:val="auto"/>
        </w:rPr>
        <w:t>reimbursement for which supporting documentation is submitted within 30 days after termination of your employment) (together, your “</w:t>
      </w:r>
      <w:r>
        <w:rPr>
          <w:rFonts w:ascii="Arial" w:cs="Arial" w:eastAsia="Arial" w:hAnsi="Arial"/>
          <w:sz w:val="15"/>
          <w:szCs w:val="15"/>
          <w:i w:val="1"/>
          <w:iCs w:val="1"/>
          <w:color w:val="auto"/>
        </w:rPr>
        <w:t>Accrued</w:t>
      </w:r>
      <w:r>
        <w:rPr>
          <w:rFonts w:ascii="Arial" w:cs="Arial" w:eastAsia="Arial" w:hAnsi="Arial"/>
          <w:sz w:val="15"/>
          <w:szCs w:val="15"/>
          <w:color w:val="auto"/>
        </w:rPr>
        <w:t xml:space="preserve"> </w:t>
      </w:r>
      <w:r>
        <w:rPr>
          <w:rFonts w:ascii="Arial" w:cs="Arial" w:eastAsia="Arial" w:hAnsi="Arial"/>
          <w:sz w:val="15"/>
          <w:szCs w:val="15"/>
          <w:i w:val="1"/>
          <w:iCs w:val="1"/>
          <w:color w:val="auto"/>
        </w:rPr>
        <w:t>Compensation</w:t>
      </w:r>
      <w:r>
        <w:rPr>
          <w:rFonts w:ascii="Arial" w:cs="Arial" w:eastAsia="Arial" w:hAnsi="Arial"/>
          <w:sz w:val="15"/>
          <w:szCs w:val="15"/>
          <w:color w:val="auto"/>
        </w:rPr>
        <w:t>”). In addition, the Company will timely pay you any amounts and provide you any benefits that are required, or to which you are</w:t>
      </w:r>
      <w:r>
        <w:rPr>
          <w:rFonts w:ascii="Arial" w:cs="Arial" w:eastAsia="Arial" w:hAnsi="Arial"/>
          <w:sz w:val="15"/>
          <w:szCs w:val="15"/>
          <w:i w:val="1"/>
          <w:iCs w:val="1"/>
          <w:color w:val="auto"/>
        </w:rPr>
        <w:t xml:space="preserve"> </w:t>
      </w:r>
      <w:r>
        <w:rPr>
          <w:rFonts w:ascii="Arial" w:cs="Arial" w:eastAsia="Arial" w:hAnsi="Arial"/>
          <w:sz w:val="15"/>
          <w:szCs w:val="15"/>
          <w:color w:val="auto"/>
        </w:rPr>
        <w:t>entitled, under any plan, contract or arrangement of the Company as of the end of your employment (together, the “</w:t>
      </w:r>
      <w:r>
        <w:rPr>
          <w:rFonts w:ascii="Arial" w:cs="Arial" w:eastAsia="Arial" w:hAnsi="Arial"/>
          <w:sz w:val="15"/>
          <w:szCs w:val="15"/>
          <w:i w:val="1"/>
          <w:iCs w:val="1"/>
          <w:color w:val="auto"/>
        </w:rPr>
        <w:t>Other Benefits</w:t>
      </w:r>
      <w:r>
        <w:rPr>
          <w:rFonts w:ascii="Arial" w:cs="Arial" w:eastAsia="Arial" w:hAnsi="Arial"/>
          <w:sz w:val="15"/>
          <w:szCs w:val="15"/>
          <w:color w:val="auto"/>
        </w:rPr>
        <w:t>”).</w:t>
      </w:r>
    </w:p>
    <w:p>
      <w:pPr>
        <w:spacing w:after="0" w:line="131" w:lineRule="exact"/>
        <w:rPr>
          <w:sz w:val="20"/>
          <w:szCs w:val="20"/>
          <w:color w:val="auto"/>
        </w:rPr>
      </w:pPr>
    </w:p>
    <w:p>
      <w:pPr>
        <w:ind w:left="1180" w:right="40" w:firstLine="516"/>
        <w:spacing w:after="0" w:line="327" w:lineRule="auto"/>
        <w:tabs>
          <w:tab w:leader="none" w:pos="2477" w:val="left"/>
        </w:tabs>
        <w:numPr>
          <w:ilvl w:val="1"/>
          <w:numId w:val="60"/>
        </w:numPr>
        <w:rPr>
          <w:rFonts w:ascii="Arial" w:cs="Arial" w:eastAsia="Arial" w:hAnsi="Arial"/>
          <w:sz w:val="15"/>
          <w:szCs w:val="15"/>
          <w:color w:val="auto"/>
        </w:rPr>
      </w:pPr>
      <w:r>
        <w:rPr>
          <w:rFonts w:ascii="Arial" w:cs="Arial" w:eastAsia="Arial" w:hAnsi="Arial"/>
          <w:sz w:val="15"/>
          <w:szCs w:val="15"/>
          <w:color w:val="auto"/>
        </w:rPr>
        <w:t>The Company will pay you severance (“</w:t>
      </w:r>
      <w:r>
        <w:rPr>
          <w:rFonts w:ascii="Arial" w:cs="Arial" w:eastAsia="Arial" w:hAnsi="Arial"/>
          <w:sz w:val="15"/>
          <w:szCs w:val="15"/>
          <w:i w:val="1"/>
          <w:iCs w:val="1"/>
          <w:color w:val="auto"/>
        </w:rPr>
        <w:t>Severance Payments</w:t>
      </w:r>
      <w:r>
        <w:rPr>
          <w:rFonts w:ascii="Arial" w:cs="Arial" w:eastAsia="Arial" w:hAnsi="Arial"/>
          <w:sz w:val="15"/>
          <w:szCs w:val="15"/>
          <w:color w:val="auto"/>
        </w:rPr>
        <w:t xml:space="preserve">”) in an amount equal to (A) the sum of your Base Salary for the fiscal year in which the Termination Notice is given </w:t>
      </w:r>
      <w:r>
        <w:rPr>
          <w:rFonts w:ascii="Arial" w:cs="Arial" w:eastAsia="Arial" w:hAnsi="Arial"/>
          <w:sz w:val="15"/>
          <w:szCs w:val="15"/>
          <w:i w:val="1"/>
          <w:iCs w:val="1"/>
          <w:color w:val="auto"/>
        </w:rPr>
        <w:t>multiplied by</w:t>
      </w:r>
      <w:r>
        <w:rPr>
          <w:rFonts w:ascii="Arial" w:cs="Arial" w:eastAsia="Arial" w:hAnsi="Arial"/>
          <w:sz w:val="15"/>
          <w:szCs w:val="15"/>
          <w:color w:val="auto"/>
        </w:rPr>
        <w:t xml:space="preserve"> (B) the severance multiplier provided on your Schedule (your “</w:t>
      </w:r>
      <w:r>
        <w:rPr>
          <w:rFonts w:ascii="Arial" w:cs="Arial" w:eastAsia="Arial" w:hAnsi="Arial"/>
          <w:sz w:val="15"/>
          <w:szCs w:val="15"/>
          <w:i w:val="1"/>
          <w:iCs w:val="1"/>
          <w:color w:val="auto"/>
        </w:rPr>
        <w:t>Severance Multiplier</w:t>
      </w:r>
      <w:r>
        <w:rPr>
          <w:rFonts w:ascii="Arial" w:cs="Arial" w:eastAsia="Arial" w:hAnsi="Arial"/>
          <w:sz w:val="15"/>
          <w:szCs w:val="15"/>
          <w:color w:val="auto"/>
        </w:rPr>
        <w:t>”).</w:t>
      </w:r>
    </w:p>
    <w:p>
      <w:pPr>
        <w:spacing w:after="0" w:line="110" w:lineRule="exact"/>
        <w:rPr>
          <w:rFonts w:ascii="Arial" w:cs="Arial" w:eastAsia="Arial" w:hAnsi="Arial"/>
          <w:sz w:val="15"/>
          <w:szCs w:val="15"/>
          <w:color w:val="auto"/>
        </w:rPr>
      </w:pPr>
    </w:p>
    <w:p>
      <w:pPr>
        <w:ind w:left="2480" w:hanging="784"/>
        <w:spacing w:after="0"/>
        <w:tabs>
          <w:tab w:leader="none" w:pos="2480" w:val="left"/>
        </w:tabs>
        <w:numPr>
          <w:ilvl w:val="1"/>
          <w:numId w:val="60"/>
        </w:numPr>
        <w:rPr>
          <w:rFonts w:ascii="Arial" w:cs="Arial" w:eastAsia="Arial" w:hAnsi="Arial"/>
          <w:sz w:val="16"/>
          <w:szCs w:val="16"/>
          <w:color w:val="auto"/>
        </w:rPr>
      </w:pPr>
      <w:r>
        <w:rPr>
          <w:rFonts w:ascii="Arial" w:cs="Arial" w:eastAsia="Arial" w:hAnsi="Arial"/>
          <w:sz w:val="16"/>
          <w:szCs w:val="16"/>
          <w:color w:val="auto"/>
        </w:rPr>
        <w:t>Your Annual Incentive will be governed by the terms of the EXCEL plan and any applicable Administrative Guide or Award</w:t>
      </w:r>
    </w:p>
    <w:p>
      <w:pPr>
        <w:spacing w:after="0" w:line="23" w:lineRule="exact"/>
        <w:rPr>
          <w:rFonts w:ascii="Arial" w:cs="Arial" w:eastAsia="Arial" w:hAnsi="Arial"/>
          <w:sz w:val="16"/>
          <w:szCs w:val="16"/>
          <w:color w:val="auto"/>
        </w:rPr>
      </w:pPr>
    </w:p>
    <w:p>
      <w:pPr>
        <w:ind w:left="1180"/>
        <w:spacing w:after="0"/>
        <w:rPr>
          <w:rFonts w:ascii="Arial" w:cs="Arial" w:eastAsia="Arial" w:hAnsi="Arial"/>
          <w:sz w:val="16"/>
          <w:szCs w:val="16"/>
          <w:color w:val="auto"/>
        </w:rPr>
      </w:pPr>
      <w:r>
        <w:rPr>
          <w:rFonts w:ascii="Arial" w:cs="Arial" w:eastAsia="Arial" w:hAnsi="Arial"/>
          <w:sz w:val="17"/>
          <w:szCs w:val="17"/>
          <w:color w:val="auto"/>
        </w:rPr>
        <w:t>Notice.</w:t>
      </w:r>
    </w:p>
    <w:p>
      <w:pPr>
        <w:spacing w:after="0" w:line="177" w:lineRule="exact"/>
        <w:rPr>
          <w:rFonts w:ascii="Arial" w:cs="Arial" w:eastAsia="Arial" w:hAnsi="Arial"/>
          <w:sz w:val="16"/>
          <w:szCs w:val="16"/>
          <w:color w:val="auto"/>
        </w:rPr>
      </w:pPr>
    </w:p>
    <w:p>
      <w:pPr>
        <w:ind w:left="1180" w:firstLine="516"/>
        <w:spacing w:after="0" w:line="292" w:lineRule="auto"/>
        <w:tabs>
          <w:tab w:leader="none" w:pos="2477" w:val="left"/>
        </w:tabs>
        <w:numPr>
          <w:ilvl w:val="1"/>
          <w:numId w:val="60"/>
        </w:numPr>
        <w:rPr>
          <w:rFonts w:ascii="Arial" w:cs="Arial" w:eastAsia="Arial" w:hAnsi="Arial"/>
          <w:sz w:val="16"/>
          <w:szCs w:val="16"/>
          <w:color w:val="auto"/>
        </w:rPr>
      </w:pPr>
      <w:r>
        <w:rPr>
          <w:rFonts w:ascii="Arial" w:cs="Arial" w:eastAsia="Arial" w:hAnsi="Arial"/>
          <w:sz w:val="16"/>
          <w:szCs w:val="16"/>
          <w:color w:val="auto"/>
        </w:rPr>
        <w:t>Your Long-Term Equity Awards will continue to vest and remain exercisable according to the terms of the applicable award, in each case without regard to any continued employment condition. The benefits in this Section 5(d)(4) are referred to as “</w:t>
      </w:r>
      <w:r>
        <w:rPr>
          <w:rFonts w:ascii="Arial" w:cs="Arial" w:eastAsia="Arial" w:hAnsi="Arial"/>
          <w:sz w:val="16"/>
          <w:szCs w:val="16"/>
          <w:i w:val="1"/>
          <w:iCs w:val="1"/>
          <w:color w:val="auto"/>
        </w:rPr>
        <w:t>Continued Vesting</w:t>
      </w:r>
      <w:r>
        <w:rPr>
          <w:rFonts w:ascii="Arial" w:cs="Arial" w:eastAsia="Arial" w:hAnsi="Arial"/>
          <w:sz w:val="16"/>
          <w:szCs w:val="16"/>
          <w:color w:val="auto"/>
        </w:rPr>
        <w:t>”.</w:t>
      </w:r>
    </w:p>
    <w:p>
      <w:pPr>
        <w:spacing w:after="0" w:line="132" w:lineRule="exact"/>
        <w:rPr>
          <w:rFonts w:ascii="Arial" w:cs="Arial" w:eastAsia="Arial" w:hAnsi="Arial"/>
          <w:sz w:val="16"/>
          <w:szCs w:val="16"/>
          <w:color w:val="auto"/>
        </w:rPr>
      </w:pPr>
    </w:p>
    <w:p>
      <w:pPr>
        <w:ind w:right="300" w:firstLine="1176"/>
        <w:spacing w:after="0" w:line="327" w:lineRule="auto"/>
        <w:tabs>
          <w:tab w:leader="none" w:pos="2430" w:val="left"/>
        </w:tabs>
        <w:numPr>
          <w:ilvl w:val="0"/>
          <w:numId w:val="61"/>
        </w:numPr>
        <w:rPr>
          <w:rFonts w:ascii="Arial" w:cs="Arial" w:eastAsia="Arial" w:hAnsi="Arial"/>
          <w:sz w:val="15"/>
          <w:szCs w:val="15"/>
          <w:color w:val="auto"/>
        </w:rPr>
      </w:pPr>
      <w:r>
        <w:rPr>
          <w:rFonts w:ascii="Arial" w:cs="Arial" w:eastAsia="Arial" w:hAnsi="Arial"/>
          <w:sz w:val="15"/>
          <w:szCs w:val="15"/>
          <w:i w:val="1"/>
          <w:iCs w:val="1"/>
          <w:color w:val="auto"/>
        </w:rPr>
        <w:t xml:space="preserve">For Cause or without Good Reason. </w:t>
      </w:r>
      <w:r>
        <w:rPr>
          <w:rFonts w:ascii="Arial" w:cs="Arial" w:eastAsia="Arial" w:hAnsi="Arial"/>
          <w:sz w:val="15"/>
          <w:szCs w:val="15"/>
          <w:color w:val="auto"/>
        </w:rPr>
        <w:t>If the Company terminates your employment for Cause or you terminate your employment</w:t>
      </w:r>
      <w:r>
        <w:rPr>
          <w:rFonts w:ascii="Arial" w:cs="Arial" w:eastAsia="Arial" w:hAnsi="Arial"/>
          <w:sz w:val="15"/>
          <w:szCs w:val="15"/>
          <w:i w:val="1"/>
          <w:iCs w:val="1"/>
          <w:color w:val="auto"/>
        </w:rPr>
        <w:t xml:space="preserve"> </w:t>
      </w:r>
      <w:r>
        <w:rPr>
          <w:rFonts w:ascii="Arial" w:cs="Arial" w:eastAsia="Arial" w:hAnsi="Arial"/>
          <w:sz w:val="15"/>
          <w:szCs w:val="15"/>
          <w:color w:val="auto"/>
        </w:rPr>
        <w:t>without Good Reason, the Company will pay your Accrued Compensation and your Other Benefits; however, you will forfeit any unvested equity.</w:t>
      </w:r>
    </w:p>
    <w:p>
      <w:pPr>
        <w:spacing w:after="0" w:line="110" w:lineRule="exact"/>
        <w:rPr>
          <w:sz w:val="20"/>
          <w:szCs w:val="20"/>
          <w:color w:val="auto"/>
        </w:rPr>
      </w:pPr>
    </w:p>
    <w:p>
      <w:pPr>
        <w:ind w:left="1180"/>
        <w:spacing w:after="0"/>
        <w:rPr>
          <w:sz w:val="20"/>
          <w:szCs w:val="20"/>
          <w:color w:val="auto"/>
        </w:rPr>
      </w:pPr>
      <w:r>
        <w:rPr>
          <w:rFonts w:ascii="Arial" w:cs="Arial" w:eastAsia="Arial" w:hAnsi="Arial"/>
          <w:sz w:val="17"/>
          <w:szCs w:val="17"/>
          <w:color w:val="auto"/>
        </w:rPr>
        <w:t>For Your Disability or Death.</w:t>
      </w:r>
    </w:p>
    <w:p>
      <w:pPr>
        <w:spacing w:after="0" w:line="191" w:lineRule="exact"/>
        <w:rPr>
          <w:sz w:val="20"/>
          <w:szCs w:val="20"/>
          <w:color w:val="auto"/>
        </w:rPr>
      </w:pPr>
    </w:p>
    <w:p>
      <w:pPr>
        <w:ind w:right="280" w:firstLine="664"/>
        <w:spacing w:after="0" w:line="261" w:lineRule="auto"/>
        <w:rPr>
          <w:sz w:val="20"/>
          <w:szCs w:val="20"/>
          <w:color w:val="auto"/>
        </w:rPr>
      </w:pPr>
      <w:r>
        <w:rPr>
          <w:rFonts w:ascii="Arial" w:cs="Arial" w:eastAsia="Arial" w:hAnsi="Arial"/>
          <w:sz w:val="17"/>
          <w:szCs w:val="17"/>
          <w:color w:val="auto"/>
        </w:rPr>
        <w:t>If, during the Scheduled Term, your employment terminates as a result of your Disability or death, the Company will pay your Accrued Compensation and will provide Continued Vesting and your Other Benefits.</w:t>
      </w:r>
    </w:p>
    <w:p>
      <w:pPr>
        <w:spacing w:after="0" w:line="155" w:lineRule="exact"/>
        <w:rPr>
          <w:sz w:val="20"/>
          <w:szCs w:val="20"/>
          <w:color w:val="auto"/>
        </w:rPr>
      </w:pPr>
    </w:p>
    <w:p>
      <w:pPr>
        <w:ind w:left="2440" w:hanging="1264"/>
        <w:spacing w:after="0"/>
        <w:tabs>
          <w:tab w:leader="none" w:pos="2440" w:val="left"/>
        </w:tabs>
        <w:numPr>
          <w:ilvl w:val="0"/>
          <w:numId w:val="62"/>
        </w:numPr>
        <w:rPr>
          <w:rFonts w:ascii="Arial" w:cs="Arial" w:eastAsia="Arial" w:hAnsi="Arial"/>
          <w:sz w:val="15"/>
          <w:szCs w:val="15"/>
          <w:color w:val="auto"/>
        </w:rPr>
      </w:pPr>
      <w:r>
        <w:rPr>
          <w:rFonts w:ascii="Arial" w:cs="Arial" w:eastAsia="Arial" w:hAnsi="Arial"/>
          <w:sz w:val="15"/>
          <w:szCs w:val="15"/>
          <w:i w:val="1"/>
          <w:iCs w:val="1"/>
          <w:color w:val="auto"/>
        </w:rPr>
        <w:t xml:space="preserve">Benefits Bearing. </w:t>
      </w:r>
      <w:r>
        <w:rPr>
          <w:rFonts w:ascii="Arial" w:cs="Arial" w:eastAsia="Arial" w:hAnsi="Arial"/>
          <w:sz w:val="15"/>
          <w:szCs w:val="15"/>
          <w:color w:val="auto"/>
        </w:rPr>
        <w:t>In no event shall any of the severance payments or benefits provided under this Section 6 be “benefits bearing.”</w:t>
      </w:r>
    </w:p>
    <w:p>
      <w:pPr>
        <w:spacing w:after="0" w:line="214" w:lineRule="exact"/>
        <w:rPr>
          <w:rFonts w:ascii="Arial" w:cs="Arial" w:eastAsia="Arial" w:hAnsi="Arial"/>
          <w:sz w:val="15"/>
          <w:szCs w:val="15"/>
          <w:color w:val="auto"/>
        </w:rPr>
      </w:pPr>
    </w:p>
    <w:p>
      <w:pPr>
        <w:ind w:right="20" w:firstLine="1176"/>
        <w:spacing w:after="0" w:line="298" w:lineRule="auto"/>
        <w:tabs>
          <w:tab w:leader="none" w:pos="2440" w:val="left"/>
        </w:tabs>
        <w:numPr>
          <w:ilvl w:val="0"/>
          <w:numId w:val="62"/>
        </w:numPr>
        <w:rPr>
          <w:rFonts w:ascii="Arial" w:cs="Arial" w:eastAsia="Arial" w:hAnsi="Arial"/>
          <w:sz w:val="15"/>
          <w:szCs w:val="15"/>
          <w:color w:val="auto"/>
        </w:rPr>
      </w:pPr>
      <w:r>
        <w:rPr>
          <w:rFonts w:ascii="Arial" w:cs="Arial" w:eastAsia="Arial" w:hAnsi="Arial"/>
          <w:sz w:val="15"/>
          <w:szCs w:val="15"/>
          <w:i w:val="1"/>
          <w:iCs w:val="1"/>
          <w:color w:val="auto"/>
        </w:rPr>
        <w:t>Clawback</w:t>
      </w:r>
      <w:r>
        <w:rPr>
          <w:rFonts w:ascii="Arial" w:cs="Arial" w:eastAsia="Arial" w:hAnsi="Arial"/>
          <w:sz w:val="15"/>
          <w:szCs w:val="15"/>
          <w:color w:val="auto"/>
        </w:rPr>
        <w:t>. In the event you breach any of the terms of the Eastman Kodak Company Employees' Agreement, this Agreement or the</w:t>
      </w:r>
      <w:r>
        <w:rPr>
          <w:rFonts w:ascii="Arial" w:cs="Arial" w:eastAsia="Arial" w:hAnsi="Arial"/>
          <w:sz w:val="15"/>
          <w:szCs w:val="15"/>
          <w:i w:val="1"/>
          <w:iCs w:val="1"/>
          <w:color w:val="auto"/>
        </w:rPr>
        <w:t xml:space="preserve"> </w:t>
      </w:r>
      <w:r>
        <w:rPr>
          <w:rFonts w:ascii="Arial" w:cs="Arial" w:eastAsia="Arial" w:hAnsi="Arial"/>
          <w:sz w:val="15"/>
          <w:szCs w:val="15"/>
          <w:color w:val="auto"/>
        </w:rPr>
        <w:t>release described in Section 5(i) below, in addition to and not in lieu of any other remedies that the Company may pursue against you, no further severance payments will be made to you pursuant to this Section 5 and you agree to immediately repay to the Company all moneys previously paid to you pursuant to this Section 5.</w:t>
      </w:r>
    </w:p>
    <w:p>
      <w:pPr>
        <w:spacing w:after="0" w:line="131" w:lineRule="exact"/>
        <w:rPr>
          <w:sz w:val="20"/>
          <w:szCs w:val="20"/>
          <w:color w:val="auto"/>
        </w:rPr>
      </w:pPr>
    </w:p>
    <w:p>
      <w:pPr>
        <w:ind w:left="1180"/>
        <w:spacing w:after="0"/>
        <w:rPr>
          <w:sz w:val="20"/>
          <w:szCs w:val="20"/>
          <w:color w:val="auto"/>
        </w:rPr>
      </w:pPr>
      <w:r>
        <w:rPr>
          <w:rFonts w:ascii="Arial" w:cs="Arial" w:eastAsia="Arial" w:hAnsi="Arial"/>
          <w:sz w:val="17"/>
          <w:szCs w:val="17"/>
          <w:color w:val="auto"/>
        </w:rPr>
        <w:t>Timing.</w:t>
      </w:r>
    </w:p>
    <w:p>
      <w:pPr>
        <w:spacing w:after="0" w:line="191" w:lineRule="exact"/>
        <w:rPr>
          <w:sz w:val="20"/>
          <w:szCs w:val="20"/>
          <w:color w:val="auto"/>
        </w:rPr>
      </w:pPr>
    </w:p>
    <w:p>
      <w:pPr>
        <w:ind w:right="120" w:firstLine="82"/>
        <w:spacing w:after="0" w:line="278" w:lineRule="auto"/>
        <w:rPr>
          <w:sz w:val="20"/>
          <w:szCs w:val="20"/>
          <w:color w:val="auto"/>
        </w:rPr>
      </w:pPr>
      <w:r>
        <w:rPr>
          <w:rFonts w:ascii="Arial" w:cs="Arial" w:eastAsia="Arial" w:hAnsi="Arial"/>
          <w:sz w:val="15"/>
          <w:szCs w:val="15"/>
          <w:color w:val="auto"/>
        </w:rPr>
        <w:t>The benefits provided in this Section 5 will begin at the end of your employment, and any cash payments owed to you under this Section 5 will be paid in one lump sum 65 days following your date of termination except for Severance Payments, which will be made consistently with the Company’s normal payroll cycles and begin as soon as administratively practicable after your separation from service subject to Section 5(j). Notwithstanding the foregoing, any Severance Payments and any Continued Vesting will only be provided if, at the time of your termination, you provide a release of any and all claims you may have with respect to the Company (other than the benefits provided in Section 4 and the other rights under this Agreement that continue following your employment) in a form provided by the Company such that you have taken all action necessary for such release to become effective and irrevocable no later than 65 days following your date of termination. The Termination Allowance Plan (“TAP”) provides broad-based severance benefits to eligible Company employees. In accordance with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93980</wp:posOffset>
            </wp:positionV>
            <wp:extent cx="7301865" cy="406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7">
                      <a:extLst>
                        <a:ext uri="{28A0092B-C50C-407E-A947-70E740481C1C}"/>
                      </a:extLst>
                    </a:blip>
                    <a:srcRect/>
                    <a:stretch>
                      <a:fillRect/>
                    </a:stretch>
                  </pic:blipFill>
                  <pic:spPr bwMode="auto">
                    <a:xfrm>
                      <a:off x="0" y="0"/>
                      <a:ext cx="7301865" cy="4064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115" w:name="page116"/>
    <w:bookmarkEnd w:id="115"/>
    <w:p>
      <w:pPr>
        <w:ind w:left="8380"/>
        <w:spacing w:after="0"/>
        <w:rPr>
          <w:sz w:val="20"/>
          <w:szCs w:val="20"/>
          <w:color w:val="auto"/>
        </w:rPr>
      </w:pPr>
      <w:r>
        <w:rPr>
          <w:rFonts w:ascii="Arial" w:cs="Arial" w:eastAsia="Arial" w:hAnsi="Arial"/>
          <w:sz w:val="17"/>
          <w:szCs w:val="17"/>
          <w:color w:val="auto"/>
        </w:rPr>
        <w:t>-5-</w:t>
      </w:r>
    </w:p>
    <w:p>
      <w:pPr>
        <w:spacing w:after="0" w:line="191" w:lineRule="exact"/>
        <w:rPr>
          <w:sz w:val="20"/>
          <w:szCs w:val="20"/>
          <w:color w:val="auto"/>
        </w:rPr>
      </w:pPr>
    </w:p>
    <w:p>
      <w:pPr>
        <w:ind w:right="100"/>
        <w:spacing w:after="0" w:line="275" w:lineRule="auto"/>
        <w:rPr>
          <w:sz w:val="20"/>
          <w:szCs w:val="20"/>
          <w:color w:val="auto"/>
        </w:rPr>
      </w:pPr>
      <w:r>
        <w:rPr>
          <w:rFonts w:ascii="Arial" w:cs="Arial" w:eastAsia="Arial" w:hAnsi="Arial"/>
          <w:sz w:val="15"/>
          <w:szCs w:val="15"/>
          <w:color w:val="auto"/>
        </w:rPr>
        <w:t>terms of TAP, you acknowledge that the amount of TAP benefits for which you may become eligible is calculated by reducing the benefit determined under the TAP formula by the Severance Payments under this Agreement. Since the Severance Payments (a minimum of one year’s base salary) exceed the maximum benefit payable under TAP (six month’s base salary), you agree that if you become eligible for Severance Payments under this Agreement you will not be entitled to TAP</w:t>
      </w:r>
    </w:p>
    <w:p>
      <w:pPr>
        <w:spacing w:after="0" w:line="1" w:lineRule="exact"/>
        <w:rPr>
          <w:sz w:val="20"/>
          <w:szCs w:val="20"/>
          <w:color w:val="auto"/>
        </w:rPr>
      </w:pPr>
    </w:p>
    <w:p>
      <w:pPr>
        <w:ind w:right="140"/>
        <w:spacing w:after="0" w:line="243" w:lineRule="auto"/>
        <w:rPr>
          <w:sz w:val="20"/>
          <w:szCs w:val="20"/>
          <w:color w:val="auto"/>
        </w:rPr>
      </w:pPr>
      <w:r>
        <w:rPr>
          <w:rFonts w:ascii="Arial" w:cs="Arial" w:eastAsia="Arial" w:hAnsi="Arial"/>
          <w:sz w:val="17"/>
          <w:szCs w:val="17"/>
          <w:color w:val="auto"/>
        </w:rPr>
        <w:t>benefits. Should a court nevertheless award you TAP benefits in such circumstances, you agree that the amount of Severance Payments will be reduced by such award and be immediately repaid to the Company.</w:t>
      </w:r>
    </w:p>
    <w:p>
      <w:pPr>
        <w:spacing w:after="0" w:line="170" w:lineRule="exact"/>
        <w:rPr>
          <w:sz w:val="20"/>
          <w:szCs w:val="20"/>
          <w:color w:val="auto"/>
        </w:rPr>
      </w:pPr>
    </w:p>
    <w:p>
      <w:pPr>
        <w:ind w:left="2400" w:hanging="1224"/>
        <w:spacing w:after="0"/>
        <w:tabs>
          <w:tab w:leader="none" w:pos="2400" w:val="left"/>
        </w:tabs>
        <w:numPr>
          <w:ilvl w:val="0"/>
          <w:numId w:val="63"/>
        </w:numPr>
        <w:rPr>
          <w:rFonts w:ascii="Arial" w:cs="Arial" w:eastAsia="Arial" w:hAnsi="Arial"/>
          <w:sz w:val="16"/>
          <w:szCs w:val="16"/>
          <w:color w:val="auto"/>
        </w:rPr>
      </w:pPr>
      <w:r>
        <w:rPr>
          <w:rFonts w:ascii="Arial" w:cs="Arial" w:eastAsia="Arial" w:hAnsi="Arial"/>
          <w:sz w:val="16"/>
          <w:szCs w:val="16"/>
          <w:i w:val="1"/>
          <w:iCs w:val="1"/>
          <w:color w:val="auto"/>
        </w:rPr>
        <w:t xml:space="preserve">Section 409A. </w:t>
      </w:r>
      <w:r>
        <w:rPr>
          <w:rFonts w:ascii="Arial" w:cs="Arial" w:eastAsia="Arial" w:hAnsi="Arial"/>
          <w:sz w:val="16"/>
          <w:szCs w:val="16"/>
          <w:color w:val="auto"/>
        </w:rPr>
        <w:t>This Agreement is intended to comply with or be exempt from the requirements of Section 409A of the Code</w:t>
      </w:r>
    </w:p>
    <w:p>
      <w:pPr>
        <w:spacing w:after="0" w:line="23"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Section 409A</w:t>
      </w:r>
      <w:r>
        <w:rPr>
          <w:rFonts w:ascii="Arial" w:cs="Arial" w:eastAsia="Arial" w:hAnsi="Arial"/>
          <w:sz w:val="16"/>
          <w:szCs w:val="16"/>
          <w:color w:val="auto"/>
        </w:rPr>
        <w:t>”) with respect to amounts, if any, subject thereto and shall be interpreted, construed and performed consistent with such intent. To the extent you would otherwise be entitled to any payment that under this Agreement, or any plan or arrangement of the Company or its affiliates, constitutes “deferred compensation” subject to Section 409A, and that if paid during the six months beginning on the date of termination of your employment would be subject to the Section 409A additional tax because you are a “specified employee” (within the meaning of Section 409A and as determined by the Company), the payment, together with any earnings on it, will be paid to you on the earlier of the six-month anniversary of your date of termination or your death. Similarly, to the extent you would otherwise be entitled to any benefit (other than a payment) during the six months beginning on termination of your employment that would be subject to the Section 409A additional tax, the benefit will be delayed and will begin being provided (together, if applicable, with an adjustment to compensate you for the delay) on the earlier of the six-month anniversary of your date of termination or your death or change in control (within the meaning of Section 409A). In addition, any payment or benefit due upon a termination of your employment that represents “deferred compensation” subject to Section 409A shall be paid or provided to you only upon a “separation from service” as defined in Treas. Reg. § 1.409A-1(h). Each payment under this Agreement shall be deemed to be a separate payment for purposes of Section 409A, amounts payable under Sections 6(d)(1) and 6(d)(2) shall be deemed not to be “deferred compensation” subject to Section 409A to the extent provided in the exceptions in Treas. Reg. Sections 1.409A-1(b)(4) (“short-term deferrals”) and (b)(9) (“separation pay plans,” including the exception under subparagraph (iii)) and other applicable provisions of Treas. Reg. Section 1.409A-1 through A-6.</w:t>
      </w:r>
    </w:p>
    <w:p>
      <w:pPr>
        <w:spacing w:after="0" w:line="162" w:lineRule="exact"/>
        <w:rPr>
          <w:sz w:val="20"/>
          <w:szCs w:val="20"/>
          <w:color w:val="auto"/>
        </w:rPr>
      </w:pPr>
    </w:p>
    <w:p>
      <w:pPr>
        <w:ind w:right="60" w:firstLine="1459"/>
        <w:spacing w:after="0" w:line="276" w:lineRule="auto"/>
        <w:rPr>
          <w:sz w:val="20"/>
          <w:szCs w:val="20"/>
          <w:color w:val="auto"/>
        </w:rPr>
      </w:pPr>
      <w:r>
        <w:rPr>
          <w:rFonts w:ascii="Arial" w:cs="Arial" w:eastAsia="Arial" w:hAnsi="Arial"/>
          <w:sz w:val="15"/>
          <w:szCs w:val="15"/>
          <w:color w:val="auto"/>
        </w:rPr>
        <w:t xml:space="preserve">Notwithstanding anything to the contrary in this Agreement or elsewhere, any payment or benefit under this Agreement or otherwise that is exempt from Section 409A pursuant to Treas. Reg. Section 1.409A-1(b)(9)(v)(A) or (C) shall be paid or provided to you only to the extent that the expenses are not incurred, or the benefits are not provided, beyond the last day of your second taxable year following your taxable year in which the “separation from service” occurs; and </w:t>
      </w:r>
      <w:r>
        <w:rPr>
          <w:rFonts w:ascii="Arial" w:cs="Arial" w:eastAsia="Arial" w:hAnsi="Arial"/>
          <w:sz w:val="15"/>
          <w:szCs w:val="15"/>
          <w:i w:val="1"/>
          <w:iCs w:val="1"/>
          <w:color w:val="auto"/>
        </w:rPr>
        <w:t>provided further</w:t>
      </w:r>
      <w:r>
        <w:rPr>
          <w:rFonts w:ascii="Arial" w:cs="Arial" w:eastAsia="Arial" w:hAnsi="Arial"/>
          <w:sz w:val="15"/>
          <w:szCs w:val="15"/>
          <w:color w:val="auto"/>
        </w:rPr>
        <w:t xml:space="preserve"> that such expenses are reimbursed no later than the last day of your third taxable year following the taxable year in which your “separation from service” occurs. Except as otherwise expressly provided herein, to the extent any expense reimbursement or the provision of any in-kind benefit under this Agreement is determined to be subject to Section 409A, the amount of any such expenses eligible for reimbursement, or the provision of any in-kind benefit, in one calendar year shall not affect the expenses eligible for reimbursement in any other taxable year (except for any life-time or other aggregate limitation applicable to medical expenses), in no event shall any expenses be reimbursed after the last day of the calendar year following the calendar year in which you incurred such expenses, and in no event shall any right to reimbursement or the provision of any in-kind benefit be subject to liquidation or exchange for another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33020</wp:posOffset>
            </wp:positionV>
            <wp:extent cx="7301865" cy="406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8">
                      <a:extLst>
                        <a:ext uri="{28A0092B-C50C-407E-A947-70E740481C1C}"/>
                      </a:extLst>
                    </a:blip>
                    <a:srcRect/>
                    <a:stretch>
                      <a:fillRect/>
                    </a:stretch>
                  </pic:blipFill>
                  <pic:spPr bwMode="auto">
                    <a:xfrm>
                      <a:off x="0" y="0"/>
                      <a:ext cx="7301865" cy="40640"/>
                    </a:xfrm>
                    <a:prstGeom prst="rect">
                      <a:avLst/>
                    </a:prstGeom>
                    <a:noFill/>
                  </pic:spPr>
                </pic:pic>
              </a:graphicData>
            </a:graphic>
          </wp:anchor>
        </w:drawing>
      </w:r>
    </w:p>
    <w:p>
      <w:pPr>
        <w:sectPr>
          <w:pgSz w:w="11900" w:h="16838" w:orient="portrait"/>
          <w:cols w:equalWidth="0" w:num="1">
            <w:col w:w="11440"/>
          </w:cols>
          <w:pgMar w:left="240" w:top="120" w:right="219" w:bottom="1440" w:gutter="0" w:footer="0" w:header="0"/>
        </w:sectPr>
      </w:pPr>
    </w:p>
    <w:bookmarkStart w:id="116" w:name="page117"/>
    <w:bookmarkEnd w:id="116"/>
    <w:p>
      <w:pPr>
        <w:ind w:left="8383"/>
        <w:spacing w:after="0"/>
        <w:rPr>
          <w:sz w:val="20"/>
          <w:szCs w:val="20"/>
          <w:color w:val="auto"/>
        </w:rPr>
      </w:pPr>
      <w:r>
        <w:rPr>
          <w:rFonts w:ascii="Arial" w:cs="Arial" w:eastAsia="Arial" w:hAnsi="Arial"/>
          <w:sz w:val="17"/>
          <w:szCs w:val="17"/>
          <w:color w:val="auto"/>
        </w:rPr>
        <w:t>-6-</w:t>
      </w:r>
    </w:p>
    <w:p>
      <w:pPr>
        <w:spacing w:after="0" w:line="381" w:lineRule="exact"/>
        <w:rPr>
          <w:sz w:val="20"/>
          <w:szCs w:val="20"/>
          <w:color w:val="auto"/>
        </w:rPr>
      </w:pPr>
    </w:p>
    <w:p>
      <w:pPr>
        <w:ind w:left="423" w:hanging="423"/>
        <w:spacing w:after="0"/>
        <w:tabs>
          <w:tab w:leader="none" w:pos="423" w:val="left"/>
        </w:tabs>
        <w:numPr>
          <w:ilvl w:val="0"/>
          <w:numId w:val="64"/>
        </w:numPr>
        <w:rPr>
          <w:rFonts w:ascii="Arial" w:cs="Arial" w:eastAsia="Arial" w:hAnsi="Arial"/>
          <w:sz w:val="17"/>
          <w:szCs w:val="17"/>
          <w:b w:val="1"/>
          <w:bCs w:val="1"/>
          <w:color w:val="auto"/>
        </w:rPr>
      </w:pPr>
      <w:r>
        <w:rPr>
          <w:rFonts w:ascii="Arial" w:cs="Arial" w:eastAsia="Arial" w:hAnsi="Arial"/>
          <w:sz w:val="17"/>
          <w:szCs w:val="17"/>
          <w:b w:val="1"/>
          <w:bCs w:val="1"/>
          <w:color w:val="auto"/>
        </w:rPr>
        <w:t>On-going Restrictions on Your Activities</w:t>
      </w:r>
    </w:p>
    <w:p>
      <w:pPr>
        <w:spacing w:after="0" w:line="195" w:lineRule="exact"/>
        <w:rPr>
          <w:rFonts w:ascii="Arial" w:cs="Arial" w:eastAsia="Arial" w:hAnsi="Arial"/>
          <w:sz w:val="17"/>
          <w:szCs w:val="17"/>
          <w:b w:val="1"/>
          <w:bCs w:val="1"/>
          <w:color w:val="auto"/>
        </w:rPr>
      </w:pPr>
    </w:p>
    <w:p>
      <w:pPr>
        <w:ind w:left="3" w:firstLine="1176"/>
        <w:spacing w:after="0" w:line="245" w:lineRule="auto"/>
        <w:tabs>
          <w:tab w:leader="none" w:pos="2434" w:val="left"/>
        </w:tabs>
        <w:numPr>
          <w:ilvl w:val="1"/>
          <w:numId w:val="64"/>
        </w:numPr>
        <w:rPr>
          <w:rFonts w:ascii="Arial" w:cs="Arial" w:eastAsia="Arial" w:hAnsi="Arial"/>
          <w:sz w:val="17"/>
          <w:szCs w:val="17"/>
          <w:color w:val="auto"/>
        </w:rPr>
      </w:pPr>
      <w:r>
        <w:rPr>
          <w:rFonts w:ascii="Arial" w:cs="Arial" w:eastAsia="Arial" w:hAnsi="Arial"/>
          <w:sz w:val="17"/>
          <w:szCs w:val="17"/>
          <w:i w:val="1"/>
          <w:iCs w:val="1"/>
          <w:color w:val="auto"/>
        </w:rPr>
        <w:t>Employee’s Agreement</w:t>
      </w:r>
      <w:r>
        <w:rPr>
          <w:rFonts w:ascii="Arial" w:cs="Arial" w:eastAsia="Arial" w:hAnsi="Arial"/>
          <w:sz w:val="17"/>
          <w:szCs w:val="17"/>
          <w:color w:val="auto"/>
        </w:rPr>
        <w:t>. You acknowledge and agree that your Eastman Kodak Company Employee's Agreement is and will remain</w:t>
      </w:r>
      <w:r>
        <w:rPr>
          <w:rFonts w:ascii="Arial" w:cs="Arial" w:eastAsia="Arial" w:hAnsi="Arial"/>
          <w:sz w:val="17"/>
          <w:szCs w:val="17"/>
          <w:i w:val="1"/>
          <w:iCs w:val="1"/>
          <w:color w:val="auto"/>
        </w:rPr>
        <w:t xml:space="preserve"> </w:t>
      </w:r>
      <w:r>
        <w:rPr>
          <w:rFonts w:ascii="Arial" w:cs="Arial" w:eastAsia="Arial" w:hAnsi="Arial"/>
          <w:sz w:val="17"/>
          <w:szCs w:val="17"/>
          <w:color w:val="auto"/>
        </w:rPr>
        <w:t>in full force and effect, including, without limitation, the provisions therein regarding nondisclosure of confidential information, non-competition with the Company during, and for up to eighteen (18) months following any termination of, your employment and non-solicitation of Company employees, customers and suppliers during, and for up to twelve (12) months following any termination of, your employment.</w:t>
      </w:r>
    </w:p>
    <w:p>
      <w:pPr>
        <w:spacing w:after="0" w:line="169" w:lineRule="exact"/>
        <w:rPr>
          <w:sz w:val="20"/>
          <w:szCs w:val="20"/>
          <w:color w:val="auto"/>
        </w:rPr>
      </w:pPr>
    </w:p>
    <w:p>
      <w:pPr>
        <w:ind w:left="1183"/>
        <w:spacing w:after="0"/>
        <w:rPr>
          <w:sz w:val="20"/>
          <w:szCs w:val="20"/>
          <w:color w:val="auto"/>
        </w:rPr>
      </w:pPr>
      <w:r>
        <w:rPr>
          <w:rFonts w:ascii="Arial" w:cs="Arial" w:eastAsia="Arial" w:hAnsi="Arial"/>
          <w:sz w:val="17"/>
          <w:szCs w:val="17"/>
          <w:color w:val="auto"/>
        </w:rPr>
        <w:t>Your Importance to the Company and the Effect of this Section 6.</w:t>
      </w:r>
    </w:p>
    <w:p>
      <w:pPr>
        <w:spacing w:after="0" w:line="191" w:lineRule="exact"/>
        <w:rPr>
          <w:sz w:val="20"/>
          <w:szCs w:val="20"/>
          <w:color w:val="auto"/>
        </w:rPr>
      </w:pPr>
    </w:p>
    <w:p>
      <w:pPr>
        <w:ind w:left="1263"/>
        <w:spacing w:after="0"/>
        <w:rPr>
          <w:sz w:val="20"/>
          <w:szCs w:val="20"/>
          <w:color w:val="auto"/>
        </w:rPr>
      </w:pPr>
      <w:r>
        <w:rPr>
          <w:rFonts w:ascii="Arial" w:cs="Arial" w:eastAsia="Arial" w:hAnsi="Arial"/>
          <w:sz w:val="17"/>
          <w:szCs w:val="17"/>
          <w:color w:val="auto"/>
        </w:rPr>
        <w:t>You acknowledge that:</w:t>
      </w:r>
    </w:p>
    <w:p>
      <w:pPr>
        <w:spacing w:after="0" w:line="191" w:lineRule="exact"/>
        <w:rPr>
          <w:sz w:val="20"/>
          <w:szCs w:val="20"/>
          <w:color w:val="auto"/>
        </w:rPr>
      </w:pPr>
    </w:p>
    <w:p>
      <w:pPr>
        <w:ind w:left="1183" w:right="20" w:firstLine="516"/>
        <w:spacing w:after="0" w:line="242" w:lineRule="auto"/>
        <w:tabs>
          <w:tab w:leader="none" w:pos="2481" w:val="left"/>
        </w:tabs>
        <w:numPr>
          <w:ilvl w:val="0"/>
          <w:numId w:val="65"/>
        </w:numPr>
        <w:rPr>
          <w:rFonts w:ascii="Arial" w:cs="Arial" w:eastAsia="Arial" w:hAnsi="Arial"/>
          <w:sz w:val="17"/>
          <w:szCs w:val="17"/>
          <w:color w:val="auto"/>
        </w:rPr>
      </w:pPr>
      <w:r>
        <w:rPr>
          <w:rFonts w:ascii="Arial" w:cs="Arial" w:eastAsia="Arial" w:hAnsi="Arial"/>
          <w:sz w:val="17"/>
          <w:szCs w:val="17"/>
          <w:color w:val="auto"/>
        </w:rPr>
        <w:t>In the course of your involvement in the Company’s activities, you will have access to confidential information and the Company’s client base and will profit from the goodwill associated with the Company. On the other hand, in view of your access to confidential information and your importance to the Company, if you compete with the Company for some time after your employment, the Company will likely suffer significant harm. In return for the benefits you will receive from the Company and to induce the Company to enter into this Agreement, and in light of the potential harm you could cause the Company, you agree to the provisions of this Section 6. The Company would not have entered into this Agreement if you did not agree to this Section 6.</w:t>
      </w:r>
    </w:p>
    <w:p>
      <w:pPr>
        <w:spacing w:after="0" w:line="171" w:lineRule="exact"/>
        <w:rPr>
          <w:rFonts w:ascii="Arial" w:cs="Arial" w:eastAsia="Arial" w:hAnsi="Arial"/>
          <w:sz w:val="17"/>
          <w:szCs w:val="17"/>
          <w:color w:val="auto"/>
        </w:rPr>
      </w:pPr>
    </w:p>
    <w:p>
      <w:pPr>
        <w:ind w:left="1183" w:right="120" w:firstLine="516"/>
        <w:spacing w:after="0" w:line="261" w:lineRule="auto"/>
        <w:tabs>
          <w:tab w:leader="none" w:pos="2481"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This Section 6 may limit your ability to earn a livelihood. You acknowledge, however, that complying with this Section 6 will not result in severe economic hardship for you or your family.</w:t>
      </w:r>
    </w:p>
    <w:p>
      <w:pPr>
        <w:spacing w:after="0" w:line="155" w:lineRule="exact"/>
        <w:rPr>
          <w:sz w:val="20"/>
          <w:szCs w:val="20"/>
          <w:color w:val="auto"/>
        </w:rPr>
      </w:pPr>
    </w:p>
    <w:p>
      <w:pPr>
        <w:ind w:left="1183"/>
        <w:spacing w:after="0"/>
        <w:rPr>
          <w:sz w:val="20"/>
          <w:szCs w:val="20"/>
          <w:color w:val="auto"/>
        </w:rPr>
      </w:pPr>
      <w:r>
        <w:rPr>
          <w:rFonts w:ascii="Arial" w:cs="Arial" w:eastAsia="Arial" w:hAnsi="Arial"/>
          <w:sz w:val="17"/>
          <w:szCs w:val="17"/>
          <w:color w:val="auto"/>
        </w:rPr>
        <w:t>Transition Assistance.</w:t>
      </w:r>
    </w:p>
    <w:p>
      <w:pPr>
        <w:spacing w:after="0" w:line="191" w:lineRule="exact"/>
        <w:rPr>
          <w:sz w:val="20"/>
          <w:szCs w:val="20"/>
          <w:color w:val="auto"/>
        </w:rPr>
      </w:pPr>
    </w:p>
    <w:p>
      <w:pPr>
        <w:ind w:left="3" w:right="80" w:firstLine="85"/>
        <w:spacing w:after="0" w:line="261" w:lineRule="auto"/>
        <w:rPr>
          <w:sz w:val="20"/>
          <w:szCs w:val="20"/>
          <w:color w:val="auto"/>
        </w:rPr>
      </w:pPr>
      <w:r>
        <w:rPr>
          <w:rFonts w:ascii="Arial" w:cs="Arial" w:eastAsia="Arial" w:hAnsi="Arial"/>
          <w:sz w:val="17"/>
          <w:szCs w:val="17"/>
          <w:color w:val="auto"/>
        </w:rPr>
        <w:t>During the 90 days after Termination Notice has been given, you will take all actions the Company may reasonably request to maintain for the Company the business, goodwill and business relationships with any Clients.</w:t>
      </w:r>
    </w:p>
    <w:p>
      <w:pPr>
        <w:spacing w:after="0" w:line="155" w:lineRule="exact"/>
        <w:rPr>
          <w:sz w:val="20"/>
          <w:szCs w:val="20"/>
          <w:color w:val="auto"/>
        </w:rPr>
      </w:pPr>
    </w:p>
    <w:p>
      <w:pPr>
        <w:ind w:left="1183"/>
        <w:spacing w:after="0"/>
        <w:rPr>
          <w:sz w:val="20"/>
          <w:szCs w:val="20"/>
          <w:color w:val="auto"/>
        </w:rPr>
      </w:pPr>
      <w:r>
        <w:rPr>
          <w:rFonts w:ascii="Arial" w:cs="Arial" w:eastAsia="Arial" w:hAnsi="Arial"/>
          <w:sz w:val="17"/>
          <w:szCs w:val="17"/>
          <w:color w:val="auto"/>
        </w:rPr>
        <w:t>Notice to New Employers.</w:t>
      </w:r>
    </w:p>
    <w:p>
      <w:pPr>
        <w:spacing w:after="0" w:line="191" w:lineRule="exact"/>
        <w:rPr>
          <w:sz w:val="20"/>
          <w:szCs w:val="20"/>
          <w:color w:val="auto"/>
        </w:rPr>
      </w:pPr>
    </w:p>
    <w:p>
      <w:pPr>
        <w:ind w:left="3" w:right="480" w:firstLine="1264"/>
        <w:spacing w:after="0" w:line="261" w:lineRule="auto"/>
        <w:rPr>
          <w:sz w:val="20"/>
          <w:szCs w:val="20"/>
          <w:color w:val="auto"/>
        </w:rPr>
      </w:pPr>
      <w:r>
        <w:rPr>
          <w:rFonts w:ascii="Arial" w:cs="Arial" w:eastAsia="Arial" w:hAnsi="Arial"/>
          <w:sz w:val="17"/>
          <w:szCs w:val="17"/>
          <w:color w:val="auto"/>
        </w:rPr>
        <w:t>Before you accept employment with any other person or entity while your Employee’s Agreement is in effect, you will provide the prospective employer with written notice of the provisions of the Employee’s Agreement and will deliver a copy of the notice to the Company.</w:t>
      </w:r>
    </w:p>
    <w:p>
      <w:pPr>
        <w:spacing w:after="0" w:line="151" w:lineRule="exact"/>
        <w:rPr>
          <w:sz w:val="20"/>
          <w:szCs w:val="20"/>
          <w:color w:val="auto"/>
        </w:rPr>
      </w:pPr>
    </w:p>
    <w:p>
      <w:pPr>
        <w:ind w:left="423" w:hanging="423"/>
        <w:spacing w:after="0"/>
        <w:tabs>
          <w:tab w:leader="none" w:pos="423" w:val="left"/>
        </w:tabs>
        <w:numPr>
          <w:ilvl w:val="0"/>
          <w:numId w:val="66"/>
        </w:numPr>
        <w:rPr>
          <w:rFonts w:ascii="Arial" w:cs="Arial" w:eastAsia="Arial" w:hAnsi="Arial"/>
          <w:sz w:val="17"/>
          <w:szCs w:val="17"/>
          <w:b w:val="1"/>
          <w:bCs w:val="1"/>
          <w:color w:val="auto"/>
        </w:rPr>
      </w:pPr>
      <w:r>
        <w:rPr>
          <w:rFonts w:ascii="Arial" w:cs="Arial" w:eastAsia="Arial" w:hAnsi="Arial"/>
          <w:sz w:val="17"/>
          <w:szCs w:val="17"/>
          <w:b w:val="1"/>
          <w:bCs w:val="1"/>
          <w:color w:val="auto"/>
        </w:rPr>
        <w:t>Effect on Other Agreements</w:t>
      </w:r>
    </w:p>
    <w:p>
      <w:pPr>
        <w:spacing w:after="0" w:line="195" w:lineRule="exact"/>
        <w:rPr>
          <w:sz w:val="20"/>
          <w:szCs w:val="20"/>
          <w:color w:val="auto"/>
        </w:rPr>
      </w:pPr>
    </w:p>
    <w:p>
      <w:pPr>
        <w:ind w:left="1183"/>
        <w:spacing w:after="0"/>
        <w:rPr>
          <w:sz w:val="20"/>
          <w:szCs w:val="20"/>
          <w:color w:val="auto"/>
        </w:rPr>
      </w:pPr>
      <w:r>
        <w:rPr>
          <w:rFonts w:ascii="Arial" w:cs="Arial" w:eastAsia="Arial" w:hAnsi="Arial"/>
          <w:sz w:val="17"/>
          <w:szCs w:val="17"/>
          <w:color w:val="auto"/>
        </w:rPr>
        <w:t>Prior Employment Agreements and Severance Rights.</w:t>
      </w:r>
    </w:p>
    <w:p>
      <w:pPr>
        <w:spacing w:after="0" w:line="191" w:lineRule="exact"/>
        <w:rPr>
          <w:sz w:val="20"/>
          <w:szCs w:val="20"/>
          <w:color w:val="auto"/>
        </w:rPr>
      </w:pPr>
    </w:p>
    <w:p>
      <w:pPr>
        <w:ind w:left="3" w:right="200" w:firstLine="165"/>
        <w:spacing w:after="0" w:line="261" w:lineRule="auto"/>
        <w:rPr>
          <w:sz w:val="20"/>
          <w:szCs w:val="20"/>
          <w:color w:val="auto"/>
        </w:rPr>
      </w:pPr>
      <w:r>
        <w:rPr>
          <w:rFonts w:ascii="Arial" w:cs="Arial" w:eastAsia="Arial" w:hAnsi="Arial"/>
          <w:sz w:val="17"/>
          <w:szCs w:val="17"/>
          <w:color w:val="auto"/>
        </w:rPr>
        <w:t>This Agreement will supersede any earlier employment agreement and any earlier severance, change in control or similar rights you may have with any member of the Company.</w:t>
      </w:r>
    </w:p>
    <w:p>
      <w:pPr>
        <w:spacing w:after="0" w:line="155" w:lineRule="exact"/>
        <w:rPr>
          <w:sz w:val="20"/>
          <w:szCs w:val="20"/>
          <w:color w:val="auto"/>
        </w:rPr>
      </w:pPr>
    </w:p>
    <w:p>
      <w:pPr>
        <w:ind w:left="1183"/>
        <w:spacing w:after="0"/>
        <w:rPr>
          <w:sz w:val="20"/>
          <w:szCs w:val="20"/>
          <w:color w:val="auto"/>
        </w:rPr>
      </w:pPr>
      <w:r>
        <w:rPr>
          <w:rFonts w:ascii="Arial" w:cs="Arial" w:eastAsia="Arial" w:hAnsi="Arial"/>
          <w:sz w:val="17"/>
          <w:szCs w:val="17"/>
          <w:color w:val="auto"/>
        </w:rPr>
        <w:t>Effect on Other Agreements; Entire Agreement.</w:t>
      </w:r>
    </w:p>
    <w:p>
      <w:pPr>
        <w:spacing w:after="0" w:line="191" w:lineRule="exact"/>
        <w:rPr>
          <w:sz w:val="20"/>
          <w:szCs w:val="20"/>
          <w:color w:val="auto"/>
        </w:rPr>
      </w:pPr>
    </w:p>
    <w:p>
      <w:pPr>
        <w:jc w:val="both"/>
        <w:ind w:left="3" w:right="340" w:firstLine="82"/>
        <w:spacing w:after="0" w:line="249" w:lineRule="auto"/>
        <w:rPr>
          <w:sz w:val="20"/>
          <w:szCs w:val="20"/>
          <w:color w:val="auto"/>
        </w:rPr>
      </w:pPr>
      <w:r>
        <w:rPr>
          <w:rFonts w:ascii="Arial" w:cs="Arial" w:eastAsia="Arial" w:hAnsi="Arial"/>
          <w:sz w:val="17"/>
          <w:szCs w:val="17"/>
          <w:color w:val="auto"/>
        </w:rPr>
        <w:t>This Agreement is the entire agreement between you and the Company with respect to the relationship contemplated by this Agreement and supersedes any earlier agreement, written or oral, with respect to the subject matter of this Agreement. In entering into this Agreement, no party has relied on or made any representation, warranty, inducement, promise or understanding that is not in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104775</wp:posOffset>
            </wp:positionV>
            <wp:extent cx="7301865" cy="406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9">
                      <a:extLst>
                        <a:ext uri="{28A0092B-C50C-407E-A947-70E740481C1C}"/>
                      </a:extLst>
                    </a:blip>
                    <a:srcRect/>
                    <a:stretch>
                      <a:fillRect/>
                    </a:stretch>
                  </pic:blipFill>
                  <pic:spPr bwMode="auto">
                    <a:xfrm>
                      <a:off x="0" y="0"/>
                      <a:ext cx="7301865" cy="40640"/>
                    </a:xfrm>
                    <a:prstGeom prst="rect">
                      <a:avLst/>
                    </a:prstGeom>
                    <a:noFill/>
                  </pic:spPr>
                </pic:pic>
              </a:graphicData>
            </a:graphic>
          </wp:anchor>
        </w:drawing>
      </w:r>
    </w:p>
    <w:p>
      <w:pPr>
        <w:sectPr>
          <w:pgSz w:w="11900" w:h="16838" w:orient="portrait"/>
          <w:cols w:equalWidth="0" w:num="1">
            <w:col w:w="11423"/>
          </w:cols>
          <w:pgMar w:left="237" w:top="120" w:right="239" w:bottom="1440" w:gutter="0" w:footer="0" w:header="0"/>
        </w:sectPr>
      </w:pPr>
    </w:p>
    <w:bookmarkStart w:id="117" w:name="page118"/>
    <w:bookmarkEnd w:id="117"/>
    <w:p>
      <w:pPr>
        <w:ind w:left="8383"/>
        <w:spacing w:after="0"/>
        <w:rPr>
          <w:sz w:val="20"/>
          <w:szCs w:val="20"/>
          <w:color w:val="auto"/>
        </w:rPr>
      </w:pPr>
      <w:r>
        <w:rPr>
          <w:rFonts w:ascii="Arial" w:cs="Arial" w:eastAsia="Arial" w:hAnsi="Arial"/>
          <w:sz w:val="17"/>
          <w:szCs w:val="17"/>
          <w:color w:val="auto"/>
        </w:rPr>
        <w:t>-7-</w:t>
      </w:r>
    </w:p>
    <w:p>
      <w:pPr>
        <w:spacing w:after="0" w:line="188" w:lineRule="exact"/>
        <w:rPr>
          <w:sz w:val="20"/>
          <w:szCs w:val="20"/>
          <w:color w:val="auto"/>
        </w:rPr>
      </w:pPr>
    </w:p>
    <w:p>
      <w:pPr>
        <w:ind w:left="503" w:hanging="503"/>
        <w:spacing w:after="0"/>
        <w:tabs>
          <w:tab w:leader="none" w:pos="503" w:val="left"/>
        </w:tabs>
        <w:numPr>
          <w:ilvl w:val="0"/>
          <w:numId w:val="67"/>
        </w:numPr>
        <w:rPr>
          <w:rFonts w:ascii="Arial" w:cs="Arial" w:eastAsia="Arial" w:hAnsi="Arial"/>
          <w:sz w:val="17"/>
          <w:szCs w:val="17"/>
          <w:b w:val="1"/>
          <w:bCs w:val="1"/>
          <w:color w:val="auto"/>
        </w:rPr>
      </w:pPr>
      <w:r>
        <w:rPr>
          <w:rFonts w:ascii="Arial" w:cs="Arial" w:eastAsia="Arial" w:hAnsi="Arial"/>
          <w:sz w:val="17"/>
          <w:szCs w:val="17"/>
          <w:b w:val="1"/>
          <w:bCs w:val="1"/>
          <w:color w:val="auto"/>
        </w:rPr>
        <w:t>Successors</w:t>
      </w:r>
    </w:p>
    <w:p>
      <w:pPr>
        <w:spacing w:after="0" w:line="195" w:lineRule="exact"/>
        <w:rPr>
          <w:sz w:val="20"/>
          <w:szCs w:val="20"/>
          <w:color w:val="auto"/>
        </w:rPr>
      </w:pPr>
    </w:p>
    <w:p>
      <w:pPr>
        <w:ind w:left="1183"/>
        <w:spacing w:after="0"/>
        <w:rPr>
          <w:sz w:val="20"/>
          <w:szCs w:val="20"/>
          <w:color w:val="auto"/>
        </w:rPr>
      </w:pPr>
      <w:r>
        <w:rPr>
          <w:rFonts w:ascii="Arial" w:cs="Arial" w:eastAsia="Arial" w:hAnsi="Arial"/>
          <w:sz w:val="17"/>
          <w:szCs w:val="17"/>
          <w:color w:val="auto"/>
        </w:rPr>
        <w:t>Assignment by You.</w:t>
      </w:r>
    </w:p>
    <w:p>
      <w:pPr>
        <w:spacing w:after="0" w:line="191" w:lineRule="exact"/>
        <w:rPr>
          <w:sz w:val="20"/>
          <w:szCs w:val="20"/>
          <w:color w:val="auto"/>
        </w:rPr>
      </w:pPr>
    </w:p>
    <w:p>
      <w:pPr>
        <w:ind w:left="3" w:firstLine="1257"/>
        <w:spacing w:after="0" w:line="249" w:lineRule="auto"/>
        <w:rPr>
          <w:sz w:val="20"/>
          <w:szCs w:val="20"/>
          <w:color w:val="auto"/>
        </w:rPr>
      </w:pPr>
      <w:r>
        <w:rPr>
          <w:rFonts w:ascii="Arial" w:cs="Arial" w:eastAsia="Arial" w:hAnsi="Arial"/>
          <w:sz w:val="17"/>
          <w:szCs w:val="17"/>
          <w:color w:val="auto"/>
        </w:rPr>
        <w:t>You may not assign this Agreement without the Company’s consent. Also, except as required by law, your right to receive payments or benefits under this Agreement may not be subject to execution, attachment, levy or similar process. Any attempt to effect any of the preceding in violation of this Section 9(a), whether voluntary or involuntary, will be void.</w:t>
      </w:r>
    </w:p>
    <w:p>
      <w:pPr>
        <w:spacing w:after="0" w:line="165" w:lineRule="exact"/>
        <w:rPr>
          <w:sz w:val="20"/>
          <w:szCs w:val="20"/>
          <w:color w:val="auto"/>
        </w:rPr>
      </w:pPr>
    </w:p>
    <w:p>
      <w:pPr>
        <w:ind w:left="1183"/>
        <w:spacing w:after="0"/>
        <w:rPr>
          <w:sz w:val="20"/>
          <w:szCs w:val="20"/>
          <w:color w:val="auto"/>
        </w:rPr>
      </w:pPr>
      <w:r>
        <w:rPr>
          <w:rFonts w:ascii="Arial" w:cs="Arial" w:eastAsia="Arial" w:hAnsi="Arial"/>
          <w:sz w:val="17"/>
          <w:szCs w:val="17"/>
          <w:color w:val="auto"/>
        </w:rPr>
        <w:t>Assumption by Any Surviving Company.</w:t>
      </w:r>
    </w:p>
    <w:p>
      <w:pPr>
        <w:spacing w:after="0" w:line="191" w:lineRule="exact"/>
        <w:rPr>
          <w:sz w:val="20"/>
          <w:szCs w:val="20"/>
          <w:color w:val="auto"/>
        </w:rPr>
      </w:pPr>
    </w:p>
    <w:p>
      <w:pPr>
        <w:ind w:left="3" w:firstLine="1264"/>
        <w:spacing w:after="0" w:line="280" w:lineRule="auto"/>
        <w:rPr>
          <w:sz w:val="20"/>
          <w:szCs w:val="20"/>
          <w:color w:val="auto"/>
        </w:rPr>
      </w:pPr>
      <w:r>
        <w:rPr>
          <w:rFonts w:ascii="Arial" w:cs="Arial" w:eastAsia="Arial" w:hAnsi="Arial"/>
          <w:sz w:val="15"/>
          <w:szCs w:val="15"/>
          <w:color w:val="auto"/>
        </w:rPr>
        <w:t>Before the effectiveness of any merger, consolidation, statutory share exchange or similar transaction (including an exchange offer combined with a merger or consolidation) involving the Company (a “</w:t>
      </w:r>
      <w:r>
        <w:rPr>
          <w:rFonts w:ascii="Arial" w:cs="Arial" w:eastAsia="Arial" w:hAnsi="Arial"/>
          <w:sz w:val="15"/>
          <w:szCs w:val="15"/>
          <w:i w:val="1"/>
          <w:iCs w:val="1"/>
          <w:color w:val="auto"/>
        </w:rPr>
        <w:t>Reorganization</w:t>
      </w:r>
      <w:r>
        <w:rPr>
          <w:rFonts w:ascii="Arial" w:cs="Arial" w:eastAsia="Arial" w:hAnsi="Arial"/>
          <w:sz w:val="15"/>
          <w:szCs w:val="15"/>
          <w:color w:val="auto"/>
        </w:rPr>
        <w:t>”) or any sale, lease or other disposition (including by way of a series of transactions or by way of merger, consolidation, stock sale or similar transaction involving one or more subsidiaries) of all or substantially all of the Company’s consolidated assets (a “</w:t>
      </w:r>
      <w:r>
        <w:rPr>
          <w:rFonts w:ascii="Arial" w:cs="Arial" w:eastAsia="Arial" w:hAnsi="Arial"/>
          <w:sz w:val="15"/>
          <w:szCs w:val="15"/>
          <w:i w:val="1"/>
          <w:iCs w:val="1"/>
          <w:color w:val="auto"/>
        </w:rPr>
        <w:t>Sale</w:t>
      </w:r>
      <w:r>
        <w:rPr>
          <w:rFonts w:ascii="Arial" w:cs="Arial" w:eastAsia="Arial" w:hAnsi="Arial"/>
          <w:sz w:val="15"/>
          <w:szCs w:val="15"/>
          <w:color w:val="auto"/>
        </w:rPr>
        <w:t>”), the Company will cause (1) the Surviving Company to unconditionally assume this Agreement in writing and (2) a copy of the assumption to be provided to you. After the Reorganization or Sale, the Surviving Company will be treated for all purposes as the Company under this Agreement. The “</w:t>
      </w:r>
      <w:r>
        <w:rPr>
          <w:rFonts w:ascii="Arial" w:cs="Arial" w:eastAsia="Arial" w:hAnsi="Arial"/>
          <w:sz w:val="15"/>
          <w:szCs w:val="15"/>
          <w:i w:val="1"/>
          <w:iCs w:val="1"/>
          <w:color w:val="auto"/>
        </w:rPr>
        <w:t>Surviving Company</w:t>
      </w:r>
      <w:r>
        <w:rPr>
          <w:rFonts w:ascii="Arial" w:cs="Arial" w:eastAsia="Arial" w:hAnsi="Arial"/>
          <w:sz w:val="15"/>
          <w:szCs w:val="15"/>
          <w:color w:val="auto"/>
        </w:rPr>
        <w:t>” means (i) in a Reorganization, the entity resulting from the Reorganization or (ii) in a Sale, the entity that has acquired all or substantially all of the assets of the Company.</w:t>
      </w:r>
    </w:p>
    <w:p>
      <w:pPr>
        <w:spacing w:after="0" w:line="142" w:lineRule="exact"/>
        <w:rPr>
          <w:sz w:val="20"/>
          <w:szCs w:val="20"/>
          <w:color w:val="auto"/>
        </w:rPr>
      </w:pPr>
    </w:p>
    <w:p>
      <w:pPr>
        <w:ind w:left="503" w:hanging="503"/>
        <w:spacing w:after="0"/>
        <w:tabs>
          <w:tab w:leader="none" w:pos="503" w:val="left"/>
        </w:tabs>
        <w:numPr>
          <w:ilvl w:val="0"/>
          <w:numId w:val="68"/>
        </w:numPr>
        <w:rPr>
          <w:rFonts w:ascii="Arial" w:cs="Arial" w:eastAsia="Arial" w:hAnsi="Arial"/>
          <w:sz w:val="17"/>
          <w:szCs w:val="17"/>
          <w:b w:val="1"/>
          <w:bCs w:val="1"/>
          <w:color w:val="auto"/>
        </w:rPr>
      </w:pPr>
      <w:r>
        <w:rPr>
          <w:rFonts w:ascii="Arial" w:cs="Arial" w:eastAsia="Arial" w:hAnsi="Arial"/>
          <w:sz w:val="17"/>
          <w:szCs w:val="17"/>
          <w:b w:val="1"/>
          <w:bCs w:val="1"/>
          <w:color w:val="auto"/>
        </w:rPr>
        <w:t>General Provisions</w:t>
      </w:r>
    </w:p>
    <w:p>
      <w:pPr>
        <w:spacing w:after="0" w:line="195" w:lineRule="exact"/>
        <w:rPr>
          <w:rFonts w:ascii="Arial" w:cs="Arial" w:eastAsia="Arial" w:hAnsi="Arial"/>
          <w:sz w:val="17"/>
          <w:szCs w:val="17"/>
          <w:b w:val="1"/>
          <w:bCs w:val="1"/>
          <w:color w:val="auto"/>
        </w:rPr>
      </w:pPr>
    </w:p>
    <w:p>
      <w:pPr>
        <w:ind w:left="3" w:right="40" w:firstLine="1176"/>
        <w:spacing w:after="0" w:line="275" w:lineRule="auto"/>
        <w:tabs>
          <w:tab w:leader="none" w:pos="2434" w:val="left"/>
        </w:tabs>
        <w:numPr>
          <w:ilvl w:val="1"/>
          <w:numId w:val="68"/>
        </w:numPr>
        <w:rPr>
          <w:rFonts w:ascii="Arial" w:cs="Arial" w:eastAsia="Arial" w:hAnsi="Arial"/>
          <w:sz w:val="15"/>
          <w:szCs w:val="15"/>
          <w:color w:val="auto"/>
        </w:rPr>
      </w:pPr>
      <w:r>
        <w:rPr>
          <w:rFonts w:ascii="Arial" w:cs="Arial" w:eastAsia="Arial" w:hAnsi="Arial"/>
          <w:sz w:val="15"/>
          <w:szCs w:val="15"/>
          <w:i w:val="1"/>
          <w:iCs w:val="1"/>
          <w:color w:val="auto"/>
        </w:rPr>
        <w:t xml:space="preserve">Administrator. </w:t>
      </w:r>
      <w:r>
        <w:rPr>
          <w:rFonts w:ascii="Arial" w:cs="Arial" w:eastAsia="Arial" w:hAnsi="Arial"/>
          <w:sz w:val="15"/>
          <w:szCs w:val="15"/>
          <w:color w:val="auto"/>
        </w:rPr>
        <w:t>All compensation and benefits provided under this Agreement will be administered by the Chief Human Resources</w:t>
      </w:r>
      <w:r>
        <w:rPr>
          <w:rFonts w:ascii="Arial" w:cs="Arial" w:eastAsia="Arial" w:hAnsi="Arial"/>
          <w:sz w:val="15"/>
          <w:szCs w:val="15"/>
          <w:i w:val="1"/>
          <w:iCs w:val="1"/>
          <w:color w:val="auto"/>
        </w:rPr>
        <w:t xml:space="preserve"> </w:t>
      </w:r>
      <w:r>
        <w:rPr>
          <w:rFonts w:ascii="Arial" w:cs="Arial" w:eastAsia="Arial" w:hAnsi="Arial"/>
          <w:sz w:val="15"/>
          <w:szCs w:val="15"/>
          <w:color w:val="auto"/>
        </w:rPr>
        <w:t>Officer for the Company (the “</w:t>
      </w:r>
      <w:r>
        <w:rPr>
          <w:rFonts w:ascii="Arial" w:cs="Arial" w:eastAsia="Arial" w:hAnsi="Arial"/>
          <w:sz w:val="15"/>
          <w:szCs w:val="15"/>
          <w:i w:val="1"/>
          <w:iCs w:val="1"/>
          <w:color w:val="auto"/>
        </w:rPr>
        <w:t>Administrator</w:t>
      </w:r>
      <w:r>
        <w:rPr>
          <w:rFonts w:ascii="Arial" w:cs="Arial" w:eastAsia="Arial" w:hAnsi="Arial"/>
          <w:sz w:val="15"/>
          <w:szCs w:val="15"/>
          <w:color w:val="auto"/>
        </w:rPr>
        <w:t>”). The Administrator will have total and exclusive responsibility to control, operate, manage and administer such compensation and benefits in accordance with their terms and all the authority that may be necessary or helpful to enable him to discharge his responsibilities with respect to them. Without limiting the generality of the preceding sentence, the Administrator will have the exclusive right to: interpret this Agreement, decide all questions concerning eligibility for and the amount of compensation and benefits payable, construe any ambiguous provision, correct any default, supply any omission, reconcile any inconsistency, and decide all questions arising in the administration, interpretation and application of this Agreement. The Administrator will have full discretionary authority in all matters related to the discharge of his responsibilities and the exercise of his authority, including, without limitation, his construction of the terms of this Agreement and his determination of eligibility for compensation and benefits. It is the intent of the parties hereto, that the decisions of the Administrator and his actions with respect to this Agreement will be final and binding upon all persons having or claiming to have any right or interest in or under this Agreement and that no such decision or actions shall be modified upon judicial review unless such decision or action is proven to be arbitrary or capricious.</w:t>
      </w:r>
    </w:p>
    <w:p>
      <w:pPr>
        <w:spacing w:after="0" w:line="150" w:lineRule="exact"/>
        <w:rPr>
          <w:rFonts w:ascii="Arial" w:cs="Arial" w:eastAsia="Arial" w:hAnsi="Arial"/>
          <w:sz w:val="15"/>
          <w:szCs w:val="15"/>
          <w:color w:val="auto"/>
        </w:rPr>
      </w:pPr>
    </w:p>
    <w:p>
      <w:pPr>
        <w:ind w:left="3" w:firstLine="1176"/>
        <w:spacing w:after="0" w:line="261" w:lineRule="auto"/>
        <w:tabs>
          <w:tab w:leader="none" w:pos="2443" w:val="left"/>
        </w:tabs>
        <w:numPr>
          <w:ilvl w:val="1"/>
          <w:numId w:val="68"/>
        </w:numPr>
        <w:rPr>
          <w:rFonts w:ascii="Arial" w:cs="Arial" w:eastAsia="Arial" w:hAnsi="Arial"/>
          <w:sz w:val="17"/>
          <w:szCs w:val="17"/>
          <w:color w:val="auto"/>
        </w:rPr>
      </w:pPr>
      <w:r>
        <w:rPr>
          <w:rFonts w:ascii="Arial" w:cs="Arial" w:eastAsia="Arial" w:hAnsi="Arial"/>
          <w:sz w:val="17"/>
          <w:szCs w:val="17"/>
          <w:i w:val="1"/>
          <w:iCs w:val="1"/>
          <w:color w:val="auto"/>
        </w:rPr>
        <w:t xml:space="preserve">Withholding. </w:t>
      </w:r>
      <w:r>
        <w:rPr>
          <w:rFonts w:ascii="Arial" w:cs="Arial" w:eastAsia="Arial" w:hAnsi="Arial"/>
          <w:sz w:val="17"/>
          <w:szCs w:val="17"/>
          <w:color w:val="auto"/>
        </w:rPr>
        <w:t>You and the Company will treat all payments to you under this Agreement as compensation for services. Accordingly,</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 may withhold from any payment any taxes that are required to be withheld under any law, rule or regulation</w:t>
      </w:r>
      <w:r>
        <w:rPr>
          <w:rFonts w:ascii="Arial" w:cs="Arial" w:eastAsia="Arial" w:hAnsi="Arial"/>
          <w:sz w:val="17"/>
          <w:szCs w:val="17"/>
          <w:i w:val="1"/>
          <w:iCs w:val="1"/>
          <w:color w:val="auto"/>
        </w:rPr>
        <w:t>.</w:t>
      </w:r>
    </w:p>
    <w:p>
      <w:pPr>
        <w:spacing w:after="0" w:line="155" w:lineRule="exact"/>
        <w:rPr>
          <w:rFonts w:ascii="Arial" w:cs="Arial" w:eastAsia="Arial" w:hAnsi="Arial"/>
          <w:sz w:val="17"/>
          <w:szCs w:val="17"/>
          <w:color w:val="auto"/>
        </w:rPr>
      </w:pPr>
    </w:p>
    <w:p>
      <w:pPr>
        <w:ind w:left="3" w:right="60" w:firstLine="1176"/>
        <w:spacing w:after="0" w:line="261" w:lineRule="auto"/>
        <w:tabs>
          <w:tab w:leader="none" w:pos="2434" w:val="left"/>
        </w:tabs>
        <w:numPr>
          <w:ilvl w:val="1"/>
          <w:numId w:val="68"/>
        </w:numPr>
        <w:rPr>
          <w:rFonts w:ascii="Arial" w:cs="Arial" w:eastAsia="Arial" w:hAnsi="Arial"/>
          <w:sz w:val="17"/>
          <w:szCs w:val="17"/>
          <w:color w:val="auto"/>
        </w:rPr>
      </w:pPr>
      <w:r>
        <w:rPr>
          <w:rFonts w:ascii="Arial" w:cs="Arial" w:eastAsia="Arial" w:hAnsi="Arial"/>
          <w:sz w:val="17"/>
          <w:szCs w:val="17"/>
          <w:i w:val="1"/>
          <w:iCs w:val="1"/>
          <w:color w:val="auto"/>
        </w:rPr>
        <w:t>Confidentiality</w:t>
      </w:r>
      <w:r>
        <w:rPr>
          <w:rFonts w:ascii="Arial" w:cs="Arial" w:eastAsia="Arial" w:hAnsi="Arial"/>
          <w:sz w:val="17"/>
          <w:szCs w:val="17"/>
          <w:color w:val="auto"/>
        </w:rPr>
        <w:t>. You agree to keep the existence of this letter confidential except that you may review it with your financial advisor,</w:t>
      </w:r>
      <w:r>
        <w:rPr>
          <w:rFonts w:ascii="Arial" w:cs="Arial" w:eastAsia="Arial" w:hAnsi="Arial"/>
          <w:sz w:val="17"/>
          <w:szCs w:val="17"/>
          <w:i w:val="1"/>
          <w:iCs w:val="1"/>
          <w:color w:val="auto"/>
        </w:rPr>
        <w:t xml:space="preserve"> </w:t>
      </w:r>
      <w:r>
        <w:rPr>
          <w:rFonts w:ascii="Arial" w:cs="Arial" w:eastAsia="Arial" w:hAnsi="Arial"/>
          <w:sz w:val="17"/>
          <w:szCs w:val="17"/>
          <w:color w:val="auto"/>
        </w:rPr>
        <w:t>attorney or spouse/partner and with the Administrator.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98425</wp:posOffset>
            </wp:positionV>
            <wp:extent cx="7301865" cy="406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00">
                      <a:extLst>
                        <a:ext uri="{28A0092B-C50C-407E-A947-70E740481C1C}"/>
                      </a:extLst>
                    </a:blip>
                    <a:srcRect/>
                    <a:stretch>
                      <a:fillRect/>
                    </a:stretch>
                  </pic:blipFill>
                  <pic:spPr bwMode="auto">
                    <a:xfrm>
                      <a:off x="0" y="0"/>
                      <a:ext cx="7301865" cy="40640"/>
                    </a:xfrm>
                    <a:prstGeom prst="rect">
                      <a:avLst/>
                    </a:prstGeom>
                    <a:noFill/>
                  </pic:spPr>
                </pic:pic>
              </a:graphicData>
            </a:graphic>
          </wp:anchor>
        </w:drawing>
      </w:r>
    </w:p>
    <w:p>
      <w:pPr>
        <w:sectPr>
          <w:pgSz w:w="11900" w:h="16838" w:orient="portrait"/>
          <w:cols w:equalWidth="0" w:num="1">
            <w:col w:w="11423"/>
          </w:cols>
          <w:pgMar w:left="237" w:top="120" w:right="239" w:bottom="1440" w:gutter="0" w:footer="0" w:header="0"/>
        </w:sectPr>
      </w:pPr>
    </w:p>
    <w:bookmarkStart w:id="118" w:name="page119"/>
    <w:bookmarkEnd w:id="118"/>
    <w:p>
      <w:pPr>
        <w:ind w:left="8380"/>
        <w:spacing w:after="0"/>
        <w:rPr>
          <w:sz w:val="20"/>
          <w:szCs w:val="20"/>
          <w:color w:val="auto"/>
        </w:rPr>
      </w:pPr>
      <w:r>
        <w:rPr>
          <w:rFonts w:ascii="Arial" w:cs="Arial" w:eastAsia="Arial" w:hAnsi="Arial"/>
          <w:sz w:val="17"/>
          <w:szCs w:val="17"/>
          <w:color w:val="auto"/>
        </w:rPr>
        <w:t>-8-</w:t>
      </w:r>
    </w:p>
    <w:p>
      <w:pPr>
        <w:spacing w:after="0" w:line="191" w:lineRule="exact"/>
        <w:rPr>
          <w:sz w:val="20"/>
          <w:szCs w:val="20"/>
          <w:color w:val="auto"/>
        </w:rPr>
      </w:pPr>
    </w:p>
    <w:p>
      <w:pPr>
        <w:ind w:left="1180"/>
        <w:spacing w:after="0"/>
        <w:rPr>
          <w:sz w:val="20"/>
          <w:szCs w:val="20"/>
          <w:color w:val="auto"/>
        </w:rPr>
      </w:pPr>
      <w:r>
        <w:rPr>
          <w:rFonts w:ascii="Arial" w:cs="Arial" w:eastAsia="Arial" w:hAnsi="Arial"/>
          <w:sz w:val="17"/>
          <w:szCs w:val="17"/>
          <w:i w:val="1"/>
          <w:iCs w:val="1"/>
          <w:color w:val="auto"/>
        </w:rPr>
        <w:t>Severability.</w:t>
      </w:r>
    </w:p>
    <w:p>
      <w:pPr>
        <w:spacing w:after="0" w:line="191" w:lineRule="exact"/>
        <w:rPr>
          <w:sz w:val="20"/>
          <w:szCs w:val="20"/>
          <w:color w:val="auto"/>
        </w:rPr>
      </w:pPr>
    </w:p>
    <w:p>
      <w:pPr>
        <w:ind w:firstLine="1179"/>
        <w:spacing w:after="0" w:line="243" w:lineRule="auto"/>
        <w:rPr>
          <w:sz w:val="20"/>
          <w:szCs w:val="20"/>
          <w:color w:val="auto"/>
        </w:rPr>
      </w:pPr>
      <w:r>
        <w:rPr>
          <w:rFonts w:ascii="Arial" w:cs="Arial" w:eastAsia="Arial" w:hAnsi="Arial"/>
          <w:sz w:val="17"/>
          <w:szCs w:val="17"/>
          <w:color w:val="auto"/>
        </w:rPr>
        <w:t>If any provision of this Agreement is found by any court of competent jurisdiction (or legally empowered agency) to be illegal, invalid or unenforceable for any reason, then (1) the provision will be amended automatically to the minimum extent necessary to cure the illegality or invalidity and permit enforcement and (2) the remainder of this Agreement will not be affected. In particular, if any provision of Section 6 is so found to violate law or be unenforceable because it applies for longer than a maximum permitted period or to greater than a maximum permitted area, it will be automatically amended to apply for the maximum permitted period and maximum permitted area.</w:t>
      </w:r>
    </w:p>
    <w:p>
      <w:pPr>
        <w:spacing w:after="0" w:line="171" w:lineRule="exact"/>
        <w:rPr>
          <w:sz w:val="20"/>
          <w:szCs w:val="20"/>
          <w:color w:val="auto"/>
        </w:rPr>
      </w:pPr>
    </w:p>
    <w:p>
      <w:pPr>
        <w:ind w:left="1180"/>
        <w:spacing w:after="0"/>
        <w:rPr>
          <w:sz w:val="20"/>
          <w:szCs w:val="20"/>
          <w:color w:val="auto"/>
        </w:rPr>
      </w:pPr>
      <w:r>
        <w:rPr>
          <w:rFonts w:ascii="Arial" w:cs="Arial" w:eastAsia="Arial" w:hAnsi="Arial"/>
          <w:sz w:val="17"/>
          <w:szCs w:val="17"/>
          <w:color w:val="auto"/>
        </w:rPr>
        <w:t>No Set-Off.</w:t>
      </w:r>
    </w:p>
    <w:p>
      <w:pPr>
        <w:spacing w:after="0" w:line="191" w:lineRule="exact"/>
        <w:rPr>
          <w:sz w:val="20"/>
          <w:szCs w:val="20"/>
          <w:color w:val="auto"/>
        </w:rPr>
      </w:pPr>
    </w:p>
    <w:p>
      <w:pPr>
        <w:ind w:right="40" w:firstLine="78"/>
        <w:spacing w:after="0" w:line="272" w:lineRule="auto"/>
        <w:rPr>
          <w:sz w:val="20"/>
          <w:szCs w:val="20"/>
          <w:color w:val="auto"/>
        </w:rPr>
      </w:pPr>
      <w:r>
        <w:rPr>
          <w:rFonts w:ascii="Arial" w:cs="Arial" w:eastAsia="Arial" w:hAnsi="Arial"/>
          <w:sz w:val="16"/>
          <w:szCs w:val="16"/>
          <w:color w:val="auto"/>
        </w:rPr>
        <w:t>Your and the Company’s respective obligations under this Agreement will not be affected by any set-off, counterclaim, recoupment or other right you or any member of the Company may have against each other or anyone else (except as this Agreement specifically states). You do not need to seek other employment or take any other action to mitigate any amounts owed to you under this Agreement, and those amounts will not be reduced if you do obtain other employment.</w:t>
      </w:r>
    </w:p>
    <w:p>
      <w:pPr>
        <w:spacing w:after="0" w:line="148" w:lineRule="exact"/>
        <w:rPr>
          <w:sz w:val="20"/>
          <w:szCs w:val="20"/>
          <w:color w:val="auto"/>
        </w:rPr>
      </w:pPr>
    </w:p>
    <w:p>
      <w:pPr>
        <w:ind w:left="1180"/>
        <w:spacing w:after="0"/>
        <w:rPr>
          <w:sz w:val="20"/>
          <w:szCs w:val="20"/>
          <w:color w:val="auto"/>
        </w:rPr>
      </w:pPr>
      <w:r>
        <w:rPr>
          <w:rFonts w:ascii="Arial" w:cs="Arial" w:eastAsia="Arial" w:hAnsi="Arial"/>
          <w:sz w:val="17"/>
          <w:szCs w:val="17"/>
          <w:color w:val="auto"/>
        </w:rPr>
        <w:t>Notices.</w:t>
      </w:r>
    </w:p>
    <w:p>
      <w:pPr>
        <w:spacing w:after="0" w:line="191" w:lineRule="exact"/>
        <w:rPr>
          <w:sz w:val="20"/>
          <w:szCs w:val="20"/>
          <w:color w:val="auto"/>
        </w:rPr>
      </w:pPr>
    </w:p>
    <w:p>
      <w:pPr>
        <w:ind w:right="20" w:firstLine="75"/>
        <w:spacing w:after="0" w:line="288" w:lineRule="auto"/>
        <w:rPr>
          <w:sz w:val="20"/>
          <w:szCs w:val="20"/>
          <w:color w:val="auto"/>
        </w:rPr>
      </w:pPr>
      <w:r>
        <w:rPr>
          <w:rFonts w:ascii="Arial" w:cs="Arial" w:eastAsia="Arial" w:hAnsi="Arial"/>
          <w:sz w:val="15"/>
          <w:szCs w:val="15"/>
          <w:color w:val="auto"/>
        </w:rPr>
        <w:t>All notices, requests, demands and other communications under this Agreement must be in writing and will be deemed given (1) on the business day sent, when delivered by hand or facsimile transmission (with confirmation) during normal business hours, (2) on the business day after the business day sent, if delivered by a nationally recognized overnight courier or (3) on the third business day after the business day sent if delivered by registered or certified mail, return receipt requested, in each case to the following address or number (or to such other addresses or numbers as may be specified by notice that conforms to this Section 9(g)):</w:t>
      </w:r>
    </w:p>
    <w:p>
      <w:pPr>
        <w:spacing w:after="0" w:line="139" w:lineRule="exact"/>
        <w:rPr>
          <w:sz w:val="20"/>
          <w:szCs w:val="20"/>
          <w:color w:val="auto"/>
        </w:rPr>
      </w:pPr>
    </w:p>
    <w:p>
      <w:pPr>
        <w:ind w:left="1460"/>
        <w:spacing w:after="0"/>
        <w:rPr>
          <w:sz w:val="20"/>
          <w:szCs w:val="20"/>
          <w:color w:val="auto"/>
        </w:rPr>
      </w:pPr>
      <w:r>
        <w:rPr>
          <w:rFonts w:ascii="Arial" w:cs="Arial" w:eastAsia="Arial" w:hAnsi="Arial"/>
          <w:sz w:val="17"/>
          <w:szCs w:val="17"/>
          <w:color w:val="auto"/>
        </w:rPr>
        <w:t>If to you, to the address stated in your Schedule.</w:t>
      </w:r>
    </w:p>
    <w:p>
      <w:pPr>
        <w:spacing w:after="0" w:line="191" w:lineRule="exact"/>
        <w:rPr>
          <w:sz w:val="20"/>
          <w:szCs w:val="20"/>
          <w:color w:val="auto"/>
        </w:rPr>
      </w:pPr>
    </w:p>
    <w:p>
      <w:pPr>
        <w:ind w:left="1460"/>
        <w:spacing w:after="0"/>
        <w:rPr>
          <w:sz w:val="20"/>
          <w:szCs w:val="20"/>
          <w:color w:val="auto"/>
        </w:rPr>
      </w:pPr>
      <w:r>
        <w:rPr>
          <w:rFonts w:ascii="Arial" w:cs="Arial" w:eastAsia="Arial" w:hAnsi="Arial"/>
          <w:sz w:val="17"/>
          <w:szCs w:val="17"/>
          <w:color w:val="auto"/>
        </w:rPr>
        <w:t>If to the Company or any other member of the Company, to:</w:t>
      </w:r>
    </w:p>
    <w:p>
      <w:pPr>
        <w:spacing w:after="0" w:line="191" w:lineRule="exact"/>
        <w:rPr>
          <w:sz w:val="20"/>
          <w:szCs w:val="20"/>
          <w:color w:val="auto"/>
        </w:rPr>
      </w:pPr>
    </w:p>
    <w:p>
      <w:pPr>
        <w:ind w:left="1460"/>
        <w:spacing w:after="0"/>
        <w:rPr>
          <w:sz w:val="20"/>
          <w:szCs w:val="20"/>
          <w:color w:val="auto"/>
        </w:rPr>
      </w:pPr>
      <w:r>
        <w:rPr>
          <w:rFonts w:ascii="Arial" w:cs="Arial" w:eastAsia="Arial" w:hAnsi="Arial"/>
          <w:sz w:val="17"/>
          <w:szCs w:val="17"/>
          <w:color w:val="auto"/>
        </w:rPr>
        <w:t>Eastman Kodak Company</w:t>
      </w:r>
    </w:p>
    <w:p>
      <w:pPr>
        <w:spacing w:after="0" w:line="10" w:lineRule="exact"/>
        <w:rPr>
          <w:sz w:val="20"/>
          <w:szCs w:val="20"/>
          <w:color w:val="auto"/>
        </w:rPr>
      </w:pPr>
    </w:p>
    <w:p>
      <w:pPr>
        <w:ind w:left="1460"/>
        <w:spacing w:after="0"/>
        <w:rPr>
          <w:sz w:val="20"/>
          <w:szCs w:val="20"/>
          <w:color w:val="auto"/>
        </w:rPr>
      </w:pPr>
      <w:r>
        <w:rPr>
          <w:rFonts w:ascii="Arial" w:cs="Arial" w:eastAsia="Arial" w:hAnsi="Arial"/>
          <w:sz w:val="17"/>
          <w:szCs w:val="17"/>
          <w:color w:val="auto"/>
        </w:rPr>
        <w:t>343 State Street</w:t>
      </w:r>
    </w:p>
    <w:p>
      <w:pPr>
        <w:ind w:left="1460"/>
        <w:spacing w:after="0" w:line="237" w:lineRule="auto"/>
        <w:rPr>
          <w:sz w:val="20"/>
          <w:szCs w:val="20"/>
          <w:color w:val="auto"/>
        </w:rPr>
      </w:pPr>
      <w:r>
        <w:rPr>
          <w:rFonts w:ascii="Arial" w:cs="Arial" w:eastAsia="Arial" w:hAnsi="Arial"/>
          <w:sz w:val="17"/>
          <w:szCs w:val="17"/>
          <w:color w:val="auto"/>
        </w:rPr>
        <w:t>Rochester, New York 14650</w:t>
      </w:r>
    </w:p>
    <w:p>
      <w:pPr>
        <w:ind w:left="1460"/>
        <w:spacing w:after="0" w:line="237" w:lineRule="auto"/>
        <w:rPr>
          <w:sz w:val="20"/>
          <w:szCs w:val="20"/>
          <w:color w:val="auto"/>
        </w:rPr>
      </w:pPr>
      <w:r>
        <w:rPr>
          <w:rFonts w:ascii="Arial" w:cs="Arial" w:eastAsia="Arial" w:hAnsi="Arial"/>
          <w:sz w:val="17"/>
          <w:szCs w:val="17"/>
          <w:color w:val="auto"/>
        </w:rPr>
        <w:t>Attention: General Counsel</w:t>
      </w:r>
    </w:p>
    <w:p>
      <w:pPr>
        <w:spacing w:after="0" w:line="1" w:lineRule="exact"/>
        <w:rPr>
          <w:sz w:val="20"/>
          <w:szCs w:val="20"/>
          <w:color w:val="auto"/>
        </w:rPr>
      </w:pPr>
    </w:p>
    <w:p>
      <w:pPr>
        <w:ind w:left="1460"/>
        <w:spacing w:after="0"/>
        <w:rPr>
          <w:sz w:val="20"/>
          <w:szCs w:val="20"/>
          <w:color w:val="auto"/>
        </w:rPr>
      </w:pPr>
      <w:r>
        <w:rPr>
          <w:rFonts w:ascii="Arial" w:cs="Arial" w:eastAsia="Arial" w:hAnsi="Arial"/>
          <w:sz w:val="17"/>
          <w:szCs w:val="17"/>
          <w:color w:val="auto"/>
        </w:rPr>
        <w:t>Facsimile: 585-724-9448</w:t>
      </w:r>
    </w:p>
    <w:p>
      <w:pPr>
        <w:spacing w:after="0" w:line="177" w:lineRule="exact"/>
        <w:rPr>
          <w:sz w:val="20"/>
          <w:szCs w:val="20"/>
          <w:color w:val="auto"/>
        </w:rPr>
      </w:pPr>
    </w:p>
    <w:p>
      <w:pPr>
        <w:ind w:left="1180"/>
        <w:spacing w:after="0"/>
        <w:rPr>
          <w:sz w:val="20"/>
          <w:szCs w:val="20"/>
          <w:color w:val="auto"/>
        </w:rPr>
      </w:pPr>
      <w:r>
        <w:rPr>
          <w:rFonts w:ascii="Arial" w:cs="Arial" w:eastAsia="Arial" w:hAnsi="Arial"/>
          <w:sz w:val="17"/>
          <w:szCs w:val="17"/>
          <w:color w:val="auto"/>
        </w:rPr>
        <w:t>Amendments and Waivers.</w:t>
      </w:r>
    </w:p>
    <w:p>
      <w:pPr>
        <w:spacing w:after="0" w:line="191" w:lineRule="exact"/>
        <w:rPr>
          <w:sz w:val="20"/>
          <w:szCs w:val="20"/>
          <w:color w:val="auto"/>
        </w:rPr>
      </w:pPr>
    </w:p>
    <w:p>
      <w:pPr>
        <w:ind w:firstLine="1254"/>
        <w:spacing w:after="0" w:line="245" w:lineRule="auto"/>
        <w:rPr>
          <w:sz w:val="20"/>
          <w:szCs w:val="20"/>
          <w:color w:val="auto"/>
        </w:rPr>
      </w:pPr>
      <w:r>
        <w:rPr>
          <w:rFonts w:ascii="Arial" w:cs="Arial" w:eastAsia="Arial" w:hAnsi="Arial"/>
          <w:sz w:val="17"/>
          <w:szCs w:val="17"/>
          <w:color w:val="auto"/>
        </w:rPr>
        <w:t>Any provision of this Agreement may be amended or waived but only if the amendment or waiver is in writing and signed, in the case of an amendment, by you and the Company or, in the case of a waiver, by the party that would have benefited from the provision waived. Except as this Agreement otherwise provides, no failure or delay by you or the Company to exercise any right or remedy under this Agreement will operate as a waiver, and no partial exercise of any right or remedy will preclude any further exercise.</w:t>
      </w:r>
    </w:p>
    <w:p>
      <w:pPr>
        <w:spacing w:after="0" w:line="169" w:lineRule="exact"/>
        <w:rPr>
          <w:sz w:val="20"/>
          <w:szCs w:val="20"/>
          <w:color w:val="auto"/>
        </w:rPr>
      </w:pPr>
    </w:p>
    <w:p>
      <w:pPr>
        <w:ind w:firstLine="1176"/>
        <w:spacing w:after="0" w:line="243" w:lineRule="auto"/>
        <w:tabs>
          <w:tab w:leader="none" w:pos="2440" w:val="left"/>
        </w:tabs>
        <w:numPr>
          <w:ilvl w:val="0"/>
          <w:numId w:val="69"/>
        </w:numPr>
        <w:rPr>
          <w:rFonts w:ascii="Arial" w:cs="Arial" w:eastAsia="Arial" w:hAnsi="Arial"/>
          <w:sz w:val="17"/>
          <w:szCs w:val="17"/>
          <w:color w:val="auto"/>
        </w:rPr>
      </w:pPr>
      <w:r>
        <w:rPr>
          <w:rFonts w:ascii="Arial" w:cs="Arial" w:eastAsia="Arial" w:hAnsi="Arial"/>
          <w:sz w:val="17"/>
          <w:szCs w:val="17"/>
          <w:i w:val="1"/>
          <w:iCs w:val="1"/>
          <w:color w:val="auto"/>
        </w:rPr>
        <w:t>Jurisdiction; Choice of Forum; Costs</w:t>
      </w:r>
      <w:r>
        <w:rPr>
          <w:rFonts w:ascii="Arial" w:cs="Arial" w:eastAsia="Arial" w:hAnsi="Arial"/>
          <w:sz w:val="17"/>
          <w:szCs w:val="17"/>
          <w:color w:val="auto"/>
        </w:rPr>
        <w:t>. You and the Company irrevocably submit to the exclusive jurisdiction of any</w:t>
      </w:r>
      <w:r>
        <w:rPr>
          <w:rFonts w:ascii="Arial" w:cs="Arial" w:eastAsia="Arial" w:hAnsi="Arial"/>
          <w:sz w:val="17"/>
          <w:szCs w:val="17"/>
          <w:i w:val="1"/>
          <w:iCs w:val="1"/>
          <w:color w:val="auto"/>
        </w:rPr>
        <w:t xml:space="preserve"> </w:t>
      </w:r>
      <w:r>
        <w:rPr>
          <w:rFonts w:ascii="Arial" w:cs="Arial" w:eastAsia="Arial" w:hAnsi="Arial"/>
          <w:sz w:val="17"/>
          <w:szCs w:val="17"/>
          <w:color w:val="auto"/>
        </w:rPr>
        <w:t>state or federal court located in the County of New York over any controversy or claim arising out of or relating to or concerning this Agreement or any aspect of your employment with the Company (together, an “</w:t>
      </w:r>
      <w:r>
        <w:rPr>
          <w:rFonts w:ascii="Arial" w:cs="Arial" w:eastAsia="Arial" w:hAnsi="Arial"/>
          <w:sz w:val="17"/>
          <w:szCs w:val="17"/>
          <w:i w:val="1"/>
          <w:iCs w:val="1"/>
          <w:color w:val="auto"/>
        </w:rPr>
        <w:t>Employment Matter</w:t>
      </w:r>
      <w:r>
        <w:rPr>
          <w:rFonts w:ascii="Arial" w:cs="Arial" w:eastAsia="Arial" w:hAnsi="Arial"/>
          <w:sz w:val="17"/>
          <w:szCs w:val="17"/>
          <w:color w:val="auto"/>
        </w:rPr>
        <w:t>”). Both you and the Company (1) acknowledge that the forum stated in this Section 10(i) has a reasonable relation to this Agreement and to the relationship between you and the Company and that the submission to the forum will apply even if the forum chooses to apply non-forum law, (2) waive, to the extent permitted by law, any objection to personal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108585</wp:posOffset>
            </wp:positionV>
            <wp:extent cx="7301865" cy="406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01">
                      <a:extLst>
                        <a:ext uri="{28A0092B-C50C-407E-A947-70E740481C1C}"/>
                      </a:extLst>
                    </a:blip>
                    <a:srcRect/>
                    <a:stretch>
                      <a:fillRect/>
                    </a:stretch>
                  </pic:blipFill>
                  <pic:spPr bwMode="auto">
                    <a:xfrm>
                      <a:off x="0" y="0"/>
                      <a:ext cx="7301865" cy="4064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119" w:name="page120"/>
    <w:bookmarkEnd w:id="119"/>
    <w:p>
      <w:pPr>
        <w:ind w:left="8380"/>
        <w:spacing w:after="0"/>
        <w:rPr>
          <w:sz w:val="20"/>
          <w:szCs w:val="20"/>
          <w:color w:val="auto"/>
        </w:rPr>
      </w:pPr>
      <w:r>
        <w:rPr>
          <w:rFonts w:ascii="Arial" w:cs="Arial" w:eastAsia="Arial" w:hAnsi="Arial"/>
          <w:sz w:val="17"/>
          <w:szCs w:val="17"/>
          <w:color w:val="auto"/>
        </w:rPr>
        <w:t>-9-</w:t>
      </w:r>
    </w:p>
    <w:p>
      <w:pPr>
        <w:spacing w:after="0" w:line="191" w:lineRule="exact"/>
        <w:rPr>
          <w:sz w:val="20"/>
          <w:szCs w:val="20"/>
          <w:color w:val="auto"/>
        </w:rPr>
      </w:pPr>
    </w:p>
    <w:p>
      <w:pPr>
        <w:spacing w:after="0" w:line="283" w:lineRule="auto"/>
        <w:rPr>
          <w:sz w:val="20"/>
          <w:szCs w:val="20"/>
          <w:color w:val="auto"/>
        </w:rPr>
      </w:pPr>
      <w:r>
        <w:rPr>
          <w:rFonts w:ascii="Arial" w:cs="Arial" w:eastAsia="Arial" w:hAnsi="Arial"/>
          <w:sz w:val="15"/>
          <w:szCs w:val="15"/>
          <w:color w:val="auto"/>
        </w:rPr>
        <w:t>jurisdiction or to the laying of venue of any action or proceeding covered by this Section 9(i) in the forum stated in this Section, (3) agree not to commence any such action or proceeding in any forum other than the forum stated in this Section 9(i) and (4)agree that, to the extent permitted by law, a final and non-appealable judgment in any such action or proceeding in any such court will be conclusive and binding on you and the Company. However, nothing in this Agreement precludes you or the Company from bringing any action or proceeding in any court for the purpose of enforcing the provisions of this Section 9(i). To the extent permitted by law, the Company will pay or reimburse any reasonable expenses, including reasonable attorney’s fees, you incur as a result of any Employment Matter.</w:t>
      </w:r>
    </w:p>
    <w:p>
      <w:pPr>
        <w:spacing w:after="0" w:line="143" w:lineRule="exact"/>
        <w:rPr>
          <w:sz w:val="20"/>
          <w:szCs w:val="20"/>
          <w:color w:val="auto"/>
        </w:rPr>
      </w:pPr>
    </w:p>
    <w:p>
      <w:pPr>
        <w:ind w:left="1180"/>
        <w:spacing w:after="0"/>
        <w:rPr>
          <w:sz w:val="20"/>
          <w:szCs w:val="20"/>
          <w:color w:val="auto"/>
        </w:rPr>
      </w:pPr>
      <w:r>
        <w:rPr>
          <w:rFonts w:ascii="Arial" w:cs="Arial" w:eastAsia="Arial" w:hAnsi="Arial"/>
          <w:sz w:val="17"/>
          <w:szCs w:val="17"/>
          <w:color w:val="auto"/>
        </w:rPr>
        <w:t>Governing Law.</w:t>
      </w:r>
    </w:p>
    <w:p>
      <w:pPr>
        <w:spacing w:after="0" w:line="187" w:lineRule="exact"/>
        <w:rPr>
          <w:sz w:val="20"/>
          <w:szCs w:val="20"/>
          <w:color w:val="auto"/>
        </w:rPr>
      </w:pPr>
    </w:p>
    <w:p>
      <w:pPr>
        <w:ind w:firstLine="1261"/>
        <w:spacing w:after="0" w:line="266" w:lineRule="auto"/>
        <w:rPr>
          <w:sz w:val="20"/>
          <w:szCs w:val="20"/>
          <w:color w:val="auto"/>
        </w:rPr>
      </w:pPr>
      <w:r>
        <w:rPr>
          <w:rFonts w:ascii="Arial" w:cs="Arial" w:eastAsia="Arial" w:hAnsi="Arial"/>
          <w:sz w:val="17"/>
          <w:szCs w:val="17"/>
          <w:b w:val="1"/>
          <w:bCs w:val="1"/>
          <w:color w:val="auto"/>
        </w:rPr>
        <w:t>This Agreement will be governed by and construed in accordance with the law of the State of New York applicable to contracts made and to be performed entirely within that state.</w:t>
      </w:r>
    </w:p>
    <w:p>
      <w:pPr>
        <w:spacing w:after="0" w:line="151" w:lineRule="exact"/>
        <w:rPr>
          <w:sz w:val="20"/>
          <w:szCs w:val="20"/>
          <w:color w:val="auto"/>
        </w:rPr>
      </w:pPr>
    </w:p>
    <w:p>
      <w:pPr>
        <w:ind w:left="1180"/>
        <w:spacing w:after="0"/>
        <w:rPr>
          <w:sz w:val="20"/>
          <w:szCs w:val="20"/>
          <w:color w:val="auto"/>
        </w:rPr>
      </w:pPr>
      <w:r>
        <w:rPr>
          <w:rFonts w:ascii="Arial" w:cs="Arial" w:eastAsia="Arial" w:hAnsi="Arial"/>
          <w:sz w:val="17"/>
          <w:szCs w:val="17"/>
          <w:color w:val="auto"/>
        </w:rPr>
        <w:t>Counterparts.</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5"/>
          <w:szCs w:val="15"/>
          <w:color w:val="auto"/>
        </w:rPr>
        <w:t>This Agreement may be executed in counterparts, each of which will constitute an original and all of which, when taken together, will constitute one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agreement.</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IN WITNESS WHEREOF, the parties hereto have executed and delivered this Agreement as of the date first above written.</w:t>
      </w:r>
    </w:p>
    <w:p>
      <w:pPr>
        <w:spacing w:after="0" w:line="187" w:lineRule="exact"/>
        <w:rPr>
          <w:sz w:val="20"/>
          <w:szCs w:val="20"/>
          <w:color w:val="auto"/>
        </w:rPr>
      </w:pPr>
    </w:p>
    <w:p>
      <w:pPr>
        <w:ind w:left="5960"/>
        <w:spacing w:after="0"/>
        <w:rPr>
          <w:sz w:val="20"/>
          <w:szCs w:val="20"/>
          <w:color w:val="auto"/>
        </w:rPr>
      </w:pPr>
      <w:r>
        <w:rPr>
          <w:rFonts w:ascii="Arial" w:cs="Arial" w:eastAsia="Arial" w:hAnsi="Arial"/>
          <w:sz w:val="17"/>
          <w:szCs w:val="17"/>
          <w:b w:val="1"/>
          <w:bCs w:val="1"/>
          <w:color w:val="auto"/>
        </w:rPr>
        <w:t>EASTMAN KODAK COMPANY</w:t>
      </w:r>
    </w:p>
    <w:p>
      <w:pPr>
        <w:spacing w:after="0" w:line="200" w:lineRule="exact"/>
        <w:rPr>
          <w:sz w:val="20"/>
          <w:szCs w:val="20"/>
          <w:color w:val="auto"/>
        </w:rPr>
      </w:pPr>
    </w:p>
    <w:p>
      <w:pPr>
        <w:spacing w:after="0" w:line="382" w:lineRule="exact"/>
        <w:rPr>
          <w:sz w:val="20"/>
          <w:szCs w:val="20"/>
          <w:color w:val="auto"/>
        </w:rPr>
      </w:pPr>
    </w:p>
    <w:tbl>
      <w:tblPr>
        <w:tblLayout w:type="fixed"/>
        <w:tblInd w:w="5960" w:type="dxa"/>
        <w:tblCellMar>
          <w:top w:w="0" w:type="dxa"/>
          <w:left w:w="0" w:type="dxa"/>
          <w:bottom w:w="0" w:type="dxa"/>
          <w:right w:w="0" w:type="dxa"/>
        </w:tblCellMar>
      </w:tblPr>
      <w:tr>
        <w:trPr>
          <w:trHeight w:val="213"/>
        </w:trPr>
        <w:tc>
          <w:tcPr>
            <w:tcW w:w="500" w:type="dxa"/>
            <w:vAlign w:val="bottom"/>
          </w:tcPr>
          <w:p>
            <w:pPr>
              <w:spacing w:after="0"/>
              <w:rPr>
                <w:sz w:val="20"/>
                <w:szCs w:val="20"/>
                <w:color w:val="auto"/>
              </w:rPr>
            </w:pPr>
            <w:r>
              <w:rPr>
                <w:rFonts w:ascii="Arial" w:cs="Arial" w:eastAsia="Arial" w:hAnsi="Arial"/>
                <w:sz w:val="17"/>
                <w:szCs w:val="17"/>
                <w:color w:val="auto"/>
              </w:rPr>
              <w:t>By:</w:t>
            </w:r>
          </w:p>
        </w:tc>
        <w:tc>
          <w:tcPr>
            <w:tcW w:w="32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/s/ Jeffery J. Clarke</w:t>
            </w:r>
          </w:p>
        </w:tc>
      </w:tr>
      <w:tr>
        <w:trPr>
          <w:trHeight w:val="166"/>
        </w:trPr>
        <w:tc>
          <w:tcPr>
            <w:tcW w:w="500" w:type="dxa"/>
            <w:vAlign w:val="bottom"/>
          </w:tcPr>
          <w:p>
            <w:pPr>
              <w:spacing w:after="0"/>
              <w:rPr>
                <w:sz w:val="14"/>
                <w:szCs w:val="14"/>
                <w:color w:val="auto"/>
              </w:rPr>
            </w:pPr>
          </w:p>
        </w:tc>
        <w:tc>
          <w:tcPr>
            <w:tcW w:w="540" w:type="dxa"/>
            <w:vAlign w:val="bottom"/>
          </w:tcPr>
          <w:p>
            <w:pPr>
              <w:spacing w:after="0" w:line="166" w:lineRule="exact"/>
              <w:rPr>
                <w:sz w:val="20"/>
                <w:szCs w:val="20"/>
                <w:color w:val="auto"/>
              </w:rPr>
            </w:pPr>
            <w:r>
              <w:rPr>
                <w:rFonts w:ascii="Arial" w:cs="Arial" w:eastAsia="Arial" w:hAnsi="Arial"/>
                <w:sz w:val="17"/>
                <w:szCs w:val="17"/>
                <w:color w:val="auto"/>
              </w:rPr>
              <w:t>Name</w:t>
            </w:r>
          </w:p>
        </w:tc>
        <w:tc>
          <w:tcPr>
            <w:tcW w:w="2660" w:type="dxa"/>
            <w:vAlign w:val="bottom"/>
          </w:tcPr>
          <w:p>
            <w:pPr>
              <w:ind w:left="120"/>
              <w:spacing w:after="0" w:line="166" w:lineRule="exact"/>
              <w:rPr>
                <w:sz w:val="20"/>
                <w:szCs w:val="20"/>
                <w:color w:val="auto"/>
              </w:rPr>
            </w:pPr>
            <w:r>
              <w:rPr>
                <w:rFonts w:ascii="Arial" w:cs="Arial" w:eastAsia="Arial" w:hAnsi="Arial"/>
                <w:sz w:val="17"/>
                <w:szCs w:val="17"/>
                <w:color w:val="auto"/>
              </w:rPr>
              <w:t>Jeffrey J. Clarke</w:t>
            </w:r>
          </w:p>
        </w:tc>
      </w:tr>
      <w:tr>
        <w:trPr>
          <w:trHeight w:val="215"/>
        </w:trPr>
        <w:tc>
          <w:tcPr>
            <w:tcW w:w="50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7"/>
                <w:szCs w:val="17"/>
                <w:color w:val="auto"/>
              </w:rPr>
              <w:t>Title</w:t>
            </w:r>
          </w:p>
        </w:tc>
        <w:tc>
          <w:tcPr>
            <w:tcW w:w="2660" w:type="dxa"/>
            <w:vAlign w:val="bottom"/>
          </w:tcPr>
          <w:p>
            <w:pPr>
              <w:ind w:left="120"/>
              <w:spacing w:after="0"/>
              <w:rPr>
                <w:sz w:val="20"/>
                <w:szCs w:val="20"/>
                <w:color w:val="auto"/>
              </w:rPr>
            </w:pPr>
            <w:r>
              <w:rPr>
                <w:rFonts w:ascii="Arial" w:cs="Arial" w:eastAsia="Arial" w:hAnsi="Arial"/>
                <w:sz w:val="17"/>
                <w:szCs w:val="17"/>
                <w:color w:val="auto"/>
              </w:rPr>
              <w:t>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5960"/>
        <w:spacing w:after="0"/>
        <w:rPr>
          <w:sz w:val="20"/>
          <w:szCs w:val="20"/>
          <w:color w:val="auto"/>
        </w:rPr>
      </w:pPr>
      <w:r>
        <w:rPr>
          <w:rFonts w:ascii="Arial" w:cs="Arial" w:eastAsia="Arial" w:hAnsi="Arial"/>
          <w:sz w:val="17"/>
          <w:szCs w:val="17"/>
          <w:b w:val="1"/>
          <w:bCs w:val="1"/>
          <w:color w:val="auto"/>
        </w:rPr>
        <w:t>EXECUTIVE</w:t>
      </w:r>
    </w:p>
    <w:p>
      <w:pPr>
        <w:spacing w:after="0" w:line="389"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/s/ Sharon Underberg</w:t>
      </w:r>
    </w:p>
    <w:p>
      <w:pPr>
        <w:spacing w:after="0" w:line="203"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Sharon Underberg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3782060</wp:posOffset>
            </wp:positionH>
            <wp:positionV relativeFrom="paragraph">
              <wp:posOffset>-118745</wp:posOffset>
            </wp:positionV>
            <wp:extent cx="2348865" cy="762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02">
                      <a:extLst>
                        <a:ext uri="{28A0092B-C50C-407E-A947-70E740481C1C}"/>
                      </a:extLst>
                    </a:blip>
                    <a:srcRect/>
                    <a:stretch>
                      <a:fillRect/>
                    </a:stretch>
                  </pic:blipFill>
                  <pic:spPr bwMode="auto">
                    <a:xfrm>
                      <a:off x="0" y="0"/>
                      <a:ext cx="2348865" cy="762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305435</wp:posOffset>
            </wp:positionV>
            <wp:extent cx="7301865" cy="406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03">
                      <a:extLst>
                        <a:ext uri="{28A0092B-C50C-407E-A947-70E740481C1C}"/>
                      </a:extLst>
                    </a:blip>
                    <a:srcRect/>
                    <a:stretch>
                      <a:fillRect/>
                    </a:stretch>
                  </pic:blipFill>
                  <pic:spPr bwMode="auto">
                    <a:xfrm>
                      <a:off x="0" y="0"/>
                      <a:ext cx="7301865" cy="40640"/>
                    </a:xfrm>
                    <a:prstGeom prst="rect">
                      <a:avLst/>
                    </a:prstGeom>
                    <a:noFill/>
                  </pic:spPr>
                </pic:pic>
              </a:graphicData>
            </a:graphic>
          </wp:anchor>
        </w:drawing>
      </w:r>
    </w:p>
    <w:p>
      <w:pPr>
        <w:sectPr>
          <w:pgSz w:w="11900" w:h="16838" w:orient="portrait"/>
          <w:cols w:equalWidth="0" w:num="1">
            <w:col w:w="11320"/>
          </w:cols>
          <w:pgMar w:left="240" w:top="120" w:right="339" w:bottom="1440" w:gutter="0" w:footer="0" w:header="0"/>
        </w:sectPr>
      </w:pPr>
    </w:p>
    <w:bookmarkStart w:id="120" w:name="page121"/>
    <w:bookmarkEnd w:id="120"/>
    <w:p>
      <w:pPr>
        <w:ind w:left="8480"/>
        <w:spacing w:after="0"/>
        <w:rPr>
          <w:sz w:val="20"/>
          <w:szCs w:val="20"/>
          <w:color w:val="auto"/>
        </w:rPr>
      </w:pPr>
      <w:r>
        <w:rPr>
          <w:rFonts w:ascii="Arial" w:cs="Arial" w:eastAsia="Arial" w:hAnsi="Arial"/>
          <w:sz w:val="17"/>
          <w:szCs w:val="17"/>
          <w:color w:val="auto"/>
        </w:rPr>
        <w:t>-10-</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7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3400" w:type="dxa"/>
            <w:vAlign w:val="bottom"/>
            <w:gridSpan w:val="8"/>
          </w:tcPr>
          <w:p>
            <w:pPr>
              <w:jc w:val="center"/>
              <w:ind w:right="1280"/>
              <w:spacing w:after="0"/>
              <w:rPr>
                <w:sz w:val="20"/>
                <w:szCs w:val="20"/>
                <w:color w:val="auto"/>
              </w:rPr>
            </w:pPr>
            <w:r>
              <w:rPr>
                <w:rFonts w:ascii="Arial" w:cs="Arial" w:eastAsia="Arial" w:hAnsi="Arial"/>
                <w:sz w:val="17"/>
                <w:szCs w:val="17"/>
                <w:b w:val="1"/>
                <w:bCs w:val="1"/>
                <w:color w:val="auto"/>
                <w:w w:val="99"/>
              </w:rPr>
              <w:t>S</w:t>
            </w:r>
            <w:r>
              <w:rPr>
                <w:rFonts w:ascii="Arial" w:cs="Arial" w:eastAsia="Arial" w:hAnsi="Arial"/>
                <w:sz w:val="12"/>
                <w:szCs w:val="12"/>
                <w:b w:val="1"/>
                <w:bCs w:val="1"/>
                <w:color w:val="auto"/>
                <w:w w:val="99"/>
              </w:rPr>
              <w:t>HARON</w:t>
            </w:r>
            <w:r>
              <w:rPr>
                <w:rFonts w:ascii="Arial" w:cs="Arial" w:eastAsia="Arial" w:hAnsi="Arial"/>
                <w:sz w:val="17"/>
                <w:szCs w:val="17"/>
                <w:b w:val="1"/>
                <w:bCs w:val="1"/>
                <w:color w:val="auto"/>
                <w:w w:val="99"/>
              </w:rPr>
              <w:t xml:space="preserve"> U</w:t>
            </w:r>
            <w:r>
              <w:rPr>
                <w:rFonts w:ascii="Arial" w:cs="Arial" w:eastAsia="Arial" w:hAnsi="Arial"/>
                <w:sz w:val="12"/>
                <w:szCs w:val="12"/>
                <w:b w:val="1"/>
                <w:bCs w:val="1"/>
                <w:color w:val="auto"/>
                <w:w w:val="99"/>
              </w:rPr>
              <w:t>NDERBERG</w:t>
            </w:r>
          </w:p>
        </w:tc>
        <w:tc>
          <w:tcPr>
            <w:tcW w:w="0" w:type="dxa"/>
            <w:vAlign w:val="bottom"/>
          </w:tcPr>
          <w:p>
            <w:pPr>
              <w:spacing w:after="0"/>
              <w:rPr>
                <w:sz w:val="1"/>
                <w:szCs w:val="1"/>
                <w:color w:val="auto"/>
              </w:rPr>
            </w:pPr>
          </w:p>
        </w:tc>
      </w:tr>
      <w:tr>
        <w:trPr>
          <w:trHeight w:val="219"/>
        </w:trPr>
        <w:tc>
          <w:tcPr>
            <w:tcW w:w="2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800" w:type="dxa"/>
            <w:vAlign w:val="bottom"/>
            <w:gridSpan w:val="9"/>
          </w:tcPr>
          <w:p>
            <w:pPr>
              <w:jc w:val="center"/>
              <w:ind w:left="35"/>
              <w:spacing w:after="0"/>
              <w:rPr>
                <w:sz w:val="20"/>
                <w:szCs w:val="20"/>
                <w:color w:val="auto"/>
              </w:rPr>
            </w:pPr>
            <w:r>
              <w:rPr>
                <w:rFonts w:ascii="Arial" w:cs="Arial" w:eastAsia="Arial" w:hAnsi="Arial"/>
                <w:sz w:val="17"/>
                <w:szCs w:val="17"/>
                <w:b w:val="1"/>
                <w:bCs w:val="1"/>
                <w:color w:val="auto"/>
              </w:rPr>
              <w:t>E</w:t>
            </w:r>
            <w:r>
              <w:rPr>
                <w:rFonts w:ascii="Arial" w:cs="Arial" w:eastAsia="Arial" w:hAnsi="Arial"/>
                <w:sz w:val="12"/>
                <w:szCs w:val="12"/>
                <w:b w:val="1"/>
                <w:bCs w:val="1"/>
                <w:color w:val="auto"/>
              </w:rPr>
              <w:t>MPLOYMENT</w:t>
            </w:r>
            <w:r>
              <w:rPr>
                <w:rFonts w:ascii="Arial" w:cs="Arial" w:eastAsia="Arial" w:hAnsi="Arial"/>
                <w:sz w:val="17"/>
                <w:szCs w:val="17"/>
                <w:b w:val="1"/>
                <w:bCs w:val="1"/>
                <w:color w:val="auto"/>
              </w:rPr>
              <w:t xml:space="preserve"> A</w:t>
            </w:r>
            <w:r>
              <w:rPr>
                <w:rFonts w:ascii="Arial" w:cs="Arial" w:eastAsia="Arial" w:hAnsi="Arial"/>
                <w:sz w:val="12"/>
                <w:szCs w:val="12"/>
                <w:b w:val="1"/>
                <w:bCs w:val="1"/>
                <w:color w:val="auto"/>
              </w:rPr>
              <w:t>GREEMENT</w:t>
            </w:r>
            <w:r>
              <w:rPr>
                <w:rFonts w:ascii="Arial" w:cs="Arial" w:eastAsia="Arial" w:hAnsi="Arial"/>
                <w:sz w:val="17"/>
                <w:szCs w:val="17"/>
                <w:b w:val="1"/>
                <w:bCs w:val="1"/>
                <w:color w:val="auto"/>
              </w:rPr>
              <w:t xml:space="preserve"> T</w:t>
            </w:r>
            <w:r>
              <w:rPr>
                <w:rFonts w:ascii="Arial" w:cs="Arial" w:eastAsia="Arial" w:hAnsi="Arial"/>
                <w:sz w:val="12"/>
                <w:szCs w:val="12"/>
                <w:b w:val="1"/>
                <w:bCs w:val="1"/>
                <w:color w:val="auto"/>
              </w:rPr>
              <w:t>ERMS</w:t>
            </w:r>
            <w:r>
              <w:rPr>
                <w:rFonts w:ascii="Arial" w:cs="Arial" w:eastAsia="Arial" w:hAnsi="Arial"/>
                <w:sz w:val="17"/>
                <w:szCs w:val="17"/>
                <w:b w:val="1"/>
                <w:bCs w:val="1"/>
                <w:color w:val="auto"/>
              </w:rPr>
              <w:t xml:space="preserve"> S</w:t>
            </w:r>
            <w:r>
              <w:rPr>
                <w:rFonts w:ascii="Arial" w:cs="Arial" w:eastAsia="Arial" w:hAnsi="Arial"/>
                <w:sz w:val="12"/>
                <w:szCs w:val="12"/>
                <w:b w:val="1"/>
                <w:bCs w:val="1"/>
                <w:color w:val="auto"/>
              </w:rPr>
              <w:t>CHEDULE</w:t>
            </w:r>
          </w:p>
        </w:tc>
        <w:tc>
          <w:tcPr>
            <w:tcW w:w="0" w:type="dxa"/>
            <w:vAlign w:val="bottom"/>
          </w:tcPr>
          <w:p>
            <w:pPr>
              <w:spacing w:after="0"/>
              <w:rPr>
                <w:sz w:val="1"/>
                <w:szCs w:val="1"/>
                <w:color w:val="auto"/>
              </w:rPr>
            </w:pPr>
          </w:p>
        </w:tc>
      </w:tr>
      <w:tr>
        <w:trPr>
          <w:trHeight w:val="192"/>
        </w:trPr>
        <w:tc>
          <w:tcPr>
            <w:tcW w:w="27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2740" w:type="dxa"/>
            <w:vAlign w:val="bottom"/>
            <w:tcBorders>
              <w:right w:val="single" w:sz="8" w:color="auto"/>
            </w:tcBorders>
          </w:tcPr>
          <w:p>
            <w:pPr>
              <w:spacing w:after="0" w:line="166" w:lineRule="exact"/>
              <w:rPr>
                <w:sz w:val="20"/>
                <w:szCs w:val="20"/>
                <w:color w:val="auto"/>
              </w:rPr>
            </w:pPr>
            <w:r>
              <w:rPr>
                <w:rFonts w:ascii="Arial" w:cs="Arial" w:eastAsia="Arial" w:hAnsi="Arial"/>
                <w:sz w:val="17"/>
                <w:szCs w:val="17"/>
                <w:i w:val="1"/>
                <w:iCs w:val="1"/>
                <w:color w:val="auto"/>
              </w:rPr>
              <w:t>sition</w:t>
            </w:r>
          </w:p>
        </w:tc>
        <w:tc>
          <w:tcPr>
            <w:tcW w:w="5420" w:type="dxa"/>
            <w:vAlign w:val="bottom"/>
            <w:tcBorders>
              <w:right w:val="single" w:sz="8" w:color="auto"/>
            </w:tcBorders>
            <w:gridSpan w:val="10"/>
          </w:tcPr>
          <w:p>
            <w:pPr>
              <w:spacing w:after="0" w:line="166" w:lineRule="exact"/>
              <w:rPr>
                <w:sz w:val="20"/>
                <w:szCs w:val="20"/>
                <w:color w:val="auto"/>
              </w:rPr>
            </w:pPr>
            <w:r>
              <w:rPr>
                <w:rFonts w:ascii="Arial" w:cs="Arial" w:eastAsia="Arial" w:hAnsi="Arial"/>
                <w:sz w:val="17"/>
                <w:szCs w:val="17"/>
                <w:color w:val="auto"/>
                <w:w w:val="98"/>
              </w:rPr>
              <w:t>General Counsel, Secretary, and Senior Vice President, Eastman Kodak</w:t>
            </w:r>
          </w:p>
        </w:tc>
        <w:tc>
          <w:tcPr>
            <w:tcW w:w="0" w:type="dxa"/>
            <w:vAlign w:val="bottom"/>
          </w:tcPr>
          <w:p>
            <w:pPr>
              <w:spacing w:after="0"/>
              <w:rPr>
                <w:sz w:val="1"/>
                <w:szCs w:val="1"/>
                <w:color w:val="auto"/>
              </w:rPr>
            </w:pPr>
          </w:p>
        </w:tc>
      </w:tr>
      <w:tr>
        <w:trPr>
          <w:trHeight w:val="213"/>
        </w:trPr>
        <w:tc>
          <w:tcPr>
            <w:tcW w:w="2740" w:type="dxa"/>
            <w:vAlign w:val="bottom"/>
            <w:tcBorders>
              <w:bottom w:val="single" w:sz="8" w:color="auto"/>
              <w:right w:val="single" w:sz="8" w:color="auto"/>
            </w:tcBorders>
          </w:tcPr>
          <w:p>
            <w:pPr>
              <w:spacing w:after="0"/>
              <w:rPr>
                <w:sz w:val="18"/>
                <w:szCs w:val="18"/>
                <w:color w:val="auto"/>
              </w:rPr>
            </w:pPr>
          </w:p>
        </w:tc>
        <w:tc>
          <w:tcPr>
            <w:tcW w:w="5420" w:type="dxa"/>
            <w:vAlign w:val="bottom"/>
            <w:tcBorders>
              <w:bottom w:val="single" w:sz="8" w:color="auto"/>
              <w:right w:val="single" w:sz="8" w:color="auto"/>
            </w:tcBorders>
            <w:gridSpan w:val="10"/>
          </w:tcPr>
          <w:p>
            <w:pPr>
              <w:spacing w:after="0"/>
              <w:rPr>
                <w:sz w:val="20"/>
                <w:szCs w:val="20"/>
                <w:color w:val="auto"/>
              </w:rPr>
            </w:pPr>
            <w:r>
              <w:rPr>
                <w:rFonts w:ascii="Arial" w:cs="Arial" w:eastAsia="Arial" w:hAnsi="Arial"/>
                <w:sz w:val="17"/>
                <w:szCs w:val="17"/>
                <w:color w:val="auto"/>
              </w:rPr>
              <w:t>Company</w:t>
            </w:r>
          </w:p>
        </w:tc>
        <w:tc>
          <w:tcPr>
            <w:tcW w:w="0" w:type="dxa"/>
            <w:vAlign w:val="bottom"/>
          </w:tcPr>
          <w:p>
            <w:pPr>
              <w:spacing w:after="0"/>
              <w:rPr>
                <w:sz w:val="1"/>
                <w:szCs w:val="1"/>
                <w:color w:val="auto"/>
              </w:rPr>
            </w:pPr>
          </w:p>
        </w:tc>
      </w:tr>
      <w:tr>
        <w:trPr>
          <w:trHeight w:val="149"/>
        </w:trPr>
        <w:tc>
          <w:tcPr>
            <w:tcW w:w="2740" w:type="dxa"/>
            <w:vAlign w:val="bottom"/>
            <w:tcBorders>
              <w:right w:val="single" w:sz="8" w:color="auto"/>
            </w:tcBorders>
          </w:tcPr>
          <w:p>
            <w:pPr>
              <w:spacing w:after="0" w:line="150" w:lineRule="exact"/>
              <w:rPr>
                <w:sz w:val="20"/>
                <w:szCs w:val="20"/>
                <w:color w:val="auto"/>
              </w:rPr>
            </w:pPr>
            <w:r>
              <w:rPr>
                <w:rFonts w:ascii="Arial" w:cs="Arial" w:eastAsia="Arial" w:hAnsi="Arial"/>
                <w:sz w:val="17"/>
                <w:szCs w:val="17"/>
                <w:i w:val="1"/>
                <w:iCs w:val="1"/>
                <w:color w:val="auto"/>
              </w:rPr>
              <w:t>se Salary</w:t>
            </w:r>
          </w:p>
        </w:tc>
        <w:tc>
          <w:tcPr>
            <w:tcW w:w="2020" w:type="dxa"/>
            <w:vAlign w:val="bottom"/>
            <w:gridSpan w:val="2"/>
          </w:tcPr>
          <w:p>
            <w:pPr>
              <w:spacing w:after="0" w:line="150" w:lineRule="exact"/>
              <w:rPr>
                <w:sz w:val="20"/>
                <w:szCs w:val="20"/>
                <w:color w:val="auto"/>
              </w:rPr>
            </w:pPr>
            <w:r>
              <w:rPr>
                <w:rFonts w:ascii="Arial" w:cs="Arial" w:eastAsia="Arial" w:hAnsi="Arial"/>
                <w:sz w:val="17"/>
                <w:szCs w:val="17"/>
                <w:b w:val="1"/>
                <w:bCs w:val="1"/>
                <w:u w:val="single" w:color="auto"/>
                <w:color w:val="auto"/>
              </w:rPr>
              <w:t>$</w:t>
            </w:r>
            <w:r>
              <w:rPr>
                <w:rFonts w:ascii="Arial" w:cs="Arial" w:eastAsia="Arial" w:hAnsi="Arial"/>
                <w:sz w:val="17"/>
                <w:szCs w:val="17"/>
                <w:b w:val="1"/>
                <w:bCs w:val="1"/>
                <w:color w:val="auto"/>
              </w:rPr>
              <w:t>330,000</w:t>
            </w: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74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2740" w:type="dxa"/>
            <w:vAlign w:val="bottom"/>
            <w:tcBorders>
              <w:right w:val="single" w:sz="8" w:color="auto"/>
            </w:tcBorders>
          </w:tcPr>
          <w:p>
            <w:pPr>
              <w:spacing w:after="0" w:line="145" w:lineRule="exact"/>
              <w:rPr>
                <w:sz w:val="20"/>
                <w:szCs w:val="20"/>
                <w:color w:val="auto"/>
              </w:rPr>
            </w:pPr>
            <w:r>
              <w:rPr>
                <w:rFonts w:ascii="Arial" w:cs="Arial" w:eastAsia="Arial" w:hAnsi="Arial"/>
                <w:sz w:val="16"/>
                <w:szCs w:val="16"/>
                <w:i w:val="1"/>
                <w:iCs w:val="1"/>
                <w:color w:val="auto"/>
                <w:w w:val="95"/>
              </w:rPr>
              <w:t>nual Cash Performance Incentive under</w:t>
            </w:r>
          </w:p>
        </w:tc>
        <w:tc>
          <w:tcPr>
            <w:tcW w:w="5420" w:type="dxa"/>
            <w:vAlign w:val="bottom"/>
            <w:tcBorders>
              <w:right w:val="single" w:sz="8" w:color="auto"/>
            </w:tcBorders>
            <w:gridSpan w:val="10"/>
          </w:tcPr>
          <w:p>
            <w:pPr>
              <w:spacing w:after="0" w:line="145" w:lineRule="exact"/>
              <w:rPr>
                <w:sz w:val="20"/>
                <w:szCs w:val="20"/>
                <w:color w:val="auto"/>
              </w:rPr>
            </w:pPr>
            <w:r>
              <w:rPr>
                <w:rFonts w:ascii="Arial" w:cs="Arial" w:eastAsia="Arial" w:hAnsi="Arial"/>
                <w:sz w:val="16"/>
                <w:szCs w:val="16"/>
                <w:color w:val="auto"/>
              </w:rPr>
              <w:t xml:space="preserve">The target level for your Annual Incentive will be </w:t>
            </w:r>
            <w:r>
              <w:rPr>
                <w:rFonts w:ascii="Arial" w:cs="Arial" w:eastAsia="Arial" w:hAnsi="Arial"/>
                <w:sz w:val="16"/>
                <w:szCs w:val="16"/>
                <w:b w:val="1"/>
                <w:bCs w:val="1"/>
                <w:color w:val="auto"/>
              </w:rPr>
              <w:t>50%</w:t>
            </w:r>
            <w:r>
              <w:rPr>
                <w:rFonts w:ascii="Arial" w:cs="Arial" w:eastAsia="Arial" w:hAnsi="Arial"/>
                <w:sz w:val="16"/>
                <w:szCs w:val="16"/>
                <w:color w:val="auto"/>
              </w:rPr>
              <w:t xml:space="preserve"> of your Base Salary.</w:t>
            </w:r>
          </w:p>
        </w:tc>
        <w:tc>
          <w:tcPr>
            <w:tcW w:w="0" w:type="dxa"/>
            <w:vAlign w:val="bottom"/>
          </w:tcPr>
          <w:p>
            <w:pPr>
              <w:spacing w:after="0"/>
              <w:rPr>
                <w:sz w:val="1"/>
                <w:szCs w:val="1"/>
                <w:color w:val="auto"/>
              </w:rPr>
            </w:pPr>
          </w:p>
        </w:tc>
      </w:tr>
      <w:tr>
        <w:trPr>
          <w:trHeight w:val="190"/>
        </w:trPr>
        <w:tc>
          <w:tcPr>
            <w:tcW w:w="2740" w:type="dxa"/>
            <w:vAlign w:val="bottom"/>
            <w:tcBorders>
              <w:right w:val="single" w:sz="8" w:color="auto"/>
            </w:tcBorders>
          </w:tcPr>
          <w:p>
            <w:pPr>
              <w:spacing w:after="0" w:line="190" w:lineRule="exact"/>
              <w:rPr>
                <w:sz w:val="20"/>
                <w:szCs w:val="20"/>
                <w:color w:val="auto"/>
              </w:rPr>
            </w:pPr>
            <w:r>
              <w:rPr>
                <w:rFonts w:ascii="Arial" w:cs="Arial" w:eastAsia="Arial" w:hAnsi="Arial"/>
                <w:sz w:val="17"/>
                <w:szCs w:val="17"/>
                <w:i w:val="1"/>
                <w:iCs w:val="1"/>
                <w:color w:val="auto"/>
                <w:w w:val="96"/>
              </w:rPr>
              <w:t>mpany’s Executive Compensation for</w:t>
            </w:r>
          </w:p>
        </w:tc>
        <w:tc>
          <w:tcPr>
            <w:tcW w:w="6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6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740" w:type="dxa"/>
            <w:vAlign w:val="bottom"/>
            <w:tcBorders>
              <w:right w:val="single" w:sz="8" w:color="auto"/>
            </w:tcBorders>
          </w:tcPr>
          <w:p>
            <w:pPr>
              <w:spacing w:after="0" w:line="194" w:lineRule="exact"/>
              <w:rPr>
                <w:sz w:val="20"/>
                <w:szCs w:val="20"/>
                <w:color w:val="auto"/>
              </w:rPr>
            </w:pPr>
            <w:r>
              <w:rPr>
                <w:rFonts w:ascii="Arial" w:cs="Arial" w:eastAsia="Arial" w:hAnsi="Arial"/>
                <w:sz w:val="17"/>
                <w:szCs w:val="17"/>
                <w:i w:val="1"/>
                <w:iCs w:val="1"/>
                <w:color w:val="auto"/>
              </w:rPr>
              <w:t>cellence and Leadership (EXCEL)</w:t>
            </w:r>
          </w:p>
        </w:tc>
        <w:tc>
          <w:tcPr>
            <w:tcW w:w="5420" w:type="dxa"/>
            <w:vAlign w:val="bottom"/>
            <w:tcBorders>
              <w:right w:val="single" w:sz="8" w:color="auto"/>
            </w:tcBorders>
            <w:gridSpan w:val="10"/>
          </w:tcPr>
          <w:p>
            <w:pPr>
              <w:spacing w:after="0" w:line="194" w:lineRule="exact"/>
              <w:rPr>
                <w:sz w:val="20"/>
                <w:szCs w:val="20"/>
                <w:color w:val="auto"/>
              </w:rPr>
            </w:pPr>
            <w:r>
              <w:rPr>
                <w:rFonts w:ascii="Arial" w:cs="Arial" w:eastAsia="Arial" w:hAnsi="Arial"/>
                <w:sz w:val="17"/>
                <w:szCs w:val="17"/>
                <w:color w:val="auto"/>
              </w:rPr>
              <w:t>The maximum payout under the EXCEL Plan is 200%.</w:t>
            </w:r>
          </w:p>
        </w:tc>
        <w:tc>
          <w:tcPr>
            <w:tcW w:w="0" w:type="dxa"/>
            <w:vAlign w:val="bottom"/>
          </w:tcPr>
          <w:p>
            <w:pPr>
              <w:spacing w:after="0"/>
              <w:rPr>
                <w:sz w:val="1"/>
                <w:szCs w:val="1"/>
                <w:color w:val="auto"/>
              </w:rPr>
            </w:pPr>
          </w:p>
        </w:tc>
      </w:tr>
      <w:tr>
        <w:trPr>
          <w:trHeight w:val="215"/>
        </w:trPr>
        <w:tc>
          <w:tcPr>
            <w:tcW w:w="2740" w:type="dxa"/>
            <w:vAlign w:val="bottom"/>
            <w:tcBorders>
              <w:right w:val="single" w:sz="8" w:color="auto"/>
            </w:tcBorders>
          </w:tcPr>
          <w:p>
            <w:pPr>
              <w:spacing w:after="0"/>
              <w:rPr>
                <w:sz w:val="20"/>
                <w:szCs w:val="20"/>
                <w:color w:val="auto"/>
              </w:rPr>
            </w:pPr>
            <w:r>
              <w:rPr>
                <w:rFonts w:ascii="Arial" w:cs="Arial" w:eastAsia="Arial" w:hAnsi="Arial"/>
                <w:sz w:val="17"/>
                <w:szCs w:val="17"/>
                <w:i w:val="1"/>
                <w:iCs w:val="1"/>
                <w:color w:val="auto"/>
              </w:rPr>
              <w:t>an</w:t>
            </w:r>
            <w:r>
              <w:rPr>
                <w:rFonts w:ascii="Arial" w:cs="Arial" w:eastAsia="Arial" w:hAnsi="Arial"/>
                <w:sz w:val="14"/>
                <w:szCs w:val="14"/>
                <w:i w:val="1"/>
                <w:iCs w:val="1"/>
                <w:color w:val="auto"/>
              </w:rPr>
              <w:t>1</w:t>
            </w:r>
          </w:p>
        </w:tc>
        <w:tc>
          <w:tcPr>
            <w:tcW w:w="5420" w:type="dxa"/>
            <w:vAlign w:val="bottom"/>
            <w:tcBorders>
              <w:right w:val="single" w:sz="8" w:color="auto"/>
            </w:tcBorders>
            <w:gridSpan w:val="10"/>
            <w:vMerge w:val="restart"/>
          </w:tcPr>
          <w:p>
            <w:pPr>
              <w:spacing w:after="0"/>
              <w:rPr>
                <w:sz w:val="20"/>
                <w:szCs w:val="20"/>
                <w:color w:val="auto"/>
              </w:rPr>
            </w:pPr>
            <w:r>
              <w:rPr>
                <w:rFonts w:ascii="Arial" w:cs="Arial" w:eastAsia="Arial" w:hAnsi="Arial"/>
                <w:sz w:val="17"/>
                <w:szCs w:val="17"/>
                <w:color w:val="auto"/>
              </w:rPr>
              <w:t xml:space="preserve">Total Target Cash Compensation is </w:t>
            </w:r>
            <w:r>
              <w:rPr>
                <w:rFonts w:ascii="Arial" w:cs="Arial" w:eastAsia="Arial" w:hAnsi="Arial"/>
                <w:sz w:val="17"/>
                <w:szCs w:val="17"/>
                <w:b w:val="1"/>
                <w:bCs w:val="1"/>
                <w:u w:val="single" w:color="auto"/>
                <w:color w:val="auto"/>
              </w:rPr>
              <w:t>$</w:t>
            </w:r>
            <w:r>
              <w:rPr>
                <w:rFonts w:ascii="Arial" w:cs="Arial" w:eastAsia="Arial" w:hAnsi="Arial"/>
                <w:sz w:val="17"/>
                <w:szCs w:val="17"/>
                <w:b w:val="1"/>
                <w:bCs w:val="1"/>
                <w:color w:val="auto"/>
              </w:rPr>
              <w:t>495,000</w:t>
            </w: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55"/>
        </w:trPr>
        <w:tc>
          <w:tcPr>
            <w:tcW w:w="2740" w:type="dxa"/>
            <w:vAlign w:val="bottom"/>
            <w:tcBorders>
              <w:right w:val="single" w:sz="8" w:color="auto"/>
            </w:tcBorders>
          </w:tcPr>
          <w:p>
            <w:pPr>
              <w:spacing w:after="0"/>
              <w:rPr>
                <w:sz w:val="13"/>
                <w:szCs w:val="13"/>
                <w:color w:val="auto"/>
              </w:rPr>
            </w:pPr>
          </w:p>
        </w:tc>
        <w:tc>
          <w:tcPr>
            <w:tcW w:w="5420" w:type="dxa"/>
            <w:vAlign w:val="bottom"/>
            <w:tcBorders>
              <w:right w:val="single" w:sz="8" w:color="auto"/>
            </w:tcBorders>
            <w:gridSpan w:val="10"/>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94"/>
        </w:trPr>
        <w:tc>
          <w:tcPr>
            <w:tcW w:w="2740" w:type="dxa"/>
            <w:vAlign w:val="bottom"/>
            <w:tcBorders>
              <w:bottom w:val="single" w:sz="8" w:color="auto"/>
              <w:right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740" w:type="dxa"/>
            <w:vAlign w:val="bottom"/>
            <w:tcBorders>
              <w:right w:val="single" w:sz="8" w:color="auto"/>
            </w:tcBorders>
          </w:tcPr>
          <w:p>
            <w:pPr>
              <w:spacing w:after="0" w:line="150" w:lineRule="exact"/>
              <w:rPr>
                <w:sz w:val="20"/>
                <w:szCs w:val="20"/>
                <w:color w:val="auto"/>
              </w:rPr>
            </w:pPr>
            <w:r>
              <w:rPr>
                <w:rFonts w:ascii="Arial" w:cs="Arial" w:eastAsia="Arial" w:hAnsi="Arial"/>
                <w:sz w:val="17"/>
                <w:szCs w:val="17"/>
                <w:i w:val="1"/>
                <w:iCs w:val="1"/>
                <w:color w:val="auto"/>
              </w:rPr>
              <w:t>ng-Term Incentive Compensation</w:t>
            </w:r>
          </w:p>
        </w:tc>
        <w:tc>
          <w:tcPr>
            <w:tcW w:w="5420" w:type="dxa"/>
            <w:vAlign w:val="bottom"/>
            <w:tcBorders>
              <w:right w:val="single" w:sz="8" w:color="auto"/>
            </w:tcBorders>
            <w:gridSpan w:val="10"/>
          </w:tcPr>
          <w:p>
            <w:pPr>
              <w:spacing w:after="0" w:line="150" w:lineRule="exact"/>
              <w:rPr>
                <w:sz w:val="20"/>
                <w:szCs w:val="20"/>
                <w:color w:val="auto"/>
              </w:rPr>
            </w:pPr>
            <w:r>
              <w:rPr>
                <w:rFonts w:ascii="Arial" w:cs="Arial" w:eastAsia="Arial" w:hAnsi="Arial"/>
                <w:sz w:val="17"/>
                <w:szCs w:val="17"/>
                <w:color w:val="auto"/>
              </w:rPr>
              <w:t xml:space="preserve">Target award for annual equity grant: </w:t>
            </w:r>
            <w:r>
              <w:rPr>
                <w:rFonts w:ascii="Arial" w:cs="Arial" w:eastAsia="Arial" w:hAnsi="Arial"/>
                <w:sz w:val="17"/>
                <w:szCs w:val="17"/>
                <w:b w:val="1"/>
                <w:bCs w:val="1"/>
                <w:u w:val="single" w:color="auto"/>
                <w:color w:val="auto"/>
              </w:rPr>
              <w:t>$</w:t>
            </w:r>
            <w:r>
              <w:rPr>
                <w:rFonts w:ascii="Arial" w:cs="Arial" w:eastAsia="Arial" w:hAnsi="Arial"/>
                <w:sz w:val="17"/>
                <w:szCs w:val="17"/>
                <w:b w:val="1"/>
                <w:bCs w:val="1"/>
                <w:color w:val="auto"/>
              </w:rPr>
              <w:t>400,000</w:t>
            </w: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
        </w:trPr>
        <w:tc>
          <w:tcPr>
            <w:tcW w:w="2740" w:type="dxa"/>
            <w:vAlign w:val="bottom"/>
            <w:tcBorders>
              <w:right w:val="single" w:sz="8" w:color="auto"/>
            </w:tcBorders>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2180" w:type="dxa"/>
            <w:vAlign w:val="bottom"/>
            <w:tcBorders>
              <w:right w:val="single" w:sz="8" w:color="auto"/>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2740" w:type="dxa"/>
            <w:vAlign w:val="bottom"/>
            <w:tcBorders>
              <w:right w:val="single" w:sz="8" w:color="auto"/>
            </w:tcBorders>
          </w:tcPr>
          <w:p>
            <w:pPr>
              <w:spacing w:after="0"/>
              <w:rPr>
                <w:sz w:val="24"/>
                <w:szCs w:val="24"/>
                <w:color w:val="auto"/>
              </w:rPr>
            </w:pPr>
          </w:p>
        </w:tc>
        <w:tc>
          <w:tcPr>
            <w:tcW w:w="5420" w:type="dxa"/>
            <w:vAlign w:val="bottom"/>
            <w:tcBorders>
              <w:right w:val="single" w:sz="8" w:color="auto"/>
            </w:tcBorders>
            <w:gridSpan w:val="10"/>
          </w:tcPr>
          <w:p>
            <w:pPr>
              <w:spacing w:after="0"/>
              <w:rPr>
                <w:sz w:val="20"/>
                <w:szCs w:val="20"/>
                <w:color w:val="auto"/>
              </w:rPr>
            </w:pPr>
            <w:r>
              <w:rPr>
                <w:rFonts w:ascii="Arial" w:cs="Arial" w:eastAsia="Arial" w:hAnsi="Arial"/>
                <w:sz w:val="17"/>
                <w:szCs w:val="17"/>
                <w:color w:val="auto"/>
                <w:w w:val="91"/>
              </w:rPr>
              <w:t xml:space="preserve">Total Direct Compensation is </w:t>
            </w:r>
            <w:r>
              <w:rPr>
                <w:rFonts w:ascii="Arial" w:cs="Arial" w:eastAsia="Arial" w:hAnsi="Arial"/>
                <w:sz w:val="17"/>
                <w:szCs w:val="17"/>
                <w:b w:val="1"/>
                <w:bCs w:val="1"/>
                <w:u w:val="single" w:color="auto"/>
                <w:color w:val="auto"/>
                <w:w w:val="91"/>
              </w:rPr>
              <w:t>$</w:t>
            </w:r>
            <w:r>
              <w:rPr>
                <w:rFonts w:ascii="Arial" w:cs="Arial" w:eastAsia="Arial" w:hAnsi="Arial"/>
                <w:sz w:val="17"/>
                <w:szCs w:val="17"/>
                <w:b w:val="1"/>
                <w:bCs w:val="1"/>
                <w:color w:val="auto"/>
                <w:w w:val="91"/>
              </w:rPr>
              <w:t>895,000</w:t>
            </w:r>
            <w:r>
              <w:rPr>
                <w:rFonts w:ascii="Arial" w:cs="Arial" w:eastAsia="Arial" w:hAnsi="Arial"/>
                <w:sz w:val="17"/>
                <w:szCs w:val="17"/>
                <w:color w:val="auto"/>
                <w:w w:val="91"/>
              </w:rPr>
              <w:t xml:space="preserve"> (Total Target Cash plus Annual Equity</w:t>
            </w:r>
          </w:p>
        </w:tc>
        <w:tc>
          <w:tcPr>
            <w:tcW w:w="0" w:type="dxa"/>
            <w:vAlign w:val="bottom"/>
          </w:tcPr>
          <w:p>
            <w:pPr>
              <w:spacing w:after="0"/>
              <w:rPr>
                <w:sz w:val="1"/>
                <w:szCs w:val="1"/>
                <w:color w:val="auto"/>
              </w:rPr>
            </w:pPr>
          </w:p>
        </w:tc>
      </w:tr>
      <w:tr>
        <w:trPr>
          <w:trHeight w:val="20"/>
        </w:trPr>
        <w:tc>
          <w:tcPr>
            <w:tcW w:w="2740" w:type="dxa"/>
            <w:vAlign w:val="bottom"/>
            <w:tcBorders>
              <w:right w:val="single" w:sz="8" w:color="auto"/>
            </w:tcBorders>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680" w:type="dxa"/>
            <w:vAlign w:val="bottom"/>
            <w:gridSpan w:val="3"/>
            <w:shd w:val="clear" w:color="auto" w:fill="000000"/>
          </w:tcPr>
          <w:p>
            <w:pPr>
              <w:spacing w:after="0" w:line="20" w:lineRule="exact"/>
              <w:rPr>
                <w:sz w:val="1"/>
                <w:szCs w:val="1"/>
                <w:color w:val="auto"/>
              </w:rPr>
            </w:pPr>
          </w:p>
        </w:tc>
        <w:tc>
          <w:tcPr>
            <w:tcW w:w="2720" w:type="dxa"/>
            <w:vAlign w:val="bottom"/>
            <w:tcBorders>
              <w:right w:val="single" w:sz="8" w:color="auto"/>
            </w:tcBorders>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740" w:type="dxa"/>
            <w:vAlign w:val="bottom"/>
            <w:tcBorders>
              <w:right w:val="single" w:sz="8" w:color="auto"/>
            </w:tcBorders>
          </w:tcPr>
          <w:p>
            <w:pPr>
              <w:spacing w:after="0"/>
              <w:rPr>
                <w:sz w:val="18"/>
                <w:szCs w:val="18"/>
                <w:color w:val="auto"/>
              </w:rPr>
            </w:pPr>
          </w:p>
        </w:tc>
        <w:tc>
          <w:tcPr>
            <w:tcW w:w="5420" w:type="dxa"/>
            <w:vAlign w:val="bottom"/>
            <w:tcBorders>
              <w:right w:val="single" w:sz="8" w:color="auto"/>
            </w:tcBorders>
            <w:gridSpan w:val="10"/>
          </w:tcPr>
          <w:p>
            <w:pPr>
              <w:spacing w:after="0"/>
              <w:rPr>
                <w:sz w:val="20"/>
                <w:szCs w:val="20"/>
                <w:color w:val="auto"/>
              </w:rPr>
            </w:pPr>
            <w:r>
              <w:rPr>
                <w:rFonts w:ascii="Arial" w:cs="Arial" w:eastAsia="Arial" w:hAnsi="Arial"/>
                <w:sz w:val="17"/>
                <w:szCs w:val="17"/>
                <w:color w:val="auto"/>
              </w:rPr>
              <w:t>Awards under the Omnibus Plan).</w:t>
            </w:r>
          </w:p>
        </w:tc>
        <w:tc>
          <w:tcPr>
            <w:tcW w:w="0" w:type="dxa"/>
            <w:vAlign w:val="bottom"/>
          </w:tcPr>
          <w:p>
            <w:pPr>
              <w:spacing w:after="0"/>
              <w:rPr>
                <w:sz w:val="1"/>
                <w:szCs w:val="1"/>
                <w:color w:val="auto"/>
              </w:rPr>
            </w:pPr>
          </w:p>
        </w:tc>
      </w:tr>
      <w:tr>
        <w:trPr>
          <w:trHeight w:val="365"/>
        </w:trPr>
        <w:tc>
          <w:tcPr>
            <w:tcW w:w="2740" w:type="dxa"/>
            <w:vAlign w:val="bottom"/>
            <w:tcBorders>
              <w:right w:val="single" w:sz="8" w:color="auto"/>
            </w:tcBorders>
          </w:tcPr>
          <w:p>
            <w:pPr>
              <w:spacing w:after="0"/>
              <w:rPr>
                <w:sz w:val="24"/>
                <w:szCs w:val="24"/>
                <w:color w:val="auto"/>
              </w:rPr>
            </w:pPr>
          </w:p>
        </w:tc>
        <w:tc>
          <w:tcPr>
            <w:tcW w:w="5420" w:type="dxa"/>
            <w:vAlign w:val="bottom"/>
            <w:tcBorders>
              <w:right w:val="single" w:sz="8" w:color="auto"/>
            </w:tcBorders>
            <w:gridSpan w:val="10"/>
          </w:tcPr>
          <w:p>
            <w:pPr>
              <w:spacing w:after="0"/>
              <w:rPr>
                <w:sz w:val="20"/>
                <w:szCs w:val="20"/>
                <w:color w:val="auto"/>
              </w:rPr>
            </w:pPr>
            <w:r>
              <w:rPr>
                <w:rFonts w:ascii="Arial" w:cs="Arial" w:eastAsia="Arial" w:hAnsi="Arial"/>
                <w:sz w:val="17"/>
                <w:szCs w:val="17"/>
                <w:color w:val="auto"/>
                <w:w w:val="92"/>
              </w:rPr>
              <w:t>Your 2014 grant will be comprised of 50% Restricted Stock Units (RSUs) and</w:t>
            </w:r>
          </w:p>
        </w:tc>
        <w:tc>
          <w:tcPr>
            <w:tcW w:w="0" w:type="dxa"/>
            <w:vAlign w:val="bottom"/>
          </w:tcPr>
          <w:p>
            <w:pPr>
              <w:spacing w:after="0"/>
              <w:rPr>
                <w:sz w:val="1"/>
                <w:szCs w:val="1"/>
                <w:color w:val="auto"/>
              </w:rPr>
            </w:pPr>
          </w:p>
        </w:tc>
      </w:tr>
      <w:tr>
        <w:trPr>
          <w:trHeight w:val="193"/>
        </w:trPr>
        <w:tc>
          <w:tcPr>
            <w:tcW w:w="2740" w:type="dxa"/>
            <w:vAlign w:val="bottom"/>
            <w:tcBorders>
              <w:right w:val="single" w:sz="8" w:color="auto"/>
            </w:tcBorders>
          </w:tcPr>
          <w:p>
            <w:pPr>
              <w:spacing w:after="0"/>
              <w:rPr>
                <w:sz w:val="16"/>
                <w:szCs w:val="16"/>
                <w:color w:val="auto"/>
              </w:rPr>
            </w:pPr>
          </w:p>
        </w:tc>
        <w:tc>
          <w:tcPr>
            <w:tcW w:w="5420" w:type="dxa"/>
            <w:vAlign w:val="bottom"/>
            <w:tcBorders>
              <w:right w:val="single" w:sz="8" w:color="auto"/>
            </w:tcBorders>
            <w:gridSpan w:val="10"/>
          </w:tcPr>
          <w:p>
            <w:pPr>
              <w:spacing w:after="0" w:line="194" w:lineRule="exact"/>
              <w:rPr>
                <w:sz w:val="20"/>
                <w:szCs w:val="20"/>
                <w:color w:val="auto"/>
              </w:rPr>
            </w:pPr>
            <w:r>
              <w:rPr>
                <w:rFonts w:ascii="Arial" w:cs="Arial" w:eastAsia="Arial" w:hAnsi="Arial"/>
                <w:sz w:val="17"/>
                <w:szCs w:val="17"/>
                <w:color w:val="auto"/>
                <w:w w:val="91"/>
              </w:rPr>
              <w:t>50% Non-Qualified Stock Options (NQSOs) with a grant date of December 15,</w:t>
            </w:r>
          </w:p>
        </w:tc>
        <w:tc>
          <w:tcPr>
            <w:tcW w:w="0" w:type="dxa"/>
            <w:vAlign w:val="bottom"/>
          </w:tcPr>
          <w:p>
            <w:pPr>
              <w:spacing w:after="0"/>
              <w:rPr>
                <w:sz w:val="1"/>
                <w:szCs w:val="1"/>
                <w:color w:val="auto"/>
              </w:rPr>
            </w:pPr>
          </w:p>
        </w:tc>
      </w:tr>
      <w:tr>
        <w:trPr>
          <w:trHeight w:val="213"/>
        </w:trPr>
        <w:tc>
          <w:tcPr>
            <w:tcW w:w="2740" w:type="dxa"/>
            <w:vAlign w:val="bottom"/>
            <w:tcBorders>
              <w:bottom w:val="single" w:sz="8" w:color="auto"/>
              <w:right w:val="single" w:sz="8" w:color="auto"/>
            </w:tcBorders>
          </w:tcPr>
          <w:p>
            <w:pPr>
              <w:spacing w:after="0"/>
              <w:rPr>
                <w:sz w:val="18"/>
                <w:szCs w:val="18"/>
                <w:color w:val="auto"/>
              </w:rPr>
            </w:pPr>
          </w:p>
        </w:tc>
        <w:tc>
          <w:tcPr>
            <w:tcW w:w="5420" w:type="dxa"/>
            <w:vAlign w:val="bottom"/>
            <w:tcBorders>
              <w:bottom w:val="single" w:sz="8" w:color="auto"/>
              <w:right w:val="single" w:sz="8" w:color="auto"/>
            </w:tcBorders>
            <w:gridSpan w:val="10"/>
          </w:tcPr>
          <w:p>
            <w:pPr>
              <w:spacing w:after="0"/>
              <w:rPr>
                <w:sz w:val="20"/>
                <w:szCs w:val="20"/>
                <w:color w:val="auto"/>
              </w:rPr>
            </w:pPr>
            <w:r>
              <w:rPr>
                <w:rFonts w:ascii="Arial" w:cs="Arial" w:eastAsia="Arial" w:hAnsi="Arial"/>
                <w:sz w:val="17"/>
                <w:szCs w:val="17"/>
                <w:color w:val="auto"/>
                <w:w w:val="94"/>
              </w:rPr>
              <w:t>2014. An award notice will be issued to you within 20 days of the grant date.</w:t>
            </w:r>
          </w:p>
        </w:tc>
        <w:tc>
          <w:tcPr>
            <w:tcW w:w="0" w:type="dxa"/>
            <w:vAlign w:val="bottom"/>
          </w:tcPr>
          <w:p>
            <w:pPr>
              <w:spacing w:after="0"/>
              <w:rPr>
                <w:sz w:val="1"/>
                <w:szCs w:val="1"/>
                <w:color w:val="auto"/>
              </w:rPr>
            </w:pPr>
          </w:p>
        </w:tc>
      </w:tr>
      <w:tr>
        <w:trPr>
          <w:trHeight w:val="185"/>
        </w:trPr>
        <w:tc>
          <w:tcPr>
            <w:tcW w:w="2740" w:type="dxa"/>
            <w:vAlign w:val="bottom"/>
            <w:tcBorders>
              <w:bottom w:val="single" w:sz="8" w:color="auto"/>
              <w:right w:val="single" w:sz="8" w:color="auto"/>
            </w:tcBorders>
          </w:tcPr>
          <w:p>
            <w:pPr>
              <w:spacing w:after="0" w:line="185" w:lineRule="exact"/>
              <w:rPr>
                <w:sz w:val="20"/>
                <w:szCs w:val="20"/>
                <w:color w:val="auto"/>
              </w:rPr>
            </w:pPr>
            <w:r>
              <w:rPr>
                <w:rFonts w:ascii="Arial" w:cs="Arial" w:eastAsia="Arial" w:hAnsi="Arial"/>
                <w:sz w:val="17"/>
                <w:szCs w:val="17"/>
                <w:i w:val="1"/>
                <w:iCs w:val="1"/>
                <w:color w:val="auto"/>
              </w:rPr>
              <w:t>verance Multiplier</w:t>
            </w:r>
          </w:p>
        </w:tc>
        <w:tc>
          <w:tcPr>
            <w:tcW w:w="5420" w:type="dxa"/>
            <w:vAlign w:val="bottom"/>
            <w:tcBorders>
              <w:bottom w:val="single" w:sz="8" w:color="auto"/>
              <w:right w:val="single" w:sz="8" w:color="auto"/>
            </w:tcBorders>
            <w:gridSpan w:val="10"/>
          </w:tcPr>
          <w:p>
            <w:pPr>
              <w:spacing w:after="0" w:line="185" w:lineRule="exact"/>
              <w:rPr>
                <w:sz w:val="20"/>
                <w:szCs w:val="20"/>
                <w:color w:val="auto"/>
              </w:rPr>
            </w:pPr>
            <w:r>
              <w:rPr>
                <w:rFonts w:ascii="Arial" w:cs="Arial" w:eastAsia="Arial" w:hAnsi="Arial"/>
                <w:sz w:val="17"/>
                <w:szCs w:val="17"/>
                <w:b w:val="1"/>
                <w:bCs w:val="1"/>
                <w:color w:val="auto"/>
              </w:rPr>
              <w:t xml:space="preserve">1X </w:t>
            </w:r>
            <w:r>
              <w:rPr>
                <w:rFonts w:ascii="Arial" w:cs="Arial" w:eastAsia="Arial" w:hAnsi="Arial"/>
                <w:sz w:val="17"/>
                <w:szCs w:val="17"/>
                <w:color w:val="auto"/>
              </w:rPr>
              <w:t>Base Salary</w:t>
            </w:r>
          </w:p>
        </w:tc>
        <w:tc>
          <w:tcPr>
            <w:tcW w:w="0" w:type="dxa"/>
            <w:vAlign w:val="bottom"/>
          </w:tcPr>
          <w:p>
            <w:pPr>
              <w:spacing w:after="0"/>
              <w:rPr>
                <w:sz w:val="1"/>
                <w:szCs w:val="1"/>
                <w:color w:val="auto"/>
              </w:rPr>
            </w:pPr>
          </w:p>
        </w:tc>
      </w:tr>
      <w:tr>
        <w:trPr>
          <w:trHeight w:val="166"/>
        </w:trPr>
        <w:tc>
          <w:tcPr>
            <w:tcW w:w="2740" w:type="dxa"/>
            <w:vAlign w:val="bottom"/>
            <w:tcBorders>
              <w:right w:val="single" w:sz="8" w:color="auto"/>
            </w:tcBorders>
          </w:tcPr>
          <w:p>
            <w:pPr>
              <w:spacing w:after="0" w:line="166" w:lineRule="exact"/>
              <w:rPr>
                <w:sz w:val="20"/>
                <w:szCs w:val="20"/>
                <w:color w:val="auto"/>
              </w:rPr>
            </w:pPr>
            <w:r>
              <w:rPr>
                <w:rFonts w:ascii="Arial" w:cs="Arial" w:eastAsia="Arial" w:hAnsi="Arial"/>
                <w:sz w:val="17"/>
                <w:szCs w:val="17"/>
                <w:i w:val="1"/>
                <w:iCs w:val="1"/>
                <w:color w:val="auto"/>
              </w:rPr>
              <w:t>ange of Control</w:t>
            </w:r>
          </w:p>
        </w:tc>
        <w:tc>
          <w:tcPr>
            <w:tcW w:w="5420" w:type="dxa"/>
            <w:vAlign w:val="bottom"/>
            <w:tcBorders>
              <w:right w:val="single" w:sz="8" w:color="auto"/>
            </w:tcBorders>
            <w:gridSpan w:val="10"/>
          </w:tcPr>
          <w:p>
            <w:pPr>
              <w:spacing w:after="0" w:line="166" w:lineRule="exact"/>
              <w:rPr>
                <w:sz w:val="20"/>
                <w:szCs w:val="20"/>
                <w:color w:val="auto"/>
              </w:rPr>
            </w:pPr>
            <w:r>
              <w:rPr>
                <w:rFonts w:ascii="Arial" w:cs="Arial" w:eastAsia="Arial" w:hAnsi="Arial"/>
                <w:sz w:val="17"/>
                <w:szCs w:val="17"/>
                <w:color w:val="auto"/>
              </w:rPr>
              <w:t>In the case of a Change of Control event followed by an involuntary</w:t>
            </w:r>
          </w:p>
        </w:tc>
        <w:tc>
          <w:tcPr>
            <w:tcW w:w="0" w:type="dxa"/>
            <w:vAlign w:val="bottom"/>
          </w:tcPr>
          <w:p>
            <w:pPr>
              <w:spacing w:after="0"/>
              <w:rPr>
                <w:sz w:val="1"/>
                <w:szCs w:val="1"/>
                <w:color w:val="auto"/>
              </w:rPr>
            </w:pPr>
          </w:p>
        </w:tc>
      </w:tr>
      <w:tr>
        <w:trPr>
          <w:trHeight w:val="25"/>
        </w:trPr>
        <w:tc>
          <w:tcPr>
            <w:tcW w:w="2740" w:type="dxa"/>
            <w:vAlign w:val="bottom"/>
            <w:tcBorders>
              <w:right w:val="single" w:sz="8" w:color="auto"/>
            </w:tcBorders>
          </w:tcPr>
          <w:p>
            <w:pPr>
              <w:spacing w:after="0"/>
              <w:rPr>
                <w:sz w:val="2"/>
                <w:szCs w:val="2"/>
                <w:color w:val="auto"/>
              </w:rPr>
            </w:pPr>
          </w:p>
        </w:tc>
        <w:tc>
          <w:tcPr>
            <w:tcW w:w="5420" w:type="dxa"/>
            <w:vAlign w:val="bottom"/>
            <w:tcBorders>
              <w:right w:val="single" w:sz="8" w:color="auto"/>
            </w:tcBorders>
            <w:gridSpan w:val="10"/>
          </w:tcPr>
          <w:p>
            <w:pPr>
              <w:spacing w:after="0"/>
              <w:rPr>
                <w:sz w:val="20"/>
                <w:szCs w:val="20"/>
                <w:color w:val="auto"/>
              </w:rPr>
            </w:pPr>
            <w:r>
              <w:rPr>
                <w:rFonts w:ascii="Arial" w:cs="Arial" w:eastAsia="Arial" w:hAnsi="Arial"/>
                <w:sz w:val="2"/>
                <w:szCs w:val="2"/>
                <w:color w:val="auto"/>
              </w:rPr>
              <w:t>termination  within two years following the Change of Control, severance</w:t>
            </w:r>
          </w:p>
        </w:tc>
        <w:tc>
          <w:tcPr>
            <w:tcW w:w="0" w:type="dxa"/>
            <w:vAlign w:val="bottom"/>
          </w:tcPr>
          <w:p>
            <w:pPr>
              <w:spacing w:after="0" w:line="20" w:lineRule="exact"/>
              <w:rPr>
                <w:sz w:val="1"/>
                <w:szCs w:val="1"/>
                <w:color w:val="auto"/>
              </w:rPr>
            </w:pPr>
          </w:p>
        </w:tc>
      </w:tr>
      <w:tr>
        <w:trPr>
          <w:trHeight w:val="169"/>
        </w:trPr>
        <w:tc>
          <w:tcPr>
            <w:tcW w:w="2740" w:type="dxa"/>
            <w:vAlign w:val="bottom"/>
            <w:tcBorders>
              <w:right w:val="single" w:sz="8" w:color="auto"/>
            </w:tcBorders>
          </w:tcPr>
          <w:p>
            <w:pPr>
              <w:spacing w:after="0"/>
              <w:rPr>
                <w:sz w:val="14"/>
                <w:szCs w:val="14"/>
                <w:color w:val="auto"/>
              </w:rPr>
            </w:pPr>
          </w:p>
        </w:tc>
        <w:tc>
          <w:tcPr>
            <w:tcW w:w="2020" w:type="dxa"/>
            <w:vAlign w:val="bottom"/>
            <w:gridSpan w:val="2"/>
          </w:tcPr>
          <w:p>
            <w:pPr>
              <w:ind w:left="780"/>
              <w:spacing w:after="0"/>
              <w:rPr>
                <w:sz w:val="20"/>
                <w:szCs w:val="20"/>
                <w:color w:val="auto"/>
              </w:rPr>
            </w:pPr>
            <w:r>
              <w:rPr>
                <w:rFonts w:ascii="Arial" w:cs="Arial" w:eastAsia="Arial" w:hAnsi="Arial"/>
                <w:sz w:val="14"/>
                <w:szCs w:val="14"/>
                <w:color w:val="auto"/>
              </w:rPr>
              <w:t>3</w:t>
            </w: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740" w:type="dxa"/>
            <w:vAlign w:val="bottom"/>
            <w:tcBorders>
              <w:bottom w:val="single" w:sz="8" w:color="auto"/>
              <w:right w:val="single" w:sz="8" w:color="auto"/>
            </w:tcBorders>
          </w:tcPr>
          <w:p>
            <w:pPr>
              <w:spacing w:after="0"/>
              <w:rPr>
                <w:sz w:val="18"/>
                <w:szCs w:val="18"/>
                <w:color w:val="auto"/>
              </w:rPr>
            </w:pPr>
          </w:p>
        </w:tc>
        <w:tc>
          <w:tcPr>
            <w:tcW w:w="5420" w:type="dxa"/>
            <w:vAlign w:val="bottom"/>
            <w:tcBorders>
              <w:bottom w:val="single" w:sz="8" w:color="auto"/>
              <w:right w:val="single" w:sz="8" w:color="auto"/>
            </w:tcBorders>
            <w:gridSpan w:val="10"/>
          </w:tcPr>
          <w:p>
            <w:pPr>
              <w:spacing w:after="0"/>
              <w:rPr>
                <w:sz w:val="20"/>
                <w:szCs w:val="20"/>
                <w:color w:val="auto"/>
              </w:rPr>
            </w:pPr>
            <w:r>
              <w:rPr>
                <w:rFonts w:ascii="Arial" w:cs="Arial" w:eastAsia="Arial" w:hAnsi="Arial"/>
                <w:sz w:val="17"/>
                <w:szCs w:val="17"/>
                <w:color w:val="auto"/>
              </w:rPr>
              <w:t>would be paid after the 409(a) waiting period.</w:t>
            </w:r>
          </w:p>
        </w:tc>
        <w:tc>
          <w:tcPr>
            <w:tcW w:w="0" w:type="dxa"/>
            <w:vAlign w:val="bottom"/>
          </w:tcPr>
          <w:p>
            <w:pPr>
              <w:spacing w:after="0"/>
              <w:rPr>
                <w:sz w:val="1"/>
                <w:szCs w:val="1"/>
                <w:color w:val="auto"/>
              </w:rPr>
            </w:pPr>
          </w:p>
        </w:tc>
      </w:tr>
      <w:tr>
        <w:trPr>
          <w:trHeight w:val="185"/>
        </w:trPr>
        <w:tc>
          <w:tcPr>
            <w:tcW w:w="2740" w:type="dxa"/>
            <w:vAlign w:val="bottom"/>
            <w:tcBorders>
              <w:bottom w:val="single" w:sz="8" w:color="auto"/>
              <w:right w:val="single" w:sz="8" w:color="auto"/>
            </w:tcBorders>
          </w:tcPr>
          <w:p>
            <w:pPr>
              <w:spacing w:after="0" w:line="185" w:lineRule="exact"/>
              <w:rPr>
                <w:sz w:val="20"/>
                <w:szCs w:val="20"/>
                <w:color w:val="auto"/>
              </w:rPr>
            </w:pPr>
            <w:r>
              <w:rPr>
                <w:rFonts w:ascii="Arial" w:cs="Arial" w:eastAsia="Arial" w:hAnsi="Arial"/>
                <w:sz w:val="17"/>
                <w:szCs w:val="17"/>
                <w:i w:val="1"/>
                <w:iCs w:val="1"/>
                <w:color w:val="auto"/>
              </w:rPr>
              <w:t>ditional Benefits</w:t>
            </w:r>
          </w:p>
        </w:tc>
        <w:tc>
          <w:tcPr>
            <w:tcW w:w="5420" w:type="dxa"/>
            <w:vAlign w:val="bottom"/>
            <w:tcBorders>
              <w:bottom w:val="single" w:sz="8" w:color="auto"/>
              <w:right w:val="single" w:sz="8" w:color="auto"/>
            </w:tcBorders>
            <w:gridSpan w:val="10"/>
          </w:tcPr>
          <w:p>
            <w:pPr>
              <w:spacing w:after="0" w:line="185" w:lineRule="exact"/>
              <w:rPr>
                <w:sz w:val="20"/>
                <w:szCs w:val="20"/>
                <w:color w:val="auto"/>
              </w:rPr>
            </w:pPr>
            <w:r>
              <w:rPr>
                <w:rFonts w:ascii="Arial" w:cs="Arial" w:eastAsia="Arial" w:hAnsi="Arial"/>
                <w:sz w:val="17"/>
                <w:szCs w:val="17"/>
                <w:color w:val="auto"/>
              </w:rPr>
              <w:t>None</w:t>
            </w:r>
          </w:p>
        </w:tc>
        <w:tc>
          <w:tcPr>
            <w:tcW w:w="0" w:type="dxa"/>
            <w:vAlign w:val="bottom"/>
          </w:tcPr>
          <w:p>
            <w:pPr>
              <w:spacing w:after="0"/>
              <w:rPr>
                <w:sz w:val="1"/>
                <w:szCs w:val="1"/>
                <w:color w:val="auto"/>
              </w:rPr>
            </w:pPr>
          </w:p>
        </w:tc>
      </w:tr>
    </w:tbl>
    <w:p>
      <w:pPr>
        <w:spacing w:after="0" w:line="396" w:lineRule="exact"/>
        <w:rPr>
          <w:sz w:val="20"/>
          <w:szCs w:val="20"/>
          <w:color w:val="auto"/>
        </w:rPr>
      </w:pPr>
    </w:p>
    <w:p>
      <w:pPr>
        <w:ind w:left="100"/>
        <w:spacing w:after="0"/>
        <w:rPr>
          <w:sz w:val="20"/>
          <w:szCs w:val="20"/>
          <w:color w:val="auto"/>
        </w:rPr>
      </w:pPr>
      <w:r>
        <w:rPr>
          <w:rFonts w:ascii="Arial" w:cs="Arial" w:eastAsia="Arial" w:hAnsi="Arial"/>
          <w:sz w:val="15"/>
          <w:szCs w:val="15"/>
          <w:i w:val="1"/>
          <w:iCs w:val="1"/>
          <w:color w:val="auto"/>
        </w:rPr>
        <w:t>1</w:t>
      </w:r>
      <w:r>
        <w:rPr>
          <w:rFonts w:ascii="Arial" w:cs="Arial" w:eastAsia="Arial" w:hAnsi="Arial"/>
          <w:sz w:val="17"/>
          <w:szCs w:val="17"/>
          <w:i w:val="1"/>
          <w:iCs w:val="1"/>
          <w:color w:val="auto"/>
        </w:rPr>
        <w:t>EXCEL Plan performance metrics are determined annually by the Executive Compensation Committee</w:t>
      </w:r>
    </w:p>
    <w:p>
      <w:pPr>
        <w:spacing w:after="0" w:line="24" w:lineRule="exact"/>
        <w:rPr>
          <w:sz w:val="20"/>
          <w:szCs w:val="20"/>
          <w:color w:val="auto"/>
        </w:rPr>
      </w:pPr>
    </w:p>
    <w:p>
      <w:pPr>
        <w:ind w:left="100"/>
        <w:spacing w:after="0" w:line="252" w:lineRule="auto"/>
        <w:rPr>
          <w:sz w:val="20"/>
          <w:szCs w:val="20"/>
          <w:color w:val="auto"/>
        </w:rPr>
      </w:pPr>
      <w:r>
        <w:rPr>
          <w:rFonts w:ascii="Arial" w:cs="Arial" w:eastAsia="Arial" w:hAnsi="Arial"/>
          <w:sz w:val="15"/>
          <w:szCs w:val="15"/>
          <w:i w:val="1"/>
          <w:iCs w:val="1"/>
          <w:color w:val="auto"/>
        </w:rPr>
        <w:t>2</w:t>
      </w:r>
      <w:r>
        <w:rPr>
          <w:rFonts w:ascii="Arial" w:cs="Arial" w:eastAsia="Arial" w:hAnsi="Arial"/>
          <w:sz w:val="17"/>
          <w:szCs w:val="17"/>
          <w:i w:val="1"/>
          <w:iCs w:val="1"/>
          <w:color w:val="auto"/>
        </w:rPr>
        <w:t>Equity vesting is over a three-year period with the form of equity to be determined by the Executive Compensation Committee (may be in time-based Restricted</w:t>
      </w:r>
      <w:r>
        <w:rPr>
          <w:rFonts w:ascii="Arial" w:cs="Arial" w:eastAsia="Arial" w:hAnsi="Arial"/>
          <w:sz w:val="15"/>
          <w:szCs w:val="15"/>
          <w:i w:val="1"/>
          <w:iCs w:val="1"/>
          <w:color w:val="auto"/>
        </w:rPr>
        <w:t xml:space="preserve"> </w:t>
      </w:r>
      <w:r>
        <w:rPr>
          <w:rFonts w:ascii="Arial" w:cs="Arial" w:eastAsia="Arial" w:hAnsi="Arial"/>
          <w:sz w:val="17"/>
          <w:szCs w:val="17"/>
          <w:i w:val="1"/>
          <w:iCs w:val="1"/>
          <w:color w:val="auto"/>
        </w:rPr>
        <w:t>Stock Units, performance-based Restricted Stock Units or Stock Options)</w:t>
      </w:r>
    </w:p>
    <w:p>
      <w:pPr>
        <w:ind w:left="100"/>
        <w:spacing w:after="0"/>
        <w:rPr>
          <w:sz w:val="20"/>
          <w:szCs w:val="20"/>
          <w:color w:val="auto"/>
        </w:rPr>
      </w:pPr>
      <w:r>
        <w:rPr>
          <w:rFonts w:ascii="Arial" w:cs="Arial" w:eastAsia="Arial" w:hAnsi="Arial"/>
          <w:sz w:val="15"/>
          <w:szCs w:val="15"/>
          <w:i w:val="1"/>
          <w:iCs w:val="1"/>
          <w:color w:val="auto"/>
        </w:rPr>
        <w:t>3</w:t>
      </w:r>
      <w:r>
        <w:rPr>
          <w:rFonts w:ascii="Arial" w:cs="Arial" w:eastAsia="Arial" w:hAnsi="Arial"/>
          <w:sz w:val="17"/>
          <w:szCs w:val="17"/>
          <w:i w:val="1"/>
          <w:iCs w:val="1"/>
          <w:color w:val="auto"/>
        </w:rPr>
        <w:t>Leaving Reasons and associated eligibility are reviewed and approved by the Executive Compensation Committee</w:t>
      </w:r>
    </w:p>
    <w:p>
      <w:pPr>
        <w:sectPr>
          <w:pgSz w:w="11900" w:h="16838" w:orient="portrait"/>
          <w:cols w:equalWidth="0" w:num="1">
            <w:col w:w="11460"/>
          </w:cols>
          <w:pgMar w:left="140" w:top="120" w:right="299" w:bottom="1440" w:gutter="0" w:footer="0" w:header="0"/>
        </w:sectPr>
      </w:pPr>
    </w:p>
    <w:bookmarkStart w:id="121" w:name="page122"/>
    <w:bookmarkEnd w:id="121"/>
    <w:p>
      <w:pPr>
        <w:ind w:left="9420"/>
        <w:spacing w:after="0"/>
        <w:rPr>
          <w:sz w:val="20"/>
          <w:szCs w:val="20"/>
          <w:color w:val="auto"/>
        </w:rPr>
      </w:pPr>
      <w:r>
        <w:rPr>
          <w:rFonts w:ascii="Arial" w:cs="Arial" w:eastAsia="Arial" w:hAnsi="Arial"/>
          <w:sz w:val="15"/>
          <w:szCs w:val="15"/>
          <w:b w:val="1"/>
          <w:bCs w:val="1"/>
          <w:color w:val="auto"/>
        </w:rPr>
        <w:t>Exhibit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-775970</wp:posOffset>
            </wp:positionH>
            <wp:positionV relativeFrom="paragraph">
              <wp:posOffset>72390</wp:posOffset>
            </wp:positionV>
            <wp:extent cx="7301865" cy="406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4">
                      <a:extLst>
                        <a:ext uri="{28A0092B-C50C-407E-A947-70E740481C1C}"/>
                      </a:extLst>
                    </a:blip>
                    <a:srcRect/>
                    <a:stretch>
                      <a:fillRect/>
                    </a:stretch>
                  </pic:blipFill>
                  <pic:spPr bwMode="auto">
                    <a:xfrm>
                      <a:off x="0" y="0"/>
                      <a:ext cx="7301865" cy="40640"/>
                    </a:xfrm>
                    <a:prstGeom prst="rect">
                      <a:avLst/>
                    </a:prstGeom>
                    <a:noFill/>
                  </pic:spPr>
                </pic:pic>
              </a:graphicData>
            </a:graphic>
          </wp:anchor>
        </w:drawing>
      </w:r>
    </w:p>
    <w:p>
      <w:pPr>
        <w:sectPr>
          <w:pgSz w:w="11900" w:h="16838" w:orient="portrait"/>
          <w:cols w:equalWidth="0" w:num="1">
            <w:col w:w="10240"/>
          </w:cols>
          <w:pgMar w:left="1440" w:top="123" w:right="219" w:bottom="1440" w:gutter="0" w:footer="0" w:header="0"/>
        </w:sectPr>
      </w:pPr>
    </w:p>
    <w:bookmarkStart w:id="122" w:name="page123"/>
    <w:bookmarkEnd w:id="1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150495</wp:posOffset>
            </wp:positionH>
            <wp:positionV relativeFrom="page">
              <wp:posOffset>88900</wp:posOffset>
            </wp:positionV>
            <wp:extent cx="6263005" cy="49276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05">
                      <a:clrChange>
                        <a:clrFrom>
                          <a:srgbClr val="FFFFFF"/>
                        </a:clrFrom>
                        <a:clrTo>
                          <a:srgbClr val="FFFFFF">
                            <a:alpha val="0"/>
                          </a:srgbClr>
                        </a:clrTo>
                      </a:clrChange>
                      <a:extLst>
                        <a:ext uri="{28A0092B-C50C-407E-A947-70E740481C1C}"/>
                      </a:extLst>
                    </a:blip>
                    <a:srcRect/>
                    <a:stretch>
                      <a:fillRect/>
                    </a:stretch>
                  </pic:blipFill>
                  <pic:spPr bwMode="auto">
                    <a:xfrm>
                      <a:off x="0" y="0"/>
                      <a:ext cx="6263005" cy="4927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3" w:name="page124"/>
    <w:bookmarkEnd w:id="123"/>
    <w:p>
      <w:pPr>
        <w:jc w:val="center"/>
        <w:ind w:left="14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150495</wp:posOffset>
            </wp:positionH>
            <wp:positionV relativeFrom="page">
              <wp:posOffset>88900</wp:posOffset>
            </wp:positionV>
            <wp:extent cx="7317105" cy="74377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06">
                      <a:extLst>
                        <a:ext uri="{28A0092B-C50C-407E-A947-70E740481C1C}"/>
                      </a:extLst>
                    </a:blip>
                    <a:srcRect/>
                    <a:stretch>
                      <a:fillRect/>
                    </a:stretch>
                  </pic:blipFill>
                  <pic:spPr bwMode="auto">
                    <a:xfrm>
                      <a:off x="0" y="0"/>
                      <a:ext cx="7317105" cy="7437755"/>
                    </a:xfrm>
                    <a:prstGeom prst="rect">
                      <a:avLst/>
                    </a:prstGeom>
                    <a:noFill/>
                  </pic:spPr>
                </pic:pic>
              </a:graphicData>
            </a:graphic>
          </wp:anchor>
        </w:drawing>
        <w:t>Eastman Kodak Company and Subsidiary Companies</w:t>
      </w:r>
    </w:p>
    <w:p>
      <w:pPr>
        <w:spacing w:after="0" w:line="227" w:lineRule="exact"/>
        <w:rPr>
          <w:sz w:val="20"/>
          <w:szCs w:val="20"/>
          <w:color w:val="auto"/>
        </w:rPr>
      </w:pPr>
    </w:p>
    <w:p>
      <w:pPr>
        <w:ind w:left="4120"/>
        <w:spacing w:after="0"/>
        <w:rPr>
          <w:sz w:val="20"/>
          <w:szCs w:val="20"/>
          <w:color w:val="auto"/>
        </w:rPr>
      </w:pPr>
      <w:r>
        <w:rPr>
          <w:rFonts w:ascii="Arial" w:cs="Arial" w:eastAsia="Arial" w:hAnsi="Arial"/>
          <w:sz w:val="16"/>
          <w:szCs w:val="16"/>
          <w:color w:val="auto"/>
        </w:rPr>
        <w:t>Subsidiaries of the Registrant as of December 31, 2017 are listed below:</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80" w:type="dxa"/>
            <w:vAlign w:val="bottom"/>
            <w:tcBorders>
              <w:top w:val="single" w:sz="8" w:color="auto"/>
              <w:bottom w:val="single" w:sz="8" w:color="auto"/>
            </w:tcBorders>
            <w:shd w:val="clear" w:color="auto" w:fill="D9E2F3"/>
          </w:tcPr>
          <w:p>
            <w:pPr>
              <w:spacing w:after="0"/>
              <w:rPr>
                <w:sz w:val="16"/>
                <w:szCs w:val="16"/>
                <w:color w:val="auto"/>
              </w:rPr>
            </w:pPr>
          </w:p>
        </w:tc>
        <w:tc>
          <w:tcPr>
            <w:tcW w:w="5580" w:type="dxa"/>
            <w:vAlign w:val="bottom"/>
            <w:tcBorders>
              <w:top w:val="single" w:sz="8" w:color="auto"/>
              <w:bottom w:val="single" w:sz="8" w:color="auto"/>
              <w:right w:val="single" w:sz="8" w:color="auto"/>
            </w:tcBorders>
            <w:shd w:val="clear" w:color="auto" w:fill="D9E2F3"/>
          </w:tcPr>
          <w:p>
            <w:pPr>
              <w:spacing w:after="0"/>
              <w:rPr>
                <w:sz w:val="16"/>
                <w:szCs w:val="16"/>
                <w:color w:val="auto"/>
              </w:rPr>
            </w:pPr>
          </w:p>
        </w:tc>
        <w:tc>
          <w:tcPr>
            <w:tcW w:w="800" w:type="dxa"/>
            <w:vAlign w:val="bottom"/>
            <w:tcBorders>
              <w:top w:val="single" w:sz="8" w:color="auto"/>
              <w:bottom w:val="single" w:sz="8" w:color="auto"/>
            </w:tcBorders>
            <w:shd w:val="clear" w:color="auto" w:fill="D9E2F3"/>
          </w:tcPr>
          <w:p>
            <w:pPr>
              <w:spacing w:after="0"/>
              <w:rPr>
                <w:sz w:val="16"/>
                <w:szCs w:val="16"/>
                <w:color w:val="auto"/>
              </w:rPr>
            </w:pPr>
          </w:p>
        </w:tc>
        <w:tc>
          <w:tcPr>
            <w:tcW w:w="60" w:type="dxa"/>
            <w:vAlign w:val="bottom"/>
            <w:tcBorders>
              <w:top w:val="single" w:sz="8" w:color="auto"/>
              <w:bottom w:val="single" w:sz="8" w:color="auto"/>
            </w:tcBorders>
            <w:shd w:val="clear" w:color="auto" w:fill="D9E2F3"/>
          </w:tcPr>
          <w:p>
            <w:pPr>
              <w:spacing w:after="0"/>
              <w:rPr>
                <w:sz w:val="16"/>
                <w:szCs w:val="16"/>
                <w:color w:val="auto"/>
              </w:rPr>
            </w:pPr>
          </w:p>
        </w:tc>
      </w:tr>
      <w:tr>
        <w:trPr>
          <w:trHeight w:val="185"/>
        </w:trPr>
        <w:tc>
          <w:tcPr>
            <w:tcW w:w="50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Eastman Kodak Holdings B.V.</w:t>
            </w:r>
          </w:p>
        </w:tc>
        <w:tc>
          <w:tcPr>
            <w:tcW w:w="5580" w:type="dxa"/>
            <w:vAlign w:val="bottom"/>
            <w:tcBorders>
              <w:bottom w:val="single" w:sz="8" w:color="auto"/>
              <w:right w:val="single" w:sz="8" w:color="auto"/>
            </w:tcBorders>
          </w:tcPr>
          <w:p>
            <w:pPr>
              <w:spacing w:after="0"/>
              <w:rPr>
                <w:sz w:val="16"/>
                <w:szCs w:val="16"/>
                <w:color w:val="auto"/>
              </w:rPr>
            </w:pPr>
          </w:p>
        </w:tc>
        <w:tc>
          <w:tcPr>
            <w:tcW w:w="86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w w:val="97"/>
              </w:rPr>
              <w:t>Netherlands</w:t>
            </w:r>
          </w:p>
        </w:tc>
      </w:tr>
      <w:tr>
        <w:trPr>
          <w:trHeight w:val="185"/>
        </w:trPr>
        <w:tc>
          <w:tcPr>
            <w:tcW w:w="5080" w:type="dxa"/>
            <w:vAlign w:val="bottom"/>
            <w:tcBorders>
              <w:bottom w:val="single" w:sz="8" w:color="auto"/>
            </w:tcBorders>
            <w:shd w:val="clear" w:color="auto" w:fill="D9E2F3"/>
          </w:tcPr>
          <w:p>
            <w:pPr>
              <w:spacing w:after="0"/>
              <w:rPr>
                <w:sz w:val="20"/>
                <w:szCs w:val="20"/>
                <w:color w:val="auto"/>
              </w:rPr>
            </w:pPr>
            <w:r>
              <w:rPr>
                <w:rFonts w:ascii="Arial" w:cs="Arial" w:eastAsia="Arial" w:hAnsi="Arial"/>
                <w:sz w:val="16"/>
                <w:szCs w:val="16"/>
                <w:color w:val="auto"/>
              </w:rPr>
              <w:t>Eastman Kodak Sarl</w:t>
            </w:r>
          </w:p>
        </w:tc>
        <w:tc>
          <w:tcPr>
            <w:tcW w:w="5580" w:type="dxa"/>
            <w:vAlign w:val="bottom"/>
            <w:tcBorders>
              <w:bottom w:val="single" w:sz="8" w:color="auto"/>
              <w:right w:val="single" w:sz="8" w:color="auto"/>
            </w:tcBorders>
            <w:shd w:val="clear" w:color="auto" w:fill="D9E2F3"/>
          </w:tcPr>
          <w:p>
            <w:pPr>
              <w:spacing w:after="0"/>
              <w:rPr>
                <w:sz w:val="16"/>
                <w:szCs w:val="16"/>
                <w:color w:val="auto"/>
              </w:rPr>
            </w:pPr>
          </w:p>
        </w:tc>
        <w:tc>
          <w:tcPr>
            <w:tcW w:w="860" w:type="dxa"/>
            <w:vAlign w:val="bottom"/>
            <w:tcBorders>
              <w:bottom w:val="single" w:sz="8" w:color="auto"/>
            </w:tcBorders>
            <w:gridSpan w:val="2"/>
            <w:shd w:val="clear" w:color="auto" w:fill="D9E2F3"/>
          </w:tcPr>
          <w:p>
            <w:pPr>
              <w:spacing w:after="0"/>
              <w:rPr>
                <w:sz w:val="20"/>
                <w:szCs w:val="20"/>
                <w:color w:val="auto"/>
              </w:rPr>
            </w:pPr>
            <w:r>
              <w:rPr>
                <w:rFonts w:ascii="Arial" w:cs="Arial" w:eastAsia="Arial" w:hAnsi="Arial"/>
                <w:sz w:val="16"/>
                <w:szCs w:val="16"/>
                <w:color w:val="auto"/>
              </w:rPr>
              <w:t>Switzerland</w:t>
            </w:r>
          </w:p>
        </w:tc>
      </w:tr>
      <w:tr>
        <w:trPr>
          <w:trHeight w:val="185"/>
        </w:trPr>
        <w:tc>
          <w:tcPr>
            <w:tcW w:w="50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Kodak Brasileira Comércio de Produtos para Imagem e Serviços Ltda.</w:t>
            </w:r>
          </w:p>
        </w:tc>
        <w:tc>
          <w:tcPr>
            <w:tcW w:w="5580" w:type="dxa"/>
            <w:vAlign w:val="bottom"/>
            <w:tcBorders>
              <w:bottom w:val="single" w:sz="8" w:color="auto"/>
              <w:right w:val="single" w:sz="8" w:color="auto"/>
            </w:tcBorders>
          </w:tcPr>
          <w:p>
            <w:pPr>
              <w:spacing w:after="0"/>
              <w:rPr>
                <w:sz w:val="16"/>
                <w:szCs w:val="16"/>
                <w:color w:val="auto"/>
              </w:rPr>
            </w:pPr>
          </w:p>
        </w:tc>
        <w:tc>
          <w:tcPr>
            <w:tcW w:w="86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Brazil</w:t>
            </w:r>
          </w:p>
        </w:tc>
      </w:tr>
      <w:tr>
        <w:trPr>
          <w:trHeight w:val="185"/>
        </w:trPr>
        <w:tc>
          <w:tcPr>
            <w:tcW w:w="5080" w:type="dxa"/>
            <w:vAlign w:val="bottom"/>
            <w:tcBorders>
              <w:bottom w:val="single" w:sz="8" w:color="auto"/>
            </w:tcBorders>
            <w:shd w:val="clear" w:color="auto" w:fill="D9E2F3"/>
          </w:tcPr>
          <w:p>
            <w:pPr>
              <w:spacing w:after="0"/>
              <w:rPr>
                <w:sz w:val="20"/>
                <w:szCs w:val="20"/>
                <w:color w:val="auto"/>
              </w:rPr>
            </w:pPr>
            <w:r>
              <w:rPr>
                <w:rFonts w:ascii="Arial" w:cs="Arial" w:eastAsia="Arial" w:hAnsi="Arial"/>
                <w:sz w:val="16"/>
                <w:szCs w:val="16"/>
                <w:color w:val="auto"/>
              </w:rPr>
              <w:t>Kodak Nederland B.V.</w:t>
            </w:r>
          </w:p>
        </w:tc>
        <w:tc>
          <w:tcPr>
            <w:tcW w:w="5580" w:type="dxa"/>
            <w:vAlign w:val="bottom"/>
            <w:tcBorders>
              <w:bottom w:val="single" w:sz="8" w:color="auto"/>
              <w:right w:val="single" w:sz="8" w:color="auto"/>
            </w:tcBorders>
            <w:shd w:val="clear" w:color="auto" w:fill="D9E2F3"/>
          </w:tcPr>
          <w:p>
            <w:pPr>
              <w:spacing w:after="0"/>
              <w:rPr>
                <w:sz w:val="16"/>
                <w:szCs w:val="16"/>
                <w:color w:val="auto"/>
              </w:rPr>
            </w:pPr>
          </w:p>
        </w:tc>
        <w:tc>
          <w:tcPr>
            <w:tcW w:w="860" w:type="dxa"/>
            <w:vAlign w:val="bottom"/>
            <w:tcBorders>
              <w:bottom w:val="single" w:sz="8" w:color="auto"/>
            </w:tcBorders>
            <w:gridSpan w:val="2"/>
            <w:shd w:val="clear" w:color="auto" w:fill="D9E2F3"/>
          </w:tcPr>
          <w:p>
            <w:pPr>
              <w:spacing w:after="0"/>
              <w:rPr>
                <w:sz w:val="20"/>
                <w:szCs w:val="20"/>
                <w:color w:val="auto"/>
              </w:rPr>
            </w:pPr>
            <w:r>
              <w:rPr>
                <w:rFonts w:ascii="Arial" w:cs="Arial" w:eastAsia="Arial" w:hAnsi="Arial"/>
                <w:sz w:val="16"/>
                <w:szCs w:val="16"/>
                <w:color w:val="auto"/>
                <w:w w:val="97"/>
              </w:rPr>
              <w:t>Netherlands</w:t>
            </w:r>
          </w:p>
        </w:tc>
      </w:tr>
      <w:tr>
        <w:trPr>
          <w:trHeight w:val="185"/>
        </w:trPr>
        <w:tc>
          <w:tcPr>
            <w:tcW w:w="50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Kodakit (Singapore) Pte. Ltd.</w:t>
            </w:r>
          </w:p>
        </w:tc>
        <w:tc>
          <w:tcPr>
            <w:tcW w:w="5580" w:type="dxa"/>
            <w:vAlign w:val="bottom"/>
            <w:tcBorders>
              <w:bottom w:val="single" w:sz="8" w:color="auto"/>
              <w:right w:val="single" w:sz="8" w:color="auto"/>
            </w:tcBorders>
          </w:tcPr>
          <w:p>
            <w:pPr>
              <w:spacing w:after="0"/>
              <w:rPr>
                <w:sz w:val="16"/>
                <w:szCs w:val="16"/>
                <w:color w:val="auto"/>
              </w:rPr>
            </w:pPr>
          </w:p>
        </w:tc>
        <w:tc>
          <w:tcPr>
            <w:tcW w:w="86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Singapore</w:t>
            </w:r>
          </w:p>
        </w:tc>
      </w:tr>
      <w:tr>
        <w:trPr>
          <w:trHeight w:val="185"/>
        </w:trPr>
        <w:tc>
          <w:tcPr>
            <w:tcW w:w="5080" w:type="dxa"/>
            <w:vAlign w:val="bottom"/>
            <w:tcBorders>
              <w:bottom w:val="single" w:sz="8" w:color="auto"/>
            </w:tcBorders>
            <w:shd w:val="clear" w:color="auto" w:fill="D9E2F3"/>
          </w:tcPr>
          <w:p>
            <w:pPr>
              <w:spacing w:after="0"/>
              <w:rPr>
                <w:sz w:val="20"/>
                <w:szCs w:val="20"/>
                <w:color w:val="auto"/>
              </w:rPr>
            </w:pPr>
            <w:r>
              <w:rPr>
                <w:rFonts w:ascii="Arial" w:cs="Arial" w:eastAsia="Arial" w:hAnsi="Arial"/>
                <w:sz w:val="16"/>
                <w:szCs w:val="16"/>
                <w:color w:val="auto"/>
              </w:rPr>
              <w:t>Kodakit SAS</w:t>
            </w:r>
          </w:p>
        </w:tc>
        <w:tc>
          <w:tcPr>
            <w:tcW w:w="5580" w:type="dxa"/>
            <w:vAlign w:val="bottom"/>
            <w:tcBorders>
              <w:bottom w:val="single" w:sz="8" w:color="auto"/>
              <w:right w:val="single" w:sz="8" w:color="auto"/>
            </w:tcBorders>
            <w:shd w:val="clear" w:color="auto" w:fill="D9E2F3"/>
          </w:tcPr>
          <w:p>
            <w:pPr>
              <w:spacing w:after="0"/>
              <w:rPr>
                <w:sz w:val="16"/>
                <w:szCs w:val="16"/>
                <w:color w:val="auto"/>
              </w:rPr>
            </w:pPr>
          </w:p>
        </w:tc>
        <w:tc>
          <w:tcPr>
            <w:tcW w:w="860" w:type="dxa"/>
            <w:vAlign w:val="bottom"/>
            <w:tcBorders>
              <w:bottom w:val="single" w:sz="8" w:color="auto"/>
            </w:tcBorders>
            <w:gridSpan w:val="2"/>
            <w:shd w:val="clear" w:color="auto" w:fill="D9E2F3"/>
          </w:tcPr>
          <w:p>
            <w:pPr>
              <w:spacing w:after="0"/>
              <w:rPr>
                <w:sz w:val="20"/>
                <w:szCs w:val="20"/>
                <w:color w:val="auto"/>
              </w:rPr>
            </w:pPr>
            <w:r>
              <w:rPr>
                <w:rFonts w:ascii="Arial" w:cs="Arial" w:eastAsia="Arial" w:hAnsi="Arial"/>
                <w:sz w:val="16"/>
                <w:szCs w:val="16"/>
                <w:color w:val="auto"/>
              </w:rPr>
              <w:t>France</w:t>
            </w:r>
          </w:p>
        </w:tc>
      </w:tr>
      <w:tr>
        <w:trPr>
          <w:trHeight w:val="185"/>
        </w:trPr>
        <w:tc>
          <w:tcPr>
            <w:tcW w:w="50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Kodakit UK Limited</w:t>
            </w:r>
          </w:p>
        </w:tc>
        <w:tc>
          <w:tcPr>
            <w:tcW w:w="5580" w:type="dxa"/>
            <w:vAlign w:val="bottom"/>
            <w:tcBorders>
              <w:bottom w:val="single" w:sz="8" w:color="auto"/>
              <w:right w:val="single" w:sz="8" w:color="auto"/>
            </w:tcBorders>
          </w:tcPr>
          <w:p>
            <w:pPr>
              <w:spacing w:after="0"/>
              <w:rPr>
                <w:sz w:val="16"/>
                <w:szCs w:val="16"/>
                <w:color w:val="auto"/>
              </w:rPr>
            </w:pPr>
          </w:p>
        </w:tc>
        <w:tc>
          <w:tcPr>
            <w:tcW w:w="86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w w:val="91"/>
              </w:rPr>
              <w:t>United Kingd</w:t>
            </w:r>
          </w:p>
        </w:tc>
      </w:tr>
      <w:tr>
        <w:trPr>
          <w:trHeight w:val="185"/>
        </w:trPr>
        <w:tc>
          <w:tcPr>
            <w:tcW w:w="5080" w:type="dxa"/>
            <w:vAlign w:val="bottom"/>
            <w:tcBorders>
              <w:bottom w:val="single" w:sz="8" w:color="auto"/>
            </w:tcBorders>
            <w:shd w:val="clear" w:color="auto" w:fill="D9E2F3"/>
          </w:tcPr>
          <w:p>
            <w:pPr>
              <w:spacing w:after="0"/>
              <w:rPr>
                <w:sz w:val="20"/>
                <w:szCs w:val="20"/>
                <w:color w:val="auto"/>
              </w:rPr>
            </w:pPr>
            <w:r>
              <w:rPr>
                <w:rFonts w:ascii="Arial" w:cs="Arial" w:eastAsia="Arial" w:hAnsi="Arial"/>
                <w:sz w:val="16"/>
                <w:szCs w:val="16"/>
                <w:color w:val="auto"/>
              </w:rPr>
              <w:t>Eastman Kodak International Capital Company, Inc.</w:t>
            </w:r>
          </w:p>
        </w:tc>
        <w:tc>
          <w:tcPr>
            <w:tcW w:w="5580" w:type="dxa"/>
            <w:vAlign w:val="bottom"/>
            <w:tcBorders>
              <w:bottom w:val="single" w:sz="8" w:color="auto"/>
              <w:right w:val="single" w:sz="8" w:color="auto"/>
            </w:tcBorders>
            <w:shd w:val="clear" w:color="auto" w:fill="D9E2F3"/>
          </w:tcPr>
          <w:p>
            <w:pPr>
              <w:spacing w:after="0"/>
              <w:rPr>
                <w:sz w:val="16"/>
                <w:szCs w:val="16"/>
                <w:color w:val="auto"/>
              </w:rPr>
            </w:pPr>
          </w:p>
        </w:tc>
        <w:tc>
          <w:tcPr>
            <w:tcW w:w="860" w:type="dxa"/>
            <w:vAlign w:val="bottom"/>
            <w:tcBorders>
              <w:bottom w:val="single" w:sz="8" w:color="auto"/>
            </w:tcBorders>
            <w:gridSpan w:val="2"/>
            <w:shd w:val="clear" w:color="auto" w:fill="D9E2F3"/>
          </w:tcPr>
          <w:p>
            <w:pPr>
              <w:spacing w:after="0"/>
              <w:rPr>
                <w:sz w:val="20"/>
                <w:szCs w:val="20"/>
                <w:color w:val="auto"/>
              </w:rPr>
            </w:pPr>
            <w:r>
              <w:rPr>
                <w:rFonts w:ascii="Arial" w:cs="Arial" w:eastAsia="Arial" w:hAnsi="Arial"/>
                <w:sz w:val="16"/>
                <w:szCs w:val="16"/>
                <w:color w:val="auto"/>
              </w:rPr>
              <w:t>Delaware</w:t>
            </w:r>
          </w:p>
        </w:tc>
      </w:tr>
      <w:tr>
        <w:trPr>
          <w:trHeight w:val="185"/>
        </w:trPr>
        <w:tc>
          <w:tcPr>
            <w:tcW w:w="50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Kodak de Mexico S.A. de C.V.</w:t>
            </w:r>
          </w:p>
        </w:tc>
        <w:tc>
          <w:tcPr>
            <w:tcW w:w="5580" w:type="dxa"/>
            <w:vAlign w:val="bottom"/>
            <w:tcBorders>
              <w:bottom w:val="single" w:sz="8" w:color="auto"/>
              <w:right w:val="single" w:sz="8" w:color="auto"/>
            </w:tcBorders>
          </w:tcPr>
          <w:p>
            <w:pPr>
              <w:spacing w:after="0"/>
              <w:rPr>
                <w:sz w:val="16"/>
                <w:szCs w:val="16"/>
                <w:color w:val="auto"/>
              </w:rPr>
            </w:pPr>
          </w:p>
        </w:tc>
        <w:tc>
          <w:tcPr>
            <w:tcW w:w="86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Mexico</w:t>
            </w:r>
          </w:p>
        </w:tc>
      </w:tr>
      <w:tr>
        <w:trPr>
          <w:trHeight w:val="185"/>
        </w:trPr>
        <w:tc>
          <w:tcPr>
            <w:tcW w:w="5080" w:type="dxa"/>
            <w:vAlign w:val="bottom"/>
            <w:tcBorders>
              <w:bottom w:val="single" w:sz="8" w:color="auto"/>
            </w:tcBorders>
            <w:shd w:val="clear" w:color="auto" w:fill="D9E2F3"/>
          </w:tcPr>
          <w:p>
            <w:pPr>
              <w:spacing w:after="0"/>
              <w:rPr>
                <w:sz w:val="20"/>
                <w:szCs w:val="20"/>
                <w:color w:val="auto"/>
              </w:rPr>
            </w:pPr>
            <w:r>
              <w:rPr>
                <w:rFonts w:ascii="Arial" w:cs="Arial" w:eastAsia="Arial" w:hAnsi="Arial"/>
                <w:sz w:val="16"/>
                <w:szCs w:val="16"/>
                <w:color w:val="auto"/>
              </w:rPr>
              <w:t>Kodak Mexicana S.A.de C.V.</w:t>
            </w:r>
          </w:p>
        </w:tc>
        <w:tc>
          <w:tcPr>
            <w:tcW w:w="5580" w:type="dxa"/>
            <w:vAlign w:val="bottom"/>
            <w:tcBorders>
              <w:bottom w:val="single" w:sz="8" w:color="auto"/>
              <w:right w:val="single" w:sz="8" w:color="auto"/>
            </w:tcBorders>
            <w:shd w:val="clear" w:color="auto" w:fill="D9E2F3"/>
          </w:tcPr>
          <w:p>
            <w:pPr>
              <w:spacing w:after="0"/>
              <w:rPr>
                <w:sz w:val="16"/>
                <w:szCs w:val="16"/>
                <w:color w:val="auto"/>
              </w:rPr>
            </w:pPr>
          </w:p>
        </w:tc>
        <w:tc>
          <w:tcPr>
            <w:tcW w:w="860" w:type="dxa"/>
            <w:vAlign w:val="bottom"/>
            <w:tcBorders>
              <w:bottom w:val="single" w:sz="8" w:color="auto"/>
            </w:tcBorders>
            <w:gridSpan w:val="2"/>
            <w:shd w:val="clear" w:color="auto" w:fill="D9E2F3"/>
          </w:tcPr>
          <w:p>
            <w:pPr>
              <w:spacing w:after="0"/>
              <w:rPr>
                <w:sz w:val="20"/>
                <w:szCs w:val="20"/>
                <w:color w:val="auto"/>
              </w:rPr>
            </w:pPr>
            <w:r>
              <w:rPr>
                <w:rFonts w:ascii="Arial" w:cs="Arial" w:eastAsia="Arial" w:hAnsi="Arial"/>
                <w:sz w:val="16"/>
                <w:szCs w:val="16"/>
                <w:color w:val="auto"/>
              </w:rPr>
              <w:t>Mexico</w:t>
            </w:r>
          </w:p>
        </w:tc>
      </w:tr>
      <w:tr>
        <w:trPr>
          <w:trHeight w:val="185"/>
        </w:trPr>
        <w:tc>
          <w:tcPr>
            <w:tcW w:w="50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Kodak de Colombia, SAS</w:t>
            </w:r>
          </w:p>
        </w:tc>
        <w:tc>
          <w:tcPr>
            <w:tcW w:w="5580" w:type="dxa"/>
            <w:vAlign w:val="bottom"/>
            <w:tcBorders>
              <w:bottom w:val="single" w:sz="8" w:color="auto"/>
              <w:right w:val="single" w:sz="8" w:color="auto"/>
            </w:tcBorders>
          </w:tcPr>
          <w:p>
            <w:pPr>
              <w:spacing w:after="0"/>
              <w:rPr>
                <w:sz w:val="16"/>
                <w:szCs w:val="16"/>
                <w:color w:val="auto"/>
              </w:rPr>
            </w:pPr>
          </w:p>
        </w:tc>
        <w:tc>
          <w:tcPr>
            <w:tcW w:w="86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Columbia</w:t>
            </w:r>
          </w:p>
        </w:tc>
      </w:tr>
      <w:tr>
        <w:trPr>
          <w:trHeight w:val="185"/>
        </w:trPr>
        <w:tc>
          <w:tcPr>
            <w:tcW w:w="5080" w:type="dxa"/>
            <w:vAlign w:val="bottom"/>
            <w:tcBorders>
              <w:bottom w:val="single" w:sz="8" w:color="auto"/>
            </w:tcBorders>
            <w:shd w:val="clear" w:color="auto" w:fill="D9E2F3"/>
          </w:tcPr>
          <w:p>
            <w:pPr>
              <w:spacing w:after="0"/>
              <w:rPr>
                <w:sz w:val="20"/>
                <w:szCs w:val="20"/>
                <w:color w:val="auto"/>
              </w:rPr>
            </w:pPr>
            <w:r>
              <w:rPr>
                <w:rFonts w:ascii="Arial" w:cs="Arial" w:eastAsia="Arial" w:hAnsi="Arial"/>
                <w:sz w:val="16"/>
                <w:szCs w:val="16"/>
                <w:color w:val="auto"/>
              </w:rPr>
              <w:t>Kodak A/S</w:t>
            </w:r>
          </w:p>
        </w:tc>
        <w:tc>
          <w:tcPr>
            <w:tcW w:w="5580" w:type="dxa"/>
            <w:vAlign w:val="bottom"/>
            <w:tcBorders>
              <w:bottom w:val="single" w:sz="8" w:color="auto"/>
              <w:right w:val="single" w:sz="8" w:color="auto"/>
            </w:tcBorders>
            <w:shd w:val="clear" w:color="auto" w:fill="D9E2F3"/>
          </w:tcPr>
          <w:p>
            <w:pPr>
              <w:spacing w:after="0"/>
              <w:rPr>
                <w:sz w:val="16"/>
                <w:szCs w:val="16"/>
                <w:color w:val="auto"/>
              </w:rPr>
            </w:pPr>
          </w:p>
        </w:tc>
        <w:tc>
          <w:tcPr>
            <w:tcW w:w="860" w:type="dxa"/>
            <w:vAlign w:val="bottom"/>
            <w:tcBorders>
              <w:bottom w:val="single" w:sz="8" w:color="auto"/>
            </w:tcBorders>
            <w:gridSpan w:val="2"/>
            <w:shd w:val="clear" w:color="auto" w:fill="D9E2F3"/>
          </w:tcPr>
          <w:p>
            <w:pPr>
              <w:spacing w:after="0"/>
              <w:rPr>
                <w:sz w:val="20"/>
                <w:szCs w:val="20"/>
                <w:color w:val="auto"/>
              </w:rPr>
            </w:pPr>
            <w:r>
              <w:rPr>
                <w:rFonts w:ascii="Arial" w:cs="Arial" w:eastAsia="Arial" w:hAnsi="Arial"/>
                <w:sz w:val="16"/>
                <w:szCs w:val="16"/>
                <w:color w:val="auto"/>
              </w:rPr>
              <w:t>Denmark</w:t>
            </w:r>
          </w:p>
        </w:tc>
      </w:tr>
      <w:tr>
        <w:trPr>
          <w:trHeight w:val="185"/>
        </w:trPr>
        <w:tc>
          <w:tcPr>
            <w:tcW w:w="50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Kodak SA/NV</w:t>
            </w:r>
          </w:p>
        </w:tc>
        <w:tc>
          <w:tcPr>
            <w:tcW w:w="5580" w:type="dxa"/>
            <w:vAlign w:val="bottom"/>
            <w:tcBorders>
              <w:bottom w:val="single" w:sz="8" w:color="auto"/>
              <w:right w:val="single" w:sz="8" w:color="auto"/>
            </w:tcBorders>
          </w:tcPr>
          <w:p>
            <w:pPr>
              <w:spacing w:after="0"/>
              <w:rPr>
                <w:sz w:val="16"/>
                <w:szCs w:val="16"/>
                <w:color w:val="auto"/>
              </w:rPr>
            </w:pPr>
          </w:p>
        </w:tc>
        <w:tc>
          <w:tcPr>
            <w:tcW w:w="86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Belgium</w:t>
            </w:r>
          </w:p>
        </w:tc>
      </w:tr>
      <w:tr>
        <w:trPr>
          <w:trHeight w:val="185"/>
        </w:trPr>
        <w:tc>
          <w:tcPr>
            <w:tcW w:w="5080" w:type="dxa"/>
            <w:vAlign w:val="bottom"/>
            <w:tcBorders>
              <w:bottom w:val="single" w:sz="8" w:color="auto"/>
            </w:tcBorders>
            <w:shd w:val="clear" w:color="auto" w:fill="D9E2F3"/>
          </w:tcPr>
          <w:p>
            <w:pPr>
              <w:spacing w:after="0"/>
              <w:rPr>
                <w:sz w:val="20"/>
                <w:szCs w:val="20"/>
                <w:color w:val="auto"/>
              </w:rPr>
            </w:pPr>
            <w:r>
              <w:rPr>
                <w:rFonts w:ascii="Arial" w:cs="Arial" w:eastAsia="Arial" w:hAnsi="Arial"/>
                <w:sz w:val="16"/>
                <w:szCs w:val="16"/>
                <w:color w:val="auto"/>
              </w:rPr>
              <w:t>Kodak Societe Anonyme</w:t>
            </w:r>
          </w:p>
        </w:tc>
        <w:tc>
          <w:tcPr>
            <w:tcW w:w="5580" w:type="dxa"/>
            <w:vAlign w:val="bottom"/>
            <w:tcBorders>
              <w:bottom w:val="single" w:sz="8" w:color="auto"/>
              <w:right w:val="single" w:sz="8" w:color="auto"/>
            </w:tcBorders>
            <w:shd w:val="clear" w:color="auto" w:fill="D9E2F3"/>
          </w:tcPr>
          <w:p>
            <w:pPr>
              <w:spacing w:after="0"/>
              <w:rPr>
                <w:sz w:val="16"/>
                <w:szCs w:val="16"/>
                <w:color w:val="auto"/>
              </w:rPr>
            </w:pPr>
          </w:p>
        </w:tc>
        <w:tc>
          <w:tcPr>
            <w:tcW w:w="860" w:type="dxa"/>
            <w:vAlign w:val="bottom"/>
            <w:tcBorders>
              <w:bottom w:val="single" w:sz="8" w:color="auto"/>
            </w:tcBorders>
            <w:gridSpan w:val="2"/>
            <w:shd w:val="clear" w:color="auto" w:fill="D9E2F3"/>
          </w:tcPr>
          <w:p>
            <w:pPr>
              <w:spacing w:after="0"/>
              <w:rPr>
                <w:sz w:val="20"/>
                <w:szCs w:val="20"/>
                <w:color w:val="auto"/>
              </w:rPr>
            </w:pPr>
            <w:r>
              <w:rPr>
                <w:rFonts w:ascii="Arial" w:cs="Arial" w:eastAsia="Arial" w:hAnsi="Arial"/>
                <w:sz w:val="16"/>
                <w:szCs w:val="16"/>
                <w:color w:val="auto"/>
              </w:rPr>
              <w:t>Switzerland</w:t>
            </w:r>
          </w:p>
        </w:tc>
      </w:tr>
      <w:tr>
        <w:trPr>
          <w:trHeight w:val="185"/>
        </w:trPr>
        <w:tc>
          <w:tcPr>
            <w:tcW w:w="50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Kodak (Thailand) Limited</w:t>
            </w:r>
          </w:p>
        </w:tc>
        <w:tc>
          <w:tcPr>
            <w:tcW w:w="5580" w:type="dxa"/>
            <w:vAlign w:val="bottom"/>
            <w:tcBorders>
              <w:bottom w:val="single" w:sz="8" w:color="auto"/>
              <w:right w:val="single" w:sz="8" w:color="auto"/>
            </w:tcBorders>
          </w:tcPr>
          <w:p>
            <w:pPr>
              <w:spacing w:after="0"/>
              <w:rPr>
                <w:sz w:val="16"/>
                <w:szCs w:val="16"/>
                <w:color w:val="auto"/>
              </w:rPr>
            </w:pPr>
          </w:p>
        </w:tc>
        <w:tc>
          <w:tcPr>
            <w:tcW w:w="86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Thailand</w:t>
            </w:r>
          </w:p>
        </w:tc>
      </w:tr>
      <w:tr>
        <w:trPr>
          <w:trHeight w:val="185"/>
        </w:trPr>
        <w:tc>
          <w:tcPr>
            <w:tcW w:w="5080" w:type="dxa"/>
            <w:vAlign w:val="bottom"/>
            <w:tcBorders>
              <w:bottom w:val="single" w:sz="8" w:color="auto"/>
            </w:tcBorders>
            <w:shd w:val="clear" w:color="auto" w:fill="D9E2F3"/>
          </w:tcPr>
          <w:p>
            <w:pPr>
              <w:spacing w:after="0"/>
              <w:rPr>
                <w:sz w:val="20"/>
                <w:szCs w:val="20"/>
                <w:color w:val="auto"/>
              </w:rPr>
            </w:pPr>
            <w:r>
              <w:rPr>
                <w:rFonts w:ascii="Arial" w:cs="Arial" w:eastAsia="Arial" w:hAnsi="Arial"/>
                <w:sz w:val="16"/>
                <w:szCs w:val="16"/>
                <w:color w:val="auto"/>
              </w:rPr>
              <w:t>Far East Development Ltd</w:t>
            </w:r>
          </w:p>
        </w:tc>
        <w:tc>
          <w:tcPr>
            <w:tcW w:w="5580" w:type="dxa"/>
            <w:vAlign w:val="bottom"/>
            <w:tcBorders>
              <w:bottom w:val="single" w:sz="8" w:color="auto"/>
              <w:right w:val="single" w:sz="8" w:color="auto"/>
            </w:tcBorders>
            <w:shd w:val="clear" w:color="auto" w:fill="D9E2F3"/>
          </w:tcPr>
          <w:p>
            <w:pPr>
              <w:spacing w:after="0"/>
              <w:rPr>
                <w:sz w:val="16"/>
                <w:szCs w:val="16"/>
                <w:color w:val="auto"/>
              </w:rPr>
            </w:pPr>
          </w:p>
        </w:tc>
        <w:tc>
          <w:tcPr>
            <w:tcW w:w="860" w:type="dxa"/>
            <w:vAlign w:val="bottom"/>
            <w:tcBorders>
              <w:bottom w:val="single" w:sz="8" w:color="auto"/>
            </w:tcBorders>
            <w:gridSpan w:val="2"/>
            <w:shd w:val="clear" w:color="auto" w:fill="D9E2F3"/>
          </w:tcPr>
          <w:p>
            <w:pPr>
              <w:spacing w:after="0"/>
              <w:rPr>
                <w:sz w:val="20"/>
                <w:szCs w:val="20"/>
                <w:color w:val="auto"/>
              </w:rPr>
            </w:pPr>
            <w:r>
              <w:rPr>
                <w:rFonts w:ascii="Arial" w:cs="Arial" w:eastAsia="Arial" w:hAnsi="Arial"/>
                <w:sz w:val="16"/>
                <w:szCs w:val="16"/>
                <w:color w:val="auto"/>
              </w:rPr>
              <w:t>Delaware</w:t>
            </w:r>
          </w:p>
        </w:tc>
      </w:tr>
      <w:tr>
        <w:trPr>
          <w:trHeight w:val="185"/>
        </w:trPr>
        <w:tc>
          <w:tcPr>
            <w:tcW w:w="50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FPC Inc.</w:t>
            </w:r>
          </w:p>
        </w:tc>
        <w:tc>
          <w:tcPr>
            <w:tcW w:w="5580" w:type="dxa"/>
            <w:vAlign w:val="bottom"/>
            <w:tcBorders>
              <w:bottom w:val="single" w:sz="8" w:color="auto"/>
              <w:right w:val="single" w:sz="8" w:color="auto"/>
            </w:tcBorders>
          </w:tcPr>
          <w:p>
            <w:pPr>
              <w:spacing w:after="0"/>
              <w:rPr>
                <w:sz w:val="16"/>
                <w:szCs w:val="16"/>
                <w:color w:val="auto"/>
              </w:rPr>
            </w:pPr>
          </w:p>
        </w:tc>
        <w:tc>
          <w:tcPr>
            <w:tcW w:w="86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California</w:t>
            </w:r>
          </w:p>
        </w:tc>
      </w:tr>
      <w:tr>
        <w:trPr>
          <w:trHeight w:val="185"/>
        </w:trPr>
        <w:tc>
          <w:tcPr>
            <w:tcW w:w="5080" w:type="dxa"/>
            <w:vAlign w:val="bottom"/>
            <w:tcBorders>
              <w:bottom w:val="single" w:sz="8" w:color="auto"/>
            </w:tcBorders>
            <w:shd w:val="clear" w:color="auto" w:fill="D9E2F3"/>
          </w:tcPr>
          <w:p>
            <w:pPr>
              <w:spacing w:after="0"/>
              <w:rPr>
                <w:sz w:val="20"/>
                <w:szCs w:val="20"/>
                <w:color w:val="auto"/>
              </w:rPr>
            </w:pPr>
            <w:r>
              <w:rPr>
                <w:rFonts w:ascii="Arial" w:cs="Arial" w:eastAsia="Arial" w:hAnsi="Arial"/>
                <w:sz w:val="16"/>
                <w:szCs w:val="16"/>
                <w:color w:val="auto"/>
              </w:rPr>
              <w:t>Kodak</w:t>
            </w:r>
          </w:p>
        </w:tc>
        <w:tc>
          <w:tcPr>
            <w:tcW w:w="5580" w:type="dxa"/>
            <w:vAlign w:val="bottom"/>
            <w:tcBorders>
              <w:bottom w:val="single" w:sz="8" w:color="auto"/>
              <w:right w:val="single" w:sz="8" w:color="auto"/>
            </w:tcBorders>
            <w:shd w:val="clear" w:color="auto" w:fill="D9E2F3"/>
          </w:tcPr>
          <w:p>
            <w:pPr>
              <w:spacing w:after="0"/>
              <w:rPr>
                <w:sz w:val="16"/>
                <w:szCs w:val="16"/>
                <w:color w:val="auto"/>
              </w:rPr>
            </w:pPr>
          </w:p>
        </w:tc>
        <w:tc>
          <w:tcPr>
            <w:tcW w:w="860" w:type="dxa"/>
            <w:vAlign w:val="bottom"/>
            <w:tcBorders>
              <w:bottom w:val="single" w:sz="8" w:color="auto"/>
            </w:tcBorders>
            <w:gridSpan w:val="2"/>
            <w:shd w:val="clear" w:color="auto" w:fill="D9E2F3"/>
          </w:tcPr>
          <w:p>
            <w:pPr>
              <w:spacing w:after="0"/>
              <w:rPr>
                <w:sz w:val="20"/>
                <w:szCs w:val="20"/>
                <w:color w:val="auto"/>
              </w:rPr>
            </w:pPr>
            <w:r>
              <w:rPr>
                <w:rFonts w:ascii="Arial" w:cs="Arial" w:eastAsia="Arial" w:hAnsi="Arial"/>
                <w:sz w:val="16"/>
                <w:szCs w:val="16"/>
                <w:color w:val="auto"/>
              </w:rPr>
              <w:t>France</w:t>
            </w:r>
          </w:p>
        </w:tc>
      </w:tr>
      <w:tr>
        <w:trPr>
          <w:trHeight w:val="185"/>
        </w:trPr>
        <w:tc>
          <w:tcPr>
            <w:tcW w:w="50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Laboratories Kodak S.A.S.</w:t>
            </w:r>
          </w:p>
        </w:tc>
        <w:tc>
          <w:tcPr>
            <w:tcW w:w="5580" w:type="dxa"/>
            <w:vAlign w:val="bottom"/>
            <w:tcBorders>
              <w:bottom w:val="single" w:sz="8" w:color="auto"/>
              <w:right w:val="single" w:sz="8" w:color="auto"/>
            </w:tcBorders>
          </w:tcPr>
          <w:p>
            <w:pPr>
              <w:spacing w:after="0"/>
              <w:rPr>
                <w:sz w:val="16"/>
                <w:szCs w:val="16"/>
                <w:color w:val="auto"/>
              </w:rPr>
            </w:pPr>
          </w:p>
        </w:tc>
        <w:tc>
          <w:tcPr>
            <w:tcW w:w="86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France</w:t>
            </w:r>
          </w:p>
        </w:tc>
      </w:tr>
      <w:tr>
        <w:trPr>
          <w:trHeight w:val="185"/>
        </w:trPr>
        <w:tc>
          <w:tcPr>
            <w:tcW w:w="5080" w:type="dxa"/>
            <w:vAlign w:val="bottom"/>
            <w:tcBorders>
              <w:bottom w:val="single" w:sz="8" w:color="auto"/>
            </w:tcBorders>
            <w:shd w:val="clear" w:color="auto" w:fill="D9E2F3"/>
          </w:tcPr>
          <w:p>
            <w:pPr>
              <w:spacing w:after="0"/>
              <w:rPr>
                <w:sz w:val="20"/>
                <w:szCs w:val="20"/>
                <w:color w:val="auto"/>
              </w:rPr>
            </w:pPr>
            <w:r>
              <w:rPr>
                <w:rFonts w:ascii="Arial" w:cs="Arial" w:eastAsia="Arial" w:hAnsi="Arial"/>
                <w:sz w:val="16"/>
                <w:szCs w:val="16"/>
                <w:color w:val="auto"/>
              </w:rPr>
              <w:t>Kodak Al Zayani, LLC</w:t>
            </w:r>
          </w:p>
        </w:tc>
        <w:tc>
          <w:tcPr>
            <w:tcW w:w="5580" w:type="dxa"/>
            <w:vAlign w:val="bottom"/>
            <w:tcBorders>
              <w:bottom w:val="single" w:sz="8" w:color="auto"/>
              <w:right w:val="single" w:sz="8" w:color="auto"/>
            </w:tcBorders>
            <w:shd w:val="clear" w:color="auto" w:fill="D9E2F3"/>
          </w:tcPr>
          <w:p>
            <w:pPr>
              <w:spacing w:after="0"/>
              <w:rPr>
                <w:sz w:val="16"/>
                <w:szCs w:val="16"/>
                <w:color w:val="auto"/>
              </w:rPr>
            </w:pPr>
          </w:p>
        </w:tc>
        <w:tc>
          <w:tcPr>
            <w:tcW w:w="860" w:type="dxa"/>
            <w:vAlign w:val="bottom"/>
            <w:tcBorders>
              <w:bottom w:val="single" w:sz="8" w:color="auto"/>
            </w:tcBorders>
            <w:gridSpan w:val="2"/>
            <w:shd w:val="clear" w:color="auto" w:fill="D9E2F3"/>
          </w:tcPr>
          <w:p>
            <w:pPr>
              <w:spacing w:after="0"/>
              <w:rPr>
                <w:sz w:val="20"/>
                <w:szCs w:val="20"/>
                <w:color w:val="auto"/>
              </w:rPr>
            </w:pPr>
            <w:r>
              <w:rPr>
                <w:rFonts w:ascii="Arial" w:cs="Arial" w:eastAsia="Arial" w:hAnsi="Arial"/>
                <w:sz w:val="16"/>
                <w:szCs w:val="16"/>
                <w:color w:val="auto"/>
              </w:rPr>
              <w:t>Delaware</w:t>
            </w:r>
          </w:p>
        </w:tc>
      </w:tr>
      <w:tr>
        <w:trPr>
          <w:trHeight w:val="185"/>
        </w:trPr>
        <w:tc>
          <w:tcPr>
            <w:tcW w:w="50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Kodak Americas, Ltd.</w:t>
            </w:r>
          </w:p>
        </w:tc>
        <w:tc>
          <w:tcPr>
            <w:tcW w:w="5580" w:type="dxa"/>
            <w:vAlign w:val="bottom"/>
            <w:tcBorders>
              <w:bottom w:val="single" w:sz="8" w:color="auto"/>
              <w:right w:val="single" w:sz="8" w:color="auto"/>
            </w:tcBorders>
          </w:tcPr>
          <w:p>
            <w:pPr>
              <w:spacing w:after="0"/>
              <w:rPr>
                <w:sz w:val="16"/>
                <w:szCs w:val="16"/>
                <w:color w:val="auto"/>
              </w:rPr>
            </w:pPr>
          </w:p>
        </w:tc>
        <w:tc>
          <w:tcPr>
            <w:tcW w:w="86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New York</w:t>
            </w:r>
          </w:p>
        </w:tc>
      </w:tr>
      <w:tr>
        <w:trPr>
          <w:trHeight w:val="185"/>
        </w:trPr>
        <w:tc>
          <w:tcPr>
            <w:tcW w:w="5080" w:type="dxa"/>
            <w:vAlign w:val="bottom"/>
            <w:tcBorders>
              <w:bottom w:val="single" w:sz="8" w:color="auto"/>
            </w:tcBorders>
            <w:shd w:val="clear" w:color="auto" w:fill="D9E2F3"/>
          </w:tcPr>
          <w:p>
            <w:pPr>
              <w:spacing w:after="0"/>
              <w:rPr>
                <w:sz w:val="20"/>
                <w:szCs w:val="20"/>
                <w:color w:val="auto"/>
              </w:rPr>
            </w:pPr>
            <w:r>
              <w:rPr>
                <w:rFonts w:ascii="Arial" w:cs="Arial" w:eastAsia="Arial" w:hAnsi="Arial"/>
                <w:sz w:val="16"/>
                <w:szCs w:val="16"/>
                <w:color w:val="auto"/>
              </w:rPr>
              <w:t>Kodak Argentina S.A.I.C.</w:t>
            </w:r>
          </w:p>
        </w:tc>
        <w:tc>
          <w:tcPr>
            <w:tcW w:w="5580" w:type="dxa"/>
            <w:vAlign w:val="bottom"/>
            <w:tcBorders>
              <w:bottom w:val="single" w:sz="8" w:color="auto"/>
              <w:right w:val="single" w:sz="8" w:color="auto"/>
            </w:tcBorders>
            <w:shd w:val="clear" w:color="auto" w:fill="D9E2F3"/>
          </w:tcPr>
          <w:p>
            <w:pPr>
              <w:spacing w:after="0"/>
              <w:rPr>
                <w:sz w:val="16"/>
                <w:szCs w:val="16"/>
                <w:color w:val="auto"/>
              </w:rPr>
            </w:pPr>
          </w:p>
        </w:tc>
        <w:tc>
          <w:tcPr>
            <w:tcW w:w="860" w:type="dxa"/>
            <w:vAlign w:val="bottom"/>
            <w:tcBorders>
              <w:bottom w:val="single" w:sz="8" w:color="auto"/>
            </w:tcBorders>
            <w:gridSpan w:val="2"/>
            <w:shd w:val="clear" w:color="auto" w:fill="D9E2F3"/>
          </w:tcPr>
          <w:p>
            <w:pPr>
              <w:spacing w:after="0"/>
              <w:rPr>
                <w:sz w:val="20"/>
                <w:szCs w:val="20"/>
                <w:color w:val="auto"/>
              </w:rPr>
            </w:pPr>
            <w:r>
              <w:rPr>
                <w:rFonts w:ascii="Arial" w:cs="Arial" w:eastAsia="Arial" w:hAnsi="Arial"/>
                <w:sz w:val="16"/>
                <w:szCs w:val="16"/>
                <w:color w:val="auto"/>
              </w:rPr>
              <w:t>Argentina</w:t>
            </w:r>
          </w:p>
        </w:tc>
      </w:tr>
      <w:tr>
        <w:trPr>
          <w:trHeight w:val="185"/>
        </w:trPr>
        <w:tc>
          <w:tcPr>
            <w:tcW w:w="50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Kodak (Australasia) Pty. Ltd.</w:t>
            </w:r>
          </w:p>
        </w:tc>
        <w:tc>
          <w:tcPr>
            <w:tcW w:w="5580" w:type="dxa"/>
            <w:vAlign w:val="bottom"/>
            <w:tcBorders>
              <w:bottom w:val="single" w:sz="8" w:color="auto"/>
              <w:right w:val="single" w:sz="8" w:color="auto"/>
            </w:tcBorders>
          </w:tcPr>
          <w:p>
            <w:pPr>
              <w:spacing w:after="0"/>
              <w:rPr>
                <w:sz w:val="16"/>
                <w:szCs w:val="16"/>
                <w:color w:val="auto"/>
              </w:rPr>
            </w:pPr>
          </w:p>
        </w:tc>
        <w:tc>
          <w:tcPr>
            <w:tcW w:w="86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Australia</w:t>
            </w:r>
          </w:p>
        </w:tc>
      </w:tr>
      <w:tr>
        <w:trPr>
          <w:trHeight w:val="185"/>
        </w:trPr>
        <w:tc>
          <w:tcPr>
            <w:tcW w:w="5080" w:type="dxa"/>
            <w:vAlign w:val="bottom"/>
            <w:tcBorders>
              <w:bottom w:val="single" w:sz="8" w:color="auto"/>
            </w:tcBorders>
            <w:shd w:val="clear" w:color="auto" w:fill="D9E2F3"/>
          </w:tcPr>
          <w:p>
            <w:pPr>
              <w:spacing w:after="0"/>
              <w:rPr>
                <w:sz w:val="20"/>
                <w:szCs w:val="20"/>
                <w:color w:val="auto"/>
              </w:rPr>
            </w:pPr>
            <w:r>
              <w:rPr>
                <w:rFonts w:ascii="Arial" w:cs="Arial" w:eastAsia="Arial" w:hAnsi="Arial"/>
                <w:sz w:val="16"/>
                <w:szCs w:val="16"/>
                <w:color w:val="auto"/>
              </w:rPr>
              <w:t>Kodak Canada ULC</w:t>
            </w:r>
          </w:p>
        </w:tc>
        <w:tc>
          <w:tcPr>
            <w:tcW w:w="5580" w:type="dxa"/>
            <w:vAlign w:val="bottom"/>
            <w:tcBorders>
              <w:bottom w:val="single" w:sz="8" w:color="auto"/>
              <w:right w:val="single" w:sz="8" w:color="auto"/>
            </w:tcBorders>
            <w:shd w:val="clear" w:color="auto" w:fill="D9E2F3"/>
          </w:tcPr>
          <w:p>
            <w:pPr>
              <w:spacing w:after="0"/>
              <w:rPr>
                <w:sz w:val="16"/>
                <w:szCs w:val="16"/>
                <w:color w:val="auto"/>
              </w:rPr>
            </w:pPr>
          </w:p>
        </w:tc>
        <w:tc>
          <w:tcPr>
            <w:tcW w:w="860" w:type="dxa"/>
            <w:vAlign w:val="bottom"/>
            <w:tcBorders>
              <w:bottom w:val="single" w:sz="8" w:color="auto"/>
            </w:tcBorders>
            <w:gridSpan w:val="2"/>
            <w:shd w:val="clear" w:color="auto" w:fill="D9E2F3"/>
          </w:tcPr>
          <w:p>
            <w:pPr>
              <w:spacing w:after="0"/>
              <w:rPr>
                <w:sz w:val="20"/>
                <w:szCs w:val="20"/>
                <w:color w:val="auto"/>
              </w:rPr>
            </w:pPr>
            <w:r>
              <w:rPr>
                <w:rFonts w:ascii="Arial" w:cs="Arial" w:eastAsia="Arial" w:hAnsi="Arial"/>
                <w:sz w:val="16"/>
                <w:szCs w:val="16"/>
                <w:color w:val="auto"/>
                <w:w w:val="88"/>
              </w:rPr>
              <w:t>British Colum</w:t>
            </w:r>
          </w:p>
        </w:tc>
      </w:tr>
      <w:tr>
        <w:trPr>
          <w:trHeight w:val="185"/>
        </w:trPr>
        <w:tc>
          <w:tcPr>
            <w:tcW w:w="50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1680382 Ontario Limted</w:t>
            </w:r>
          </w:p>
        </w:tc>
        <w:tc>
          <w:tcPr>
            <w:tcW w:w="5580" w:type="dxa"/>
            <w:vAlign w:val="bottom"/>
            <w:tcBorders>
              <w:bottom w:val="single" w:sz="8" w:color="auto"/>
              <w:right w:val="single" w:sz="8" w:color="auto"/>
            </w:tcBorders>
          </w:tcPr>
          <w:p>
            <w:pPr>
              <w:spacing w:after="0"/>
              <w:rPr>
                <w:sz w:val="16"/>
                <w:szCs w:val="16"/>
                <w:color w:val="auto"/>
              </w:rPr>
            </w:pPr>
          </w:p>
        </w:tc>
        <w:tc>
          <w:tcPr>
            <w:tcW w:w="86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w w:val="84"/>
              </w:rPr>
              <w:t>Ontario, Cana</w:t>
            </w:r>
          </w:p>
        </w:tc>
      </w:tr>
      <w:tr>
        <w:trPr>
          <w:trHeight w:val="185"/>
        </w:trPr>
        <w:tc>
          <w:tcPr>
            <w:tcW w:w="5080" w:type="dxa"/>
            <w:vAlign w:val="bottom"/>
            <w:tcBorders>
              <w:bottom w:val="single" w:sz="8" w:color="auto"/>
            </w:tcBorders>
            <w:shd w:val="clear" w:color="auto" w:fill="D9E2F3"/>
          </w:tcPr>
          <w:p>
            <w:pPr>
              <w:spacing w:after="0"/>
              <w:rPr>
                <w:sz w:val="20"/>
                <w:szCs w:val="20"/>
                <w:color w:val="auto"/>
              </w:rPr>
            </w:pPr>
            <w:r>
              <w:rPr>
                <w:rFonts w:ascii="Arial" w:cs="Arial" w:eastAsia="Arial" w:hAnsi="Arial"/>
                <w:sz w:val="16"/>
                <w:szCs w:val="16"/>
                <w:color w:val="auto"/>
              </w:rPr>
              <w:t>Kodak Chilena S.A.F.</w:t>
            </w:r>
          </w:p>
        </w:tc>
        <w:tc>
          <w:tcPr>
            <w:tcW w:w="5580" w:type="dxa"/>
            <w:vAlign w:val="bottom"/>
            <w:tcBorders>
              <w:bottom w:val="single" w:sz="8" w:color="auto"/>
              <w:right w:val="single" w:sz="8" w:color="auto"/>
            </w:tcBorders>
            <w:shd w:val="clear" w:color="auto" w:fill="D9E2F3"/>
          </w:tcPr>
          <w:p>
            <w:pPr>
              <w:spacing w:after="0"/>
              <w:rPr>
                <w:sz w:val="16"/>
                <w:szCs w:val="16"/>
                <w:color w:val="auto"/>
              </w:rPr>
            </w:pPr>
          </w:p>
        </w:tc>
        <w:tc>
          <w:tcPr>
            <w:tcW w:w="860" w:type="dxa"/>
            <w:vAlign w:val="bottom"/>
            <w:tcBorders>
              <w:bottom w:val="single" w:sz="8" w:color="auto"/>
            </w:tcBorders>
            <w:gridSpan w:val="2"/>
            <w:shd w:val="clear" w:color="auto" w:fill="D9E2F3"/>
          </w:tcPr>
          <w:p>
            <w:pPr>
              <w:spacing w:after="0"/>
              <w:rPr>
                <w:sz w:val="20"/>
                <w:szCs w:val="20"/>
                <w:color w:val="auto"/>
              </w:rPr>
            </w:pPr>
            <w:r>
              <w:rPr>
                <w:rFonts w:ascii="Arial" w:cs="Arial" w:eastAsia="Arial" w:hAnsi="Arial"/>
                <w:sz w:val="16"/>
                <w:szCs w:val="16"/>
                <w:color w:val="auto"/>
              </w:rPr>
              <w:t>Chile</w:t>
            </w:r>
          </w:p>
        </w:tc>
      </w:tr>
      <w:tr>
        <w:trPr>
          <w:trHeight w:val="185"/>
        </w:trPr>
        <w:tc>
          <w:tcPr>
            <w:tcW w:w="50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Kodak (China) Limited</w:t>
            </w:r>
          </w:p>
        </w:tc>
        <w:tc>
          <w:tcPr>
            <w:tcW w:w="5580" w:type="dxa"/>
            <w:vAlign w:val="bottom"/>
            <w:tcBorders>
              <w:bottom w:val="single" w:sz="8" w:color="auto"/>
              <w:right w:val="single" w:sz="8" w:color="auto"/>
            </w:tcBorders>
          </w:tcPr>
          <w:p>
            <w:pPr>
              <w:spacing w:after="0"/>
              <w:rPr>
                <w:sz w:val="16"/>
                <w:szCs w:val="16"/>
                <w:color w:val="auto"/>
              </w:rPr>
            </w:pPr>
          </w:p>
        </w:tc>
        <w:tc>
          <w:tcPr>
            <w:tcW w:w="86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Hong Kong</w:t>
            </w:r>
          </w:p>
        </w:tc>
      </w:tr>
      <w:tr>
        <w:trPr>
          <w:trHeight w:val="185"/>
        </w:trPr>
        <w:tc>
          <w:tcPr>
            <w:tcW w:w="5080" w:type="dxa"/>
            <w:vAlign w:val="bottom"/>
            <w:tcBorders>
              <w:bottom w:val="single" w:sz="8" w:color="auto"/>
            </w:tcBorders>
            <w:shd w:val="clear" w:color="auto" w:fill="D9E2F3"/>
          </w:tcPr>
          <w:p>
            <w:pPr>
              <w:spacing w:after="0"/>
              <w:rPr>
                <w:sz w:val="20"/>
                <w:szCs w:val="20"/>
                <w:color w:val="auto"/>
              </w:rPr>
            </w:pPr>
            <w:r>
              <w:rPr>
                <w:rFonts w:ascii="Arial" w:cs="Arial" w:eastAsia="Arial" w:hAnsi="Arial"/>
                <w:sz w:val="16"/>
                <w:szCs w:val="16"/>
                <w:color w:val="auto"/>
              </w:rPr>
              <w:t>Kodak (China) Investment Company Limited</w:t>
            </w:r>
          </w:p>
        </w:tc>
        <w:tc>
          <w:tcPr>
            <w:tcW w:w="5580" w:type="dxa"/>
            <w:vAlign w:val="bottom"/>
            <w:tcBorders>
              <w:bottom w:val="single" w:sz="8" w:color="auto"/>
              <w:right w:val="single" w:sz="8" w:color="auto"/>
            </w:tcBorders>
            <w:shd w:val="clear" w:color="auto" w:fill="D9E2F3"/>
          </w:tcPr>
          <w:p>
            <w:pPr>
              <w:spacing w:after="0"/>
              <w:rPr>
                <w:sz w:val="16"/>
                <w:szCs w:val="16"/>
                <w:color w:val="auto"/>
              </w:rPr>
            </w:pPr>
          </w:p>
        </w:tc>
        <w:tc>
          <w:tcPr>
            <w:tcW w:w="860" w:type="dxa"/>
            <w:vAlign w:val="bottom"/>
            <w:tcBorders>
              <w:bottom w:val="single" w:sz="8" w:color="auto"/>
            </w:tcBorders>
            <w:gridSpan w:val="2"/>
            <w:shd w:val="clear" w:color="auto" w:fill="D9E2F3"/>
          </w:tcPr>
          <w:p>
            <w:pPr>
              <w:spacing w:after="0"/>
              <w:rPr>
                <w:sz w:val="20"/>
                <w:szCs w:val="20"/>
                <w:color w:val="auto"/>
              </w:rPr>
            </w:pPr>
            <w:r>
              <w:rPr>
                <w:rFonts w:ascii="Arial" w:cs="Arial" w:eastAsia="Arial" w:hAnsi="Arial"/>
                <w:sz w:val="16"/>
                <w:szCs w:val="16"/>
                <w:color w:val="auto"/>
              </w:rPr>
              <w:t>China</w:t>
            </w:r>
          </w:p>
        </w:tc>
      </w:tr>
      <w:tr>
        <w:trPr>
          <w:trHeight w:val="185"/>
        </w:trPr>
        <w:tc>
          <w:tcPr>
            <w:tcW w:w="50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Kodak (China) Company Limited</w:t>
            </w:r>
          </w:p>
        </w:tc>
        <w:tc>
          <w:tcPr>
            <w:tcW w:w="5580" w:type="dxa"/>
            <w:vAlign w:val="bottom"/>
            <w:tcBorders>
              <w:bottom w:val="single" w:sz="8" w:color="auto"/>
              <w:right w:val="single" w:sz="8" w:color="auto"/>
            </w:tcBorders>
          </w:tcPr>
          <w:p>
            <w:pPr>
              <w:spacing w:after="0"/>
              <w:rPr>
                <w:sz w:val="16"/>
                <w:szCs w:val="16"/>
                <w:color w:val="auto"/>
              </w:rPr>
            </w:pPr>
          </w:p>
        </w:tc>
        <w:tc>
          <w:tcPr>
            <w:tcW w:w="86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China</w:t>
            </w:r>
          </w:p>
        </w:tc>
      </w:tr>
      <w:tr>
        <w:trPr>
          <w:trHeight w:val="185"/>
        </w:trPr>
        <w:tc>
          <w:tcPr>
            <w:tcW w:w="5080" w:type="dxa"/>
            <w:vAlign w:val="bottom"/>
            <w:tcBorders>
              <w:bottom w:val="single" w:sz="8" w:color="auto"/>
            </w:tcBorders>
            <w:shd w:val="clear" w:color="auto" w:fill="D9E2F3"/>
          </w:tcPr>
          <w:p>
            <w:pPr>
              <w:spacing w:after="0"/>
              <w:rPr>
                <w:sz w:val="20"/>
                <w:szCs w:val="20"/>
                <w:color w:val="auto"/>
              </w:rPr>
            </w:pPr>
            <w:r>
              <w:rPr>
                <w:rFonts w:ascii="Arial" w:cs="Arial" w:eastAsia="Arial" w:hAnsi="Arial"/>
                <w:sz w:val="16"/>
                <w:szCs w:val="16"/>
                <w:color w:val="auto"/>
              </w:rPr>
              <w:t>Kodak (China) Graphic Communications Company Ltd.</w:t>
            </w:r>
          </w:p>
        </w:tc>
        <w:tc>
          <w:tcPr>
            <w:tcW w:w="5580" w:type="dxa"/>
            <w:vAlign w:val="bottom"/>
            <w:tcBorders>
              <w:bottom w:val="single" w:sz="8" w:color="auto"/>
              <w:right w:val="single" w:sz="8" w:color="auto"/>
            </w:tcBorders>
            <w:shd w:val="clear" w:color="auto" w:fill="D9E2F3"/>
          </w:tcPr>
          <w:p>
            <w:pPr>
              <w:spacing w:after="0"/>
              <w:rPr>
                <w:sz w:val="16"/>
                <w:szCs w:val="16"/>
                <w:color w:val="auto"/>
              </w:rPr>
            </w:pPr>
          </w:p>
        </w:tc>
        <w:tc>
          <w:tcPr>
            <w:tcW w:w="860" w:type="dxa"/>
            <w:vAlign w:val="bottom"/>
            <w:tcBorders>
              <w:bottom w:val="single" w:sz="8" w:color="auto"/>
            </w:tcBorders>
            <w:gridSpan w:val="2"/>
            <w:shd w:val="clear" w:color="auto" w:fill="D9E2F3"/>
          </w:tcPr>
          <w:p>
            <w:pPr>
              <w:spacing w:after="0"/>
              <w:rPr>
                <w:sz w:val="20"/>
                <w:szCs w:val="20"/>
                <w:color w:val="auto"/>
              </w:rPr>
            </w:pPr>
            <w:r>
              <w:rPr>
                <w:rFonts w:ascii="Arial" w:cs="Arial" w:eastAsia="Arial" w:hAnsi="Arial"/>
                <w:sz w:val="16"/>
                <w:szCs w:val="16"/>
                <w:color w:val="auto"/>
              </w:rPr>
              <w:t>China</w:t>
            </w:r>
          </w:p>
        </w:tc>
      </w:tr>
      <w:tr>
        <w:trPr>
          <w:trHeight w:val="185"/>
        </w:trPr>
        <w:tc>
          <w:tcPr>
            <w:tcW w:w="50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Kodak Electronic Products (Shanghai) Company Limited</w:t>
            </w:r>
          </w:p>
        </w:tc>
        <w:tc>
          <w:tcPr>
            <w:tcW w:w="5580" w:type="dxa"/>
            <w:vAlign w:val="bottom"/>
            <w:tcBorders>
              <w:bottom w:val="single" w:sz="8" w:color="auto"/>
              <w:right w:val="single" w:sz="8" w:color="auto"/>
            </w:tcBorders>
          </w:tcPr>
          <w:p>
            <w:pPr>
              <w:spacing w:after="0"/>
              <w:rPr>
                <w:sz w:val="16"/>
                <w:szCs w:val="16"/>
                <w:color w:val="auto"/>
              </w:rPr>
            </w:pPr>
          </w:p>
        </w:tc>
        <w:tc>
          <w:tcPr>
            <w:tcW w:w="86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China</w:t>
            </w:r>
          </w:p>
        </w:tc>
      </w:tr>
      <w:tr>
        <w:trPr>
          <w:trHeight w:val="185"/>
        </w:trPr>
        <w:tc>
          <w:tcPr>
            <w:tcW w:w="5080" w:type="dxa"/>
            <w:vAlign w:val="bottom"/>
            <w:tcBorders>
              <w:bottom w:val="single" w:sz="8" w:color="auto"/>
            </w:tcBorders>
            <w:shd w:val="clear" w:color="auto" w:fill="D9E2F3"/>
          </w:tcPr>
          <w:p>
            <w:pPr>
              <w:spacing w:after="0"/>
              <w:rPr>
                <w:sz w:val="20"/>
                <w:szCs w:val="20"/>
                <w:color w:val="auto"/>
              </w:rPr>
            </w:pPr>
            <w:r>
              <w:rPr>
                <w:rFonts w:ascii="Arial" w:cs="Arial" w:eastAsia="Arial" w:hAnsi="Arial"/>
                <w:sz w:val="16"/>
                <w:szCs w:val="16"/>
                <w:color w:val="auto"/>
              </w:rPr>
              <w:t>Miraclon (Shanghai) Trading Company, Limited</w:t>
            </w:r>
          </w:p>
        </w:tc>
        <w:tc>
          <w:tcPr>
            <w:tcW w:w="5580" w:type="dxa"/>
            <w:vAlign w:val="bottom"/>
            <w:tcBorders>
              <w:bottom w:val="single" w:sz="8" w:color="auto"/>
              <w:right w:val="single" w:sz="8" w:color="auto"/>
            </w:tcBorders>
            <w:shd w:val="clear" w:color="auto" w:fill="D9E2F3"/>
          </w:tcPr>
          <w:p>
            <w:pPr>
              <w:spacing w:after="0"/>
              <w:rPr>
                <w:sz w:val="16"/>
                <w:szCs w:val="16"/>
                <w:color w:val="auto"/>
              </w:rPr>
            </w:pPr>
          </w:p>
        </w:tc>
        <w:tc>
          <w:tcPr>
            <w:tcW w:w="860" w:type="dxa"/>
            <w:vAlign w:val="bottom"/>
            <w:tcBorders>
              <w:bottom w:val="single" w:sz="8" w:color="auto"/>
            </w:tcBorders>
            <w:gridSpan w:val="2"/>
            <w:shd w:val="clear" w:color="auto" w:fill="D9E2F3"/>
          </w:tcPr>
          <w:p>
            <w:pPr>
              <w:spacing w:after="0"/>
              <w:rPr>
                <w:sz w:val="20"/>
                <w:szCs w:val="20"/>
                <w:color w:val="auto"/>
              </w:rPr>
            </w:pPr>
            <w:r>
              <w:rPr>
                <w:rFonts w:ascii="Arial" w:cs="Arial" w:eastAsia="Arial" w:hAnsi="Arial"/>
                <w:sz w:val="16"/>
                <w:szCs w:val="16"/>
                <w:color w:val="auto"/>
              </w:rPr>
              <w:t>China</w:t>
            </w:r>
          </w:p>
        </w:tc>
      </w:tr>
      <w:tr>
        <w:trPr>
          <w:trHeight w:val="185"/>
        </w:trPr>
        <w:tc>
          <w:tcPr>
            <w:tcW w:w="50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Kodak (Shanghai) International Trading Co. Ltd.</w:t>
            </w:r>
          </w:p>
        </w:tc>
        <w:tc>
          <w:tcPr>
            <w:tcW w:w="5580" w:type="dxa"/>
            <w:vAlign w:val="bottom"/>
            <w:tcBorders>
              <w:bottom w:val="single" w:sz="8" w:color="auto"/>
              <w:right w:val="single" w:sz="8" w:color="auto"/>
            </w:tcBorders>
          </w:tcPr>
          <w:p>
            <w:pPr>
              <w:spacing w:after="0"/>
              <w:rPr>
                <w:sz w:val="16"/>
                <w:szCs w:val="16"/>
                <w:color w:val="auto"/>
              </w:rPr>
            </w:pPr>
          </w:p>
        </w:tc>
        <w:tc>
          <w:tcPr>
            <w:tcW w:w="86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China</w:t>
            </w:r>
          </w:p>
        </w:tc>
      </w:tr>
      <w:tr>
        <w:trPr>
          <w:trHeight w:val="185"/>
        </w:trPr>
        <w:tc>
          <w:tcPr>
            <w:tcW w:w="5080" w:type="dxa"/>
            <w:vAlign w:val="bottom"/>
            <w:tcBorders>
              <w:bottom w:val="single" w:sz="8" w:color="auto"/>
            </w:tcBorders>
            <w:shd w:val="clear" w:color="auto" w:fill="D9E2F3"/>
          </w:tcPr>
          <w:p>
            <w:pPr>
              <w:spacing w:after="0"/>
              <w:rPr>
                <w:sz w:val="20"/>
                <w:szCs w:val="20"/>
                <w:color w:val="auto"/>
              </w:rPr>
            </w:pPr>
            <w:r>
              <w:rPr>
                <w:rFonts w:ascii="Arial" w:cs="Arial" w:eastAsia="Arial" w:hAnsi="Arial"/>
                <w:sz w:val="16"/>
                <w:szCs w:val="16"/>
                <w:color w:val="auto"/>
              </w:rPr>
              <w:t>Kodak (Wuxi) Company Limited</w:t>
            </w:r>
          </w:p>
        </w:tc>
        <w:tc>
          <w:tcPr>
            <w:tcW w:w="5580" w:type="dxa"/>
            <w:vAlign w:val="bottom"/>
            <w:tcBorders>
              <w:bottom w:val="single" w:sz="8" w:color="auto"/>
              <w:right w:val="single" w:sz="8" w:color="auto"/>
            </w:tcBorders>
            <w:shd w:val="clear" w:color="auto" w:fill="D9E2F3"/>
          </w:tcPr>
          <w:p>
            <w:pPr>
              <w:spacing w:after="0"/>
              <w:rPr>
                <w:sz w:val="16"/>
                <w:szCs w:val="16"/>
                <w:color w:val="auto"/>
              </w:rPr>
            </w:pPr>
          </w:p>
        </w:tc>
        <w:tc>
          <w:tcPr>
            <w:tcW w:w="860" w:type="dxa"/>
            <w:vAlign w:val="bottom"/>
            <w:tcBorders>
              <w:bottom w:val="single" w:sz="8" w:color="auto"/>
            </w:tcBorders>
            <w:gridSpan w:val="2"/>
            <w:shd w:val="clear" w:color="auto" w:fill="D9E2F3"/>
          </w:tcPr>
          <w:p>
            <w:pPr>
              <w:spacing w:after="0"/>
              <w:rPr>
                <w:sz w:val="20"/>
                <w:szCs w:val="20"/>
                <w:color w:val="auto"/>
              </w:rPr>
            </w:pPr>
            <w:r>
              <w:rPr>
                <w:rFonts w:ascii="Arial" w:cs="Arial" w:eastAsia="Arial" w:hAnsi="Arial"/>
                <w:sz w:val="16"/>
                <w:szCs w:val="16"/>
                <w:color w:val="auto"/>
              </w:rPr>
              <w:t>China</w:t>
            </w:r>
          </w:p>
        </w:tc>
      </w:tr>
      <w:tr>
        <w:trPr>
          <w:trHeight w:val="185"/>
        </w:trPr>
        <w:tc>
          <w:tcPr>
            <w:tcW w:w="50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Kodak (Xiamen) Digital Imaging Products Company</w:t>
            </w:r>
          </w:p>
        </w:tc>
        <w:tc>
          <w:tcPr>
            <w:tcW w:w="5580" w:type="dxa"/>
            <w:vAlign w:val="bottom"/>
            <w:tcBorders>
              <w:bottom w:val="single" w:sz="8" w:color="auto"/>
              <w:right w:val="single" w:sz="8" w:color="auto"/>
            </w:tcBorders>
          </w:tcPr>
          <w:p>
            <w:pPr>
              <w:spacing w:after="0"/>
              <w:rPr>
                <w:sz w:val="16"/>
                <w:szCs w:val="16"/>
                <w:color w:val="auto"/>
              </w:rPr>
            </w:pPr>
          </w:p>
        </w:tc>
        <w:tc>
          <w:tcPr>
            <w:tcW w:w="86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China</w:t>
            </w:r>
          </w:p>
        </w:tc>
      </w:tr>
      <w:tr>
        <w:trPr>
          <w:trHeight w:val="185"/>
        </w:trPr>
        <w:tc>
          <w:tcPr>
            <w:tcW w:w="5080" w:type="dxa"/>
            <w:vAlign w:val="bottom"/>
            <w:tcBorders>
              <w:bottom w:val="single" w:sz="8" w:color="auto"/>
            </w:tcBorders>
            <w:shd w:val="clear" w:color="auto" w:fill="D9E2F3"/>
          </w:tcPr>
          <w:p>
            <w:pPr>
              <w:spacing w:after="0"/>
              <w:rPr>
                <w:sz w:val="20"/>
                <w:szCs w:val="20"/>
                <w:color w:val="auto"/>
              </w:rPr>
            </w:pPr>
            <w:r>
              <w:rPr>
                <w:rFonts w:ascii="Arial" w:cs="Arial" w:eastAsia="Arial" w:hAnsi="Arial"/>
                <w:sz w:val="16"/>
                <w:szCs w:val="16"/>
                <w:color w:val="auto"/>
              </w:rPr>
              <w:t>Kodak Film Lab Atlanta, Inc.</w:t>
            </w:r>
          </w:p>
        </w:tc>
        <w:tc>
          <w:tcPr>
            <w:tcW w:w="5580" w:type="dxa"/>
            <w:vAlign w:val="bottom"/>
            <w:tcBorders>
              <w:bottom w:val="single" w:sz="8" w:color="auto"/>
              <w:right w:val="single" w:sz="8" w:color="auto"/>
            </w:tcBorders>
            <w:shd w:val="clear" w:color="auto" w:fill="D9E2F3"/>
          </w:tcPr>
          <w:p>
            <w:pPr>
              <w:spacing w:after="0"/>
              <w:rPr>
                <w:sz w:val="16"/>
                <w:szCs w:val="16"/>
                <w:color w:val="auto"/>
              </w:rPr>
            </w:pPr>
          </w:p>
        </w:tc>
        <w:tc>
          <w:tcPr>
            <w:tcW w:w="860" w:type="dxa"/>
            <w:vAlign w:val="bottom"/>
            <w:tcBorders>
              <w:bottom w:val="single" w:sz="8" w:color="auto"/>
            </w:tcBorders>
            <w:gridSpan w:val="2"/>
            <w:shd w:val="clear" w:color="auto" w:fill="D9E2F3"/>
          </w:tcPr>
          <w:p>
            <w:pPr>
              <w:spacing w:after="0"/>
              <w:rPr>
                <w:sz w:val="20"/>
                <w:szCs w:val="20"/>
                <w:color w:val="auto"/>
              </w:rPr>
            </w:pPr>
            <w:r>
              <w:rPr>
                <w:rFonts w:ascii="Arial" w:cs="Arial" w:eastAsia="Arial" w:hAnsi="Arial"/>
                <w:sz w:val="16"/>
                <w:szCs w:val="16"/>
                <w:color w:val="auto"/>
              </w:rPr>
              <w:t>Delaware</w:t>
            </w:r>
          </w:p>
        </w:tc>
      </w:tr>
      <w:tr>
        <w:trPr>
          <w:trHeight w:val="185"/>
        </w:trPr>
        <w:tc>
          <w:tcPr>
            <w:tcW w:w="50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Kodak GmbH</w:t>
            </w:r>
          </w:p>
        </w:tc>
        <w:tc>
          <w:tcPr>
            <w:tcW w:w="5580" w:type="dxa"/>
            <w:vAlign w:val="bottom"/>
            <w:tcBorders>
              <w:bottom w:val="single" w:sz="8" w:color="auto"/>
              <w:right w:val="single" w:sz="8" w:color="auto"/>
            </w:tcBorders>
          </w:tcPr>
          <w:p>
            <w:pPr>
              <w:spacing w:after="0"/>
              <w:rPr>
                <w:sz w:val="16"/>
                <w:szCs w:val="16"/>
                <w:color w:val="auto"/>
              </w:rPr>
            </w:pPr>
          </w:p>
        </w:tc>
        <w:tc>
          <w:tcPr>
            <w:tcW w:w="86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Austria</w:t>
            </w:r>
          </w:p>
        </w:tc>
      </w:tr>
      <w:tr>
        <w:trPr>
          <w:trHeight w:val="185"/>
        </w:trPr>
        <w:tc>
          <w:tcPr>
            <w:tcW w:w="5080" w:type="dxa"/>
            <w:vAlign w:val="bottom"/>
            <w:tcBorders>
              <w:bottom w:val="single" w:sz="8" w:color="auto"/>
            </w:tcBorders>
            <w:shd w:val="clear" w:color="auto" w:fill="D9E2F3"/>
          </w:tcPr>
          <w:p>
            <w:pPr>
              <w:spacing w:after="0"/>
              <w:rPr>
                <w:sz w:val="20"/>
                <w:szCs w:val="20"/>
                <w:color w:val="auto"/>
              </w:rPr>
            </w:pPr>
            <w:r>
              <w:rPr>
                <w:rFonts w:ascii="Arial" w:cs="Arial" w:eastAsia="Arial" w:hAnsi="Arial"/>
                <w:sz w:val="16"/>
                <w:szCs w:val="16"/>
                <w:color w:val="auto"/>
              </w:rPr>
              <w:t>Kodak Holding GmbH</w:t>
            </w:r>
          </w:p>
        </w:tc>
        <w:tc>
          <w:tcPr>
            <w:tcW w:w="5580" w:type="dxa"/>
            <w:vAlign w:val="bottom"/>
            <w:tcBorders>
              <w:bottom w:val="single" w:sz="8" w:color="auto"/>
              <w:right w:val="single" w:sz="8" w:color="auto"/>
            </w:tcBorders>
            <w:shd w:val="clear" w:color="auto" w:fill="D9E2F3"/>
          </w:tcPr>
          <w:p>
            <w:pPr>
              <w:spacing w:after="0"/>
              <w:rPr>
                <w:sz w:val="16"/>
                <w:szCs w:val="16"/>
                <w:color w:val="auto"/>
              </w:rPr>
            </w:pPr>
          </w:p>
        </w:tc>
        <w:tc>
          <w:tcPr>
            <w:tcW w:w="860" w:type="dxa"/>
            <w:vAlign w:val="bottom"/>
            <w:tcBorders>
              <w:bottom w:val="single" w:sz="8" w:color="auto"/>
            </w:tcBorders>
            <w:gridSpan w:val="2"/>
            <w:shd w:val="clear" w:color="auto" w:fill="D9E2F3"/>
          </w:tcPr>
          <w:p>
            <w:pPr>
              <w:spacing w:after="0"/>
              <w:rPr>
                <w:sz w:val="20"/>
                <w:szCs w:val="20"/>
                <w:color w:val="auto"/>
              </w:rPr>
            </w:pPr>
            <w:r>
              <w:rPr>
                <w:rFonts w:ascii="Arial" w:cs="Arial" w:eastAsia="Arial" w:hAnsi="Arial"/>
                <w:sz w:val="16"/>
                <w:szCs w:val="16"/>
                <w:color w:val="auto"/>
              </w:rPr>
              <w:t>Germany</w:t>
            </w:r>
          </w:p>
        </w:tc>
      </w:tr>
      <w:tr>
        <w:trPr>
          <w:trHeight w:val="185"/>
        </w:trPr>
        <w:tc>
          <w:tcPr>
            <w:tcW w:w="50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Kodak Graphic Communications GmbH</w:t>
            </w:r>
          </w:p>
        </w:tc>
        <w:tc>
          <w:tcPr>
            <w:tcW w:w="5580" w:type="dxa"/>
            <w:vAlign w:val="bottom"/>
            <w:tcBorders>
              <w:bottom w:val="single" w:sz="8" w:color="auto"/>
              <w:right w:val="single" w:sz="8" w:color="auto"/>
            </w:tcBorders>
          </w:tcPr>
          <w:p>
            <w:pPr>
              <w:spacing w:after="0"/>
              <w:rPr>
                <w:sz w:val="16"/>
                <w:szCs w:val="16"/>
                <w:color w:val="auto"/>
              </w:rPr>
            </w:pPr>
          </w:p>
        </w:tc>
        <w:tc>
          <w:tcPr>
            <w:tcW w:w="86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Germany</w:t>
            </w:r>
          </w:p>
        </w:tc>
      </w:tr>
      <w:tr>
        <w:trPr>
          <w:trHeight w:val="185"/>
        </w:trPr>
        <w:tc>
          <w:tcPr>
            <w:tcW w:w="5080" w:type="dxa"/>
            <w:vAlign w:val="bottom"/>
            <w:tcBorders>
              <w:bottom w:val="single" w:sz="8" w:color="auto"/>
            </w:tcBorders>
            <w:shd w:val="clear" w:color="auto" w:fill="D9E2F3"/>
          </w:tcPr>
          <w:p>
            <w:pPr>
              <w:spacing w:after="0"/>
              <w:rPr>
                <w:sz w:val="20"/>
                <w:szCs w:val="20"/>
                <w:color w:val="auto"/>
              </w:rPr>
            </w:pPr>
            <w:r>
              <w:rPr>
                <w:rFonts w:ascii="Arial" w:cs="Arial" w:eastAsia="Arial" w:hAnsi="Arial"/>
                <w:sz w:val="16"/>
                <w:szCs w:val="16"/>
                <w:color w:val="auto"/>
              </w:rPr>
              <w:t>Kodak GmbH</w:t>
            </w:r>
          </w:p>
        </w:tc>
        <w:tc>
          <w:tcPr>
            <w:tcW w:w="5580" w:type="dxa"/>
            <w:vAlign w:val="bottom"/>
            <w:tcBorders>
              <w:bottom w:val="single" w:sz="8" w:color="auto"/>
              <w:right w:val="single" w:sz="8" w:color="auto"/>
            </w:tcBorders>
            <w:shd w:val="clear" w:color="auto" w:fill="D9E2F3"/>
          </w:tcPr>
          <w:p>
            <w:pPr>
              <w:spacing w:after="0"/>
              <w:rPr>
                <w:sz w:val="16"/>
                <w:szCs w:val="16"/>
                <w:color w:val="auto"/>
              </w:rPr>
            </w:pPr>
          </w:p>
        </w:tc>
        <w:tc>
          <w:tcPr>
            <w:tcW w:w="860" w:type="dxa"/>
            <w:vAlign w:val="bottom"/>
            <w:tcBorders>
              <w:bottom w:val="single" w:sz="8" w:color="auto"/>
            </w:tcBorders>
            <w:gridSpan w:val="2"/>
            <w:shd w:val="clear" w:color="auto" w:fill="D9E2F3"/>
          </w:tcPr>
          <w:p>
            <w:pPr>
              <w:spacing w:after="0"/>
              <w:rPr>
                <w:sz w:val="20"/>
                <w:szCs w:val="20"/>
                <w:color w:val="auto"/>
              </w:rPr>
            </w:pPr>
            <w:r>
              <w:rPr>
                <w:rFonts w:ascii="Arial" w:cs="Arial" w:eastAsia="Arial" w:hAnsi="Arial"/>
                <w:sz w:val="16"/>
                <w:szCs w:val="16"/>
                <w:color w:val="auto"/>
              </w:rPr>
              <w:t>Germany</w:t>
            </w:r>
          </w:p>
        </w:tc>
      </w:tr>
      <w:tr>
        <w:trPr>
          <w:trHeight w:val="185"/>
        </w:trPr>
        <w:tc>
          <w:tcPr>
            <w:tcW w:w="50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Kodak Graphic Communications EAD</w:t>
            </w:r>
          </w:p>
        </w:tc>
        <w:tc>
          <w:tcPr>
            <w:tcW w:w="5580" w:type="dxa"/>
            <w:vAlign w:val="bottom"/>
            <w:tcBorders>
              <w:bottom w:val="single" w:sz="8" w:color="auto"/>
              <w:right w:val="single" w:sz="8" w:color="auto"/>
            </w:tcBorders>
          </w:tcPr>
          <w:p>
            <w:pPr>
              <w:spacing w:after="0"/>
              <w:rPr>
                <w:sz w:val="16"/>
                <w:szCs w:val="16"/>
                <w:color w:val="auto"/>
              </w:rPr>
            </w:pPr>
          </w:p>
        </w:tc>
        <w:tc>
          <w:tcPr>
            <w:tcW w:w="86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Germany</w:t>
            </w:r>
          </w:p>
        </w:tc>
      </w:tr>
      <w:tr>
        <w:trPr>
          <w:trHeight w:val="185"/>
        </w:trPr>
        <w:tc>
          <w:tcPr>
            <w:tcW w:w="5080" w:type="dxa"/>
            <w:vAlign w:val="bottom"/>
            <w:tcBorders>
              <w:bottom w:val="single" w:sz="8" w:color="auto"/>
            </w:tcBorders>
            <w:shd w:val="clear" w:color="auto" w:fill="D9E2F3"/>
          </w:tcPr>
          <w:p>
            <w:pPr>
              <w:spacing w:after="0"/>
              <w:rPr>
                <w:sz w:val="20"/>
                <w:szCs w:val="20"/>
                <w:color w:val="auto"/>
              </w:rPr>
            </w:pPr>
            <w:r>
              <w:rPr>
                <w:rFonts w:ascii="Arial" w:cs="Arial" w:eastAsia="Arial" w:hAnsi="Arial"/>
                <w:sz w:val="16"/>
                <w:szCs w:val="16"/>
                <w:color w:val="auto"/>
              </w:rPr>
              <w:t>Kodak Unterstützungsgesellschaft GmbH</w:t>
            </w:r>
          </w:p>
        </w:tc>
        <w:tc>
          <w:tcPr>
            <w:tcW w:w="5580" w:type="dxa"/>
            <w:vAlign w:val="bottom"/>
            <w:tcBorders>
              <w:bottom w:val="single" w:sz="8" w:color="auto"/>
              <w:right w:val="single" w:sz="8" w:color="auto"/>
            </w:tcBorders>
            <w:shd w:val="clear" w:color="auto" w:fill="D9E2F3"/>
          </w:tcPr>
          <w:p>
            <w:pPr>
              <w:spacing w:after="0"/>
              <w:rPr>
                <w:sz w:val="16"/>
                <w:szCs w:val="16"/>
                <w:color w:val="auto"/>
              </w:rPr>
            </w:pPr>
          </w:p>
        </w:tc>
        <w:tc>
          <w:tcPr>
            <w:tcW w:w="860" w:type="dxa"/>
            <w:vAlign w:val="bottom"/>
            <w:tcBorders>
              <w:bottom w:val="single" w:sz="8" w:color="auto"/>
            </w:tcBorders>
            <w:gridSpan w:val="2"/>
            <w:shd w:val="clear" w:color="auto" w:fill="D9E2F3"/>
          </w:tcPr>
          <w:p>
            <w:pPr>
              <w:spacing w:after="0"/>
              <w:rPr>
                <w:sz w:val="20"/>
                <w:szCs w:val="20"/>
                <w:color w:val="auto"/>
              </w:rPr>
            </w:pPr>
            <w:r>
              <w:rPr>
                <w:rFonts w:ascii="Arial" w:cs="Arial" w:eastAsia="Arial" w:hAnsi="Arial"/>
                <w:sz w:val="16"/>
                <w:szCs w:val="16"/>
                <w:color w:val="auto"/>
              </w:rPr>
              <w:t>Germany</w:t>
            </w:r>
          </w:p>
        </w:tc>
      </w:tr>
      <w:tr>
        <w:trPr>
          <w:trHeight w:val="185"/>
        </w:trPr>
        <w:tc>
          <w:tcPr>
            <w:tcW w:w="50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Kodak Korea Limited</w:t>
            </w:r>
          </w:p>
        </w:tc>
        <w:tc>
          <w:tcPr>
            <w:tcW w:w="5580" w:type="dxa"/>
            <w:vAlign w:val="bottom"/>
            <w:tcBorders>
              <w:bottom w:val="single" w:sz="8" w:color="auto"/>
              <w:right w:val="single" w:sz="8" w:color="auto"/>
            </w:tcBorders>
          </w:tcPr>
          <w:p>
            <w:pPr>
              <w:spacing w:after="0"/>
              <w:rPr>
                <w:sz w:val="16"/>
                <w:szCs w:val="16"/>
                <w:color w:val="auto"/>
              </w:rPr>
            </w:pPr>
          </w:p>
        </w:tc>
        <w:tc>
          <w:tcPr>
            <w:tcW w:w="86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w w:val="94"/>
              </w:rPr>
              <w:t>South Korea</w:t>
            </w:r>
          </w:p>
        </w:tc>
      </w:tr>
      <w:tr>
        <w:trPr>
          <w:trHeight w:val="185"/>
        </w:trPr>
        <w:tc>
          <w:tcPr>
            <w:tcW w:w="5080" w:type="dxa"/>
            <w:vAlign w:val="bottom"/>
            <w:tcBorders>
              <w:bottom w:val="single" w:sz="8" w:color="auto"/>
            </w:tcBorders>
            <w:shd w:val="clear" w:color="auto" w:fill="D9E2F3"/>
          </w:tcPr>
          <w:p>
            <w:pPr>
              <w:spacing w:after="0"/>
              <w:rPr>
                <w:sz w:val="20"/>
                <w:szCs w:val="20"/>
                <w:color w:val="auto"/>
              </w:rPr>
            </w:pPr>
            <w:r>
              <w:rPr>
                <w:rFonts w:ascii="Arial" w:cs="Arial" w:eastAsia="Arial" w:hAnsi="Arial"/>
                <w:sz w:val="16"/>
                <w:szCs w:val="16"/>
                <w:color w:val="auto"/>
              </w:rPr>
              <w:t>Kodak Limited</w:t>
            </w:r>
          </w:p>
        </w:tc>
        <w:tc>
          <w:tcPr>
            <w:tcW w:w="5580" w:type="dxa"/>
            <w:vAlign w:val="bottom"/>
            <w:tcBorders>
              <w:bottom w:val="single" w:sz="8" w:color="auto"/>
              <w:right w:val="single" w:sz="8" w:color="auto"/>
            </w:tcBorders>
            <w:shd w:val="clear" w:color="auto" w:fill="D9E2F3"/>
          </w:tcPr>
          <w:p>
            <w:pPr>
              <w:spacing w:after="0"/>
              <w:rPr>
                <w:sz w:val="16"/>
                <w:szCs w:val="16"/>
                <w:color w:val="auto"/>
              </w:rPr>
            </w:pPr>
          </w:p>
        </w:tc>
        <w:tc>
          <w:tcPr>
            <w:tcW w:w="860" w:type="dxa"/>
            <w:vAlign w:val="bottom"/>
            <w:tcBorders>
              <w:bottom w:val="single" w:sz="8" w:color="auto"/>
            </w:tcBorders>
            <w:gridSpan w:val="2"/>
            <w:shd w:val="clear" w:color="auto" w:fill="D9E2F3"/>
          </w:tcPr>
          <w:p>
            <w:pPr>
              <w:spacing w:after="0"/>
              <w:rPr>
                <w:sz w:val="20"/>
                <w:szCs w:val="20"/>
                <w:color w:val="auto"/>
              </w:rPr>
            </w:pPr>
            <w:r>
              <w:rPr>
                <w:rFonts w:ascii="Arial" w:cs="Arial" w:eastAsia="Arial" w:hAnsi="Arial"/>
                <w:sz w:val="16"/>
                <w:szCs w:val="16"/>
                <w:color w:val="auto"/>
                <w:w w:val="91"/>
              </w:rPr>
              <w:t>United Kingd</w:t>
            </w:r>
          </w:p>
        </w:tc>
      </w:tr>
      <w:tr>
        <w:trPr>
          <w:trHeight w:val="185"/>
        </w:trPr>
        <w:tc>
          <w:tcPr>
            <w:tcW w:w="50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Kodak India Private Limited</w:t>
            </w:r>
          </w:p>
        </w:tc>
        <w:tc>
          <w:tcPr>
            <w:tcW w:w="5580" w:type="dxa"/>
            <w:vAlign w:val="bottom"/>
            <w:tcBorders>
              <w:bottom w:val="single" w:sz="8" w:color="auto"/>
              <w:right w:val="single" w:sz="8" w:color="auto"/>
            </w:tcBorders>
          </w:tcPr>
          <w:p>
            <w:pPr>
              <w:spacing w:after="0"/>
              <w:rPr>
                <w:sz w:val="16"/>
                <w:szCs w:val="16"/>
                <w:color w:val="auto"/>
              </w:rPr>
            </w:pPr>
          </w:p>
        </w:tc>
        <w:tc>
          <w:tcPr>
            <w:tcW w:w="86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India</w:t>
            </w:r>
          </w:p>
        </w:tc>
      </w:tr>
      <w:tr>
        <w:trPr>
          <w:trHeight w:val="185"/>
        </w:trPr>
        <w:tc>
          <w:tcPr>
            <w:tcW w:w="5080" w:type="dxa"/>
            <w:vAlign w:val="bottom"/>
            <w:tcBorders>
              <w:bottom w:val="single" w:sz="8" w:color="auto"/>
            </w:tcBorders>
            <w:shd w:val="clear" w:color="auto" w:fill="D9E2F3"/>
          </w:tcPr>
          <w:p>
            <w:pPr>
              <w:spacing w:after="0"/>
              <w:rPr>
                <w:sz w:val="20"/>
                <w:szCs w:val="20"/>
                <w:color w:val="auto"/>
              </w:rPr>
            </w:pPr>
            <w:r>
              <w:rPr>
                <w:rFonts w:ascii="Arial" w:cs="Arial" w:eastAsia="Arial" w:hAnsi="Arial"/>
                <w:sz w:val="16"/>
                <w:szCs w:val="16"/>
                <w:color w:val="auto"/>
              </w:rPr>
              <w:t>Kodak International Finance Limited</w:t>
            </w:r>
          </w:p>
        </w:tc>
        <w:tc>
          <w:tcPr>
            <w:tcW w:w="5580" w:type="dxa"/>
            <w:vAlign w:val="bottom"/>
            <w:tcBorders>
              <w:bottom w:val="single" w:sz="8" w:color="auto"/>
              <w:right w:val="single" w:sz="8" w:color="auto"/>
            </w:tcBorders>
            <w:shd w:val="clear" w:color="auto" w:fill="D9E2F3"/>
          </w:tcPr>
          <w:p>
            <w:pPr>
              <w:spacing w:after="0"/>
              <w:rPr>
                <w:sz w:val="16"/>
                <w:szCs w:val="16"/>
                <w:color w:val="auto"/>
              </w:rPr>
            </w:pPr>
          </w:p>
        </w:tc>
        <w:tc>
          <w:tcPr>
            <w:tcW w:w="860" w:type="dxa"/>
            <w:vAlign w:val="bottom"/>
            <w:tcBorders>
              <w:bottom w:val="single" w:sz="8" w:color="auto"/>
            </w:tcBorders>
            <w:gridSpan w:val="2"/>
            <w:shd w:val="clear" w:color="auto" w:fill="D9E2F3"/>
          </w:tcPr>
          <w:p>
            <w:pPr>
              <w:spacing w:after="0"/>
              <w:rPr>
                <w:sz w:val="20"/>
                <w:szCs w:val="20"/>
                <w:color w:val="auto"/>
              </w:rPr>
            </w:pPr>
            <w:r>
              <w:rPr>
                <w:rFonts w:ascii="Arial" w:cs="Arial" w:eastAsia="Arial" w:hAnsi="Arial"/>
                <w:sz w:val="16"/>
                <w:szCs w:val="16"/>
                <w:color w:val="auto"/>
                <w:w w:val="91"/>
              </w:rPr>
              <w:t>United Kingd</w:t>
            </w:r>
          </w:p>
        </w:tc>
      </w:tr>
      <w:tr>
        <w:trPr>
          <w:trHeight w:val="185"/>
        </w:trPr>
        <w:tc>
          <w:tcPr>
            <w:tcW w:w="50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Kodak Graphic Communications Limited</w:t>
            </w:r>
          </w:p>
        </w:tc>
        <w:tc>
          <w:tcPr>
            <w:tcW w:w="5580" w:type="dxa"/>
            <w:vAlign w:val="bottom"/>
            <w:tcBorders>
              <w:bottom w:val="single" w:sz="8" w:color="auto"/>
              <w:right w:val="single" w:sz="8" w:color="auto"/>
            </w:tcBorders>
          </w:tcPr>
          <w:p>
            <w:pPr>
              <w:spacing w:after="0"/>
              <w:rPr>
                <w:sz w:val="16"/>
                <w:szCs w:val="16"/>
                <w:color w:val="auto"/>
              </w:rPr>
            </w:pPr>
          </w:p>
        </w:tc>
        <w:tc>
          <w:tcPr>
            <w:tcW w:w="86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w w:val="91"/>
              </w:rPr>
              <w:t>United Kingd</w:t>
            </w:r>
          </w:p>
        </w:tc>
      </w:tr>
      <w:tr>
        <w:trPr>
          <w:trHeight w:val="185"/>
        </w:trPr>
        <w:tc>
          <w:tcPr>
            <w:tcW w:w="5080" w:type="dxa"/>
            <w:vAlign w:val="bottom"/>
            <w:tcBorders>
              <w:bottom w:val="single" w:sz="8" w:color="auto"/>
            </w:tcBorders>
            <w:shd w:val="clear" w:color="auto" w:fill="D9E2F3"/>
          </w:tcPr>
          <w:p>
            <w:pPr>
              <w:spacing w:after="0"/>
              <w:rPr>
                <w:sz w:val="20"/>
                <w:szCs w:val="20"/>
                <w:color w:val="auto"/>
              </w:rPr>
            </w:pPr>
            <w:r>
              <w:rPr>
                <w:rFonts w:ascii="Arial" w:cs="Arial" w:eastAsia="Arial" w:hAnsi="Arial"/>
                <w:sz w:val="16"/>
                <w:szCs w:val="16"/>
                <w:color w:val="auto"/>
              </w:rPr>
              <w:t>Horsell Graphic Industries Ltd.</w:t>
            </w:r>
          </w:p>
        </w:tc>
        <w:tc>
          <w:tcPr>
            <w:tcW w:w="5580" w:type="dxa"/>
            <w:vAlign w:val="bottom"/>
            <w:tcBorders>
              <w:bottom w:val="single" w:sz="8" w:color="auto"/>
              <w:right w:val="single" w:sz="8" w:color="auto"/>
            </w:tcBorders>
            <w:shd w:val="clear" w:color="auto" w:fill="D9E2F3"/>
          </w:tcPr>
          <w:p>
            <w:pPr>
              <w:spacing w:after="0"/>
              <w:rPr>
                <w:sz w:val="16"/>
                <w:szCs w:val="16"/>
                <w:color w:val="auto"/>
              </w:rPr>
            </w:pPr>
          </w:p>
        </w:tc>
        <w:tc>
          <w:tcPr>
            <w:tcW w:w="860" w:type="dxa"/>
            <w:vAlign w:val="bottom"/>
            <w:tcBorders>
              <w:bottom w:val="single" w:sz="8" w:color="auto"/>
            </w:tcBorders>
            <w:gridSpan w:val="2"/>
            <w:shd w:val="clear" w:color="auto" w:fill="D9E2F3"/>
          </w:tcPr>
          <w:p>
            <w:pPr>
              <w:spacing w:after="0"/>
              <w:rPr>
                <w:sz w:val="20"/>
                <w:szCs w:val="20"/>
                <w:color w:val="auto"/>
              </w:rPr>
            </w:pPr>
            <w:r>
              <w:rPr>
                <w:rFonts w:ascii="Arial" w:cs="Arial" w:eastAsia="Arial" w:hAnsi="Arial"/>
                <w:sz w:val="16"/>
                <w:szCs w:val="16"/>
                <w:color w:val="auto"/>
                <w:w w:val="91"/>
              </w:rPr>
              <w:t>United Kingd</w:t>
            </w:r>
          </w:p>
        </w:tc>
      </w:tr>
      <w:tr>
        <w:trPr>
          <w:trHeight w:val="185"/>
        </w:trPr>
        <w:tc>
          <w:tcPr>
            <w:tcW w:w="50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KP Services (Jersey) Limited</w:t>
            </w:r>
          </w:p>
        </w:tc>
        <w:tc>
          <w:tcPr>
            <w:tcW w:w="5580" w:type="dxa"/>
            <w:vAlign w:val="bottom"/>
            <w:tcBorders>
              <w:bottom w:val="single" w:sz="8" w:color="auto"/>
              <w:right w:val="single" w:sz="8" w:color="auto"/>
            </w:tcBorders>
          </w:tcPr>
          <w:p>
            <w:pPr>
              <w:spacing w:after="0"/>
              <w:rPr>
                <w:sz w:val="16"/>
                <w:szCs w:val="16"/>
                <w:color w:val="auto"/>
              </w:rPr>
            </w:pPr>
          </w:p>
        </w:tc>
        <w:tc>
          <w:tcPr>
            <w:tcW w:w="86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w w:val="81"/>
              </w:rPr>
              <w:t>Jersey, Chann</w:t>
            </w:r>
          </w:p>
        </w:tc>
      </w:tr>
      <w:tr>
        <w:trPr>
          <w:trHeight w:val="185"/>
        </w:trPr>
        <w:tc>
          <w:tcPr>
            <w:tcW w:w="5080" w:type="dxa"/>
            <w:vAlign w:val="bottom"/>
            <w:tcBorders>
              <w:bottom w:val="single" w:sz="8" w:color="auto"/>
            </w:tcBorders>
            <w:shd w:val="clear" w:color="auto" w:fill="D9E2F3"/>
          </w:tcPr>
          <w:p>
            <w:pPr>
              <w:spacing w:after="0"/>
              <w:rPr>
                <w:sz w:val="20"/>
                <w:szCs w:val="20"/>
                <w:color w:val="auto"/>
              </w:rPr>
            </w:pPr>
            <w:r>
              <w:rPr>
                <w:rFonts w:ascii="Arial" w:cs="Arial" w:eastAsia="Arial" w:hAnsi="Arial"/>
                <w:sz w:val="16"/>
                <w:szCs w:val="16"/>
                <w:color w:val="auto"/>
              </w:rPr>
              <w:t>KPSH P Co1 Limited</w:t>
            </w:r>
          </w:p>
        </w:tc>
        <w:tc>
          <w:tcPr>
            <w:tcW w:w="5580" w:type="dxa"/>
            <w:vAlign w:val="bottom"/>
            <w:tcBorders>
              <w:bottom w:val="single" w:sz="8" w:color="auto"/>
              <w:right w:val="single" w:sz="8" w:color="auto"/>
            </w:tcBorders>
            <w:shd w:val="clear" w:color="auto" w:fill="D9E2F3"/>
          </w:tcPr>
          <w:p>
            <w:pPr>
              <w:spacing w:after="0"/>
              <w:rPr>
                <w:sz w:val="16"/>
                <w:szCs w:val="16"/>
                <w:color w:val="auto"/>
              </w:rPr>
            </w:pPr>
          </w:p>
        </w:tc>
        <w:tc>
          <w:tcPr>
            <w:tcW w:w="860" w:type="dxa"/>
            <w:vAlign w:val="bottom"/>
            <w:tcBorders>
              <w:bottom w:val="single" w:sz="8" w:color="auto"/>
            </w:tcBorders>
            <w:gridSpan w:val="2"/>
            <w:shd w:val="clear" w:color="auto" w:fill="D9E2F3"/>
          </w:tcPr>
          <w:p>
            <w:pPr>
              <w:spacing w:after="0"/>
              <w:rPr>
                <w:sz w:val="20"/>
                <w:szCs w:val="20"/>
                <w:color w:val="auto"/>
              </w:rPr>
            </w:pPr>
            <w:r>
              <w:rPr>
                <w:rFonts w:ascii="Arial" w:cs="Arial" w:eastAsia="Arial" w:hAnsi="Arial"/>
                <w:sz w:val="16"/>
                <w:szCs w:val="16"/>
                <w:color w:val="auto"/>
                <w:w w:val="81"/>
              </w:rPr>
              <w:t>Jersey, Chann</w:t>
            </w:r>
          </w:p>
        </w:tc>
      </w:tr>
      <w:tr>
        <w:trPr>
          <w:trHeight w:val="185"/>
        </w:trPr>
        <w:tc>
          <w:tcPr>
            <w:tcW w:w="50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KPSH P Co2 Limited</w:t>
            </w:r>
          </w:p>
        </w:tc>
        <w:tc>
          <w:tcPr>
            <w:tcW w:w="5580" w:type="dxa"/>
            <w:vAlign w:val="bottom"/>
            <w:tcBorders>
              <w:bottom w:val="single" w:sz="8" w:color="auto"/>
              <w:right w:val="single" w:sz="8" w:color="auto"/>
            </w:tcBorders>
          </w:tcPr>
          <w:p>
            <w:pPr>
              <w:spacing w:after="0"/>
              <w:rPr>
                <w:sz w:val="16"/>
                <w:szCs w:val="16"/>
                <w:color w:val="auto"/>
              </w:rPr>
            </w:pPr>
          </w:p>
        </w:tc>
        <w:tc>
          <w:tcPr>
            <w:tcW w:w="86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w w:val="81"/>
              </w:rPr>
              <w:t>Jersey, Chann</w:t>
            </w:r>
          </w:p>
        </w:tc>
      </w:tr>
      <w:tr>
        <w:trPr>
          <w:trHeight w:val="185"/>
        </w:trPr>
        <w:tc>
          <w:tcPr>
            <w:tcW w:w="5080" w:type="dxa"/>
            <w:vAlign w:val="bottom"/>
            <w:tcBorders>
              <w:bottom w:val="single" w:sz="8" w:color="auto"/>
            </w:tcBorders>
            <w:shd w:val="clear" w:color="auto" w:fill="D9E2F3"/>
          </w:tcPr>
          <w:p>
            <w:pPr>
              <w:spacing w:after="0"/>
              <w:rPr>
                <w:sz w:val="20"/>
                <w:szCs w:val="20"/>
                <w:color w:val="auto"/>
              </w:rPr>
            </w:pPr>
            <w:r>
              <w:rPr>
                <w:rFonts w:ascii="Arial" w:cs="Arial" w:eastAsia="Arial" w:hAnsi="Arial"/>
                <w:sz w:val="16"/>
                <w:szCs w:val="16"/>
                <w:color w:val="auto"/>
              </w:rPr>
              <w:t>Kodak (Malaysia) Sdn. Bhd.</w:t>
            </w:r>
          </w:p>
        </w:tc>
        <w:tc>
          <w:tcPr>
            <w:tcW w:w="5580" w:type="dxa"/>
            <w:vAlign w:val="bottom"/>
            <w:tcBorders>
              <w:bottom w:val="single" w:sz="8" w:color="auto"/>
              <w:right w:val="single" w:sz="8" w:color="auto"/>
            </w:tcBorders>
            <w:shd w:val="clear" w:color="auto" w:fill="D9E2F3"/>
          </w:tcPr>
          <w:p>
            <w:pPr>
              <w:spacing w:after="0"/>
              <w:rPr>
                <w:sz w:val="16"/>
                <w:szCs w:val="16"/>
                <w:color w:val="auto"/>
              </w:rPr>
            </w:pPr>
          </w:p>
        </w:tc>
        <w:tc>
          <w:tcPr>
            <w:tcW w:w="860" w:type="dxa"/>
            <w:vAlign w:val="bottom"/>
            <w:tcBorders>
              <w:bottom w:val="single" w:sz="8" w:color="auto"/>
            </w:tcBorders>
            <w:gridSpan w:val="2"/>
            <w:shd w:val="clear" w:color="auto" w:fill="D9E2F3"/>
          </w:tcPr>
          <w:p>
            <w:pPr>
              <w:spacing w:after="0"/>
              <w:rPr>
                <w:sz w:val="20"/>
                <w:szCs w:val="20"/>
                <w:color w:val="auto"/>
              </w:rPr>
            </w:pPr>
            <w:r>
              <w:rPr>
                <w:rFonts w:ascii="Arial" w:cs="Arial" w:eastAsia="Arial" w:hAnsi="Arial"/>
                <w:sz w:val="16"/>
                <w:szCs w:val="16"/>
                <w:color w:val="auto"/>
              </w:rPr>
              <w:t>Malaysia</w:t>
            </w:r>
          </w:p>
        </w:tc>
      </w:tr>
      <w:tr>
        <w:trPr>
          <w:trHeight w:val="360"/>
        </w:trPr>
        <w:tc>
          <w:tcPr>
            <w:tcW w:w="5080" w:type="dxa"/>
            <w:vAlign w:val="bottom"/>
          </w:tcPr>
          <w:p>
            <w:pPr>
              <w:spacing w:after="0"/>
              <w:rPr>
                <w:sz w:val="24"/>
                <w:szCs w:val="24"/>
                <w:color w:val="auto"/>
              </w:rPr>
            </w:pPr>
          </w:p>
        </w:tc>
        <w:tc>
          <w:tcPr>
            <w:tcW w:w="5580" w:type="dxa"/>
            <w:vAlign w:val="bottom"/>
          </w:tcPr>
          <w:p>
            <w:pPr>
              <w:jc w:val="right"/>
              <w:ind w:right="4747"/>
              <w:spacing w:after="0"/>
              <w:rPr>
                <w:sz w:val="20"/>
                <w:szCs w:val="20"/>
                <w:color w:val="auto"/>
              </w:rPr>
            </w:pPr>
            <w:r>
              <w:rPr>
                <w:rFonts w:ascii="Arial" w:cs="Arial" w:eastAsia="Arial" w:hAnsi="Arial"/>
                <w:sz w:val="15"/>
                <w:szCs w:val="15"/>
                <w:color w:val="auto"/>
              </w:rPr>
              <w:t>- 1 -</w:t>
            </w: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13"/>
        </w:trPr>
        <w:tc>
          <w:tcPr>
            <w:tcW w:w="5080" w:type="dxa"/>
            <w:vAlign w:val="bottom"/>
            <w:tcBorders>
              <w:bottom w:val="single" w:sz="8" w:color="9A9A9A"/>
            </w:tcBorders>
          </w:tcPr>
          <w:p>
            <w:pPr>
              <w:spacing w:after="0"/>
              <w:rPr>
                <w:sz w:val="24"/>
                <w:szCs w:val="24"/>
                <w:color w:val="auto"/>
              </w:rPr>
            </w:pPr>
          </w:p>
        </w:tc>
        <w:tc>
          <w:tcPr>
            <w:tcW w:w="55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7253605</wp:posOffset>
            </wp:positionH>
            <wp:positionV relativeFrom="paragraph">
              <wp:posOffset>-27305</wp:posOffset>
            </wp:positionV>
            <wp:extent cx="33020" cy="406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07">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-27305</wp:posOffset>
            </wp:positionV>
            <wp:extent cx="33020" cy="406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08">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520"/>
          </w:cols>
          <w:pgMar w:left="240" w:top="332" w:right="139" w:bottom="1440" w:gutter="0" w:footer="0" w:header="0"/>
        </w:sectPr>
      </w:pPr>
    </w:p>
    <w:bookmarkStart w:id="124" w:name="page125"/>
    <w:bookmarkEnd w:id="124"/>
    <w:tbl>
      <w:tblPr>
        <w:tblLayout w:type="fixed"/>
        <w:tblInd w:w="10" w:type="dxa"/>
        <w:tblCellMar>
          <w:top w:w="0" w:type="dxa"/>
          <w:left w:w="0" w:type="dxa"/>
          <w:bottom w:w="0" w:type="dxa"/>
          <w:right w:w="0" w:type="dxa"/>
        </w:tblCellMar>
      </w:tblPr>
      <w:tr>
        <w:trPr>
          <w:trHeight w:val="205"/>
        </w:trPr>
        <w:tc>
          <w:tcPr>
            <w:tcW w:w="4520" w:type="dxa"/>
            <w:vAlign w:val="bottom"/>
            <w:tcBorders>
              <w:top w:val="single" w:sz="8" w:color="auto"/>
              <w:left w:val="single" w:sz="8" w:color="auto"/>
              <w:bottom w:val="single" w:sz="8" w:color="auto"/>
            </w:tcBorders>
          </w:tcPr>
          <w:p>
            <w:pPr>
              <w:spacing w:after="0"/>
              <w:rPr>
                <w:sz w:val="20"/>
                <w:szCs w:val="20"/>
                <w:color w:val="auto"/>
              </w:rPr>
            </w:pPr>
            <w:r>
              <w:rPr>
                <w:rFonts w:ascii="Arial" w:cs="Arial" w:eastAsia="Arial" w:hAnsi="Arial"/>
                <w:sz w:val="16"/>
                <w:szCs w:val="16"/>
                <w:color w:val="auto"/>
              </w:rPr>
              <w:t>Kodak (Near East), Inc.</w:t>
            </w:r>
          </w:p>
        </w:tc>
        <w:tc>
          <w:tcPr>
            <w:tcW w:w="6140" w:type="dxa"/>
            <w:vAlign w:val="bottom"/>
            <w:tcBorders>
              <w:top w:val="single" w:sz="8" w:color="auto"/>
              <w:bottom w:val="single" w:sz="8" w:color="auto"/>
              <w:right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New York</w:t>
            </w:r>
          </w:p>
        </w:tc>
      </w:tr>
      <w:tr>
        <w:trPr>
          <w:trHeight w:val="185"/>
        </w:trPr>
        <w:tc>
          <w:tcPr>
            <w:tcW w:w="4520" w:type="dxa"/>
            <w:vAlign w:val="bottom"/>
            <w:tcBorders>
              <w:left w:val="single" w:sz="8" w:color="auto"/>
              <w:bottom w:val="single" w:sz="8" w:color="auto"/>
            </w:tcBorders>
            <w:shd w:val="clear" w:color="auto" w:fill="D9E2F3"/>
          </w:tcPr>
          <w:p>
            <w:pPr>
              <w:spacing w:after="0"/>
              <w:rPr>
                <w:sz w:val="20"/>
                <w:szCs w:val="20"/>
                <w:color w:val="auto"/>
              </w:rPr>
            </w:pPr>
            <w:r>
              <w:rPr>
                <w:rFonts w:ascii="Arial" w:cs="Arial" w:eastAsia="Arial" w:hAnsi="Arial"/>
                <w:sz w:val="16"/>
                <w:szCs w:val="16"/>
                <w:color w:val="auto"/>
              </w:rPr>
              <w:t>Kodak New Zealand Limited</w:t>
            </w:r>
          </w:p>
        </w:tc>
        <w:tc>
          <w:tcPr>
            <w:tcW w:w="6140" w:type="dxa"/>
            <w:vAlign w:val="bottom"/>
            <w:tcBorders>
              <w:bottom w:val="single" w:sz="8" w:color="auto"/>
              <w:right w:val="single" w:sz="8" w:color="auto"/>
            </w:tcBorders>
            <w:shd w:val="clear" w:color="auto" w:fill="D9E2F3"/>
          </w:tcPr>
          <w:p>
            <w:pPr>
              <w:spacing w:after="0"/>
              <w:rPr>
                <w:sz w:val="16"/>
                <w:szCs w:val="16"/>
                <w:color w:val="auto"/>
              </w:rPr>
            </w:pPr>
          </w:p>
        </w:tc>
        <w:tc>
          <w:tcPr>
            <w:tcW w:w="860" w:type="dxa"/>
            <w:vAlign w:val="bottom"/>
            <w:tcBorders>
              <w:bottom w:val="single" w:sz="8" w:color="auto"/>
            </w:tcBorders>
            <w:shd w:val="clear" w:color="auto" w:fill="D9E2F3"/>
          </w:tcPr>
          <w:p>
            <w:pPr>
              <w:spacing w:after="0"/>
              <w:rPr>
                <w:sz w:val="20"/>
                <w:szCs w:val="20"/>
                <w:color w:val="auto"/>
              </w:rPr>
            </w:pPr>
            <w:r>
              <w:rPr>
                <w:rFonts w:ascii="Arial" w:cs="Arial" w:eastAsia="Arial" w:hAnsi="Arial"/>
                <w:sz w:val="16"/>
                <w:szCs w:val="16"/>
                <w:color w:val="auto"/>
                <w:w w:val="89"/>
              </w:rPr>
              <w:t>New Zealand</w:t>
            </w:r>
          </w:p>
        </w:tc>
      </w:tr>
      <w:tr>
        <w:trPr>
          <w:trHeight w:val="185"/>
        </w:trPr>
        <w:tc>
          <w:tcPr>
            <w:tcW w:w="4520" w:type="dxa"/>
            <w:vAlign w:val="bottom"/>
            <w:tcBorders>
              <w:left w:val="single" w:sz="8" w:color="auto"/>
              <w:bottom w:val="single" w:sz="8" w:color="auto"/>
            </w:tcBorders>
          </w:tcPr>
          <w:p>
            <w:pPr>
              <w:spacing w:after="0"/>
              <w:rPr>
                <w:sz w:val="20"/>
                <w:szCs w:val="20"/>
                <w:color w:val="auto"/>
              </w:rPr>
            </w:pPr>
            <w:r>
              <w:rPr>
                <w:rFonts w:ascii="Arial" w:cs="Arial" w:eastAsia="Arial" w:hAnsi="Arial"/>
                <w:sz w:val="16"/>
                <w:szCs w:val="16"/>
                <w:color w:val="auto"/>
              </w:rPr>
              <w:t>Kodak Nordic AB</w:t>
            </w:r>
          </w:p>
        </w:tc>
        <w:tc>
          <w:tcPr>
            <w:tcW w:w="6140" w:type="dxa"/>
            <w:vAlign w:val="bottom"/>
            <w:tcBorders>
              <w:bottom w:val="single" w:sz="8" w:color="auto"/>
              <w:right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Sweden</w:t>
            </w:r>
          </w:p>
        </w:tc>
      </w:tr>
      <w:tr>
        <w:trPr>
          <w:trHeight w:val="185"/>
        </w:trPr>
        <w:tc>
          <w:tcPr>
            <w:tcW w:w="4520" w:type="dxa"/>
            <w:vAlign w:val="bottom"/>
            <w:tcBorders>
              <w:left w:val="single" w:sz="8" w:color="auto"/>
              <w:bottom w:val="single" w:sz="8" w:color="auto"/>
            </w:tcBorders>
            <w:shd w:val="clear" w:color="auto" w:fill="D9E2F3"/>
          </w:tcPr>
          <w:p>
            <w:pPr>
              <w:spacing w:after="0"/>
              <w:rPr>
                <w:sz w:val="20"/>
                <w:szCs w:val="20"/>
                <w:color w:val="auto"/>
              </w:rPr>
            </w:pPr>
            <w:r>
              <w:rPr>
                <w:rFonts w:ascii="Arial" w:cs="Arial" w:eastAsia="Arial" w:hAnsi="Arial"/>
                <w:sz w:val="16"/>
                <w:szCs w:val="16"/>
                <w:color w:val="auto"/>
              </w:rPr>
              <w:t>Kodak OOO</w:t>
            </w:r>
          </w:p>
        </w:tc>
        <w:tc>
          <w:tcPr>
            <w:tcW w:w="6140" w:type="dxa"/>
            <w:vAlign w:val="bottom"/>
            <w:tcBorders>
              <w:bottom w:val="single" w:sz="8" w:color="auto"/>
              <w:right w:val="single" w:sz="8" w:color="auto"/>
            </w:tcBorders>
            <w:shd w:val="clear" w:color="auto" w:fill="D9E2F3"/>
          </w:tcPr>
          <w:p>
            <w:pPr>
              <w:spacing w:after="0"/>
              <w:rPr>
                <w:sz w:val="16"/>
                <w:szCs w:val="16"/>
                <w:color w:val="auto"/>
              </w:rPr>
            </w:pPr>
          </w:p>
        </w:tc>
        <w:tc>
          <w:tcPr>
            <w:tcW w:w="860" w:type="dxa"/>
            <w:vAlign w:val="bottom"/>
            <w:tcBorders>
              <w:bottom w:val="single" w:sz="8" w:color="auto"/>
            </w:tcBorders>
            <w:shd w:val="clear" w:color="auto" w:fill="D9E2F3"/>
          </w:tcPr>
          <w:p>
            <w:pPr>
              <w:spacing w:after="0"/>
              <w:rPr>
                <w:sz w:val="20"/>
                <w:szCs w:val="20"/>
                <w:color w:val="auto"/>
              </w:rPr>
            </w:pPr>
            <w:r>
              <w:rPr>
                <w:rFonts w:ascii="Arial" w:cs="Arial" w:eastAsia="Arial" w:hAnsi="Arial"/>
                <w:sz w:val="16"/>
                <w:szCs w:val="16"/>
                <w:color w:val="auto"/>
              </w:rPr>
              <w:t>Russia</w:t>
            </w:r>
          </w:p>
        </w:tc>
      </w:tr>
      <w:tr>
        <w:trPr>
          <w:trHeight w:val="185"/>
        </w:trPr>
        <w:tc>
          <w:tcPr>
            <w:tcW w:w="4520" w:type="dxa"/>
            <w:vAlign w:val="bottom"/>
            <w:tcBorders>
              <w:left w:val="single" w:sz="8" w:color="auto"/>
              <w:bottom w:val="single" w:sz="8" w:color="auto"/>
            </w:tcBorders>
          </w:tcPr>
          <w:p>
            <w:pPr>
              <w:spacing w:after="0"/>
              <w:rPr>
                <w:sz w:val="20"/>
                <w:szCs w:val="20"/>
                <w:color w:val="auto"/>
              </w:rPr>
            </w:pPr>
            <w:r>
              <w:rPr>
                <w:rFonts w:ascii="Arial" w:cs="Arial" w:eastAsia="Arial" w:hAnsi="Arial"/>
                <w:sz w:val="16"/>
                <w:szCs w:val="16"/>
                <w:color w:val="auto"/>
              </w:rPr>
              <w:t>Kodak Oy</w:t>
            </w:r>
          </w:p>
        </w:tc>
        <w:tc>
          <w:tcPr>
            <w:tcW w:w="6140" w:type="dxa"/>
            <w:vAlign w:val="bottom"/>
            <w:tcBorders>
              <w:bottom w:val="single" w:sz="8" w:color="auto"/>
              <w:right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Finland</w:t>
            </w:r>
          </w:p>
        </w:tc>
      </w:tr>
      <w:tr>
        <w:trPr>
          <w:trHeight w:val="185"/>
        </w:trPr>
        <w:tc>
          <w:tcPr>
            <w:tcW w:w="4520" w:type="dxa"/>
            <w:vAlign w:val="bottom"/>
            <w:tcBorders>
              <w:left w:val="single" w:sz="8" w:color="auto"/>
              <w:bottom w:val="single" w:sz="8" w:color="auto"/>
            </w:tcBorders>
            <w:shd w:val="clear" w:color="auto" w:fill="D9E2F3"/>
          </w:tcPr>
          <w:p>
            <w:pPr>
              <w:spacing w:after="0"/>
              <w:rPr>
                <w:sz w:val="20"/>
                <w:szCs w:val="20"/>
                <w:color w:val="auto"/>
              </w:rPr>
            </w:pPr>
            <w:r>
              <w:rPr>
                <w:rFonts w:ascii="Arial" w:cs="Arial" w:eastAsia="Arial" w:hAnsi="Arial"/>
                <w:sz w:val="16"/>
                <w:szCs w:val="16"/>
                <w:color w:val="auto"/>
              </w:rPr>
              <w:t>Kodak Philippines, Ltd.</w:t>
            </w:r>
          </w:p>
        </w:tc>
        <w:tc>
          <w:tcPr>
            <w:tcW w:w="6140" w:type="dxa"/>
            <w:vAlign w:val="bottom"/>
            <w:tcBorders>
              <w:bottom w:val="single" w:sz="8" w:color="auto"/>
              <w:right w:val="single" w:sz="8" w:color="auto"/>
            </w:tcBorders>
            <w:shd w:val="clear" w:color="auto" w:fill="D9E2F3"/>
          </w:tcPr>
          <w:p>
            <w:pPr>
              <w:spacing w:after="0"/>
              <w:rPr>
                <w:sz w:val="16"/>
                <w:szCs w:val="16"/>
                <w:color w:val="auto"/>
              </w:rPr>
            </w:pPr>
          </w:p>
        </w:tc>
        <w:tc>
          <w:tcPr>
            <w:tcW w:w="860" w:type="dxa"/>
            <w:vAlign w:val="bottom"/>
            <w:tcBorders>
              <w:bottom w:val="single" w:sz="8" w:color="auto"/>
            </w:tcBorders>
            <w:shd w:val="clear" w:color="auto" w:fill="D9E2F3"/>
          </w:tcPr>
          <w:p>
            <w:pPr>
              <w:spacing w:after="0"/>
              <w:rPr>
                <w:sz w:val="20"/>
                <w:szCs w:val="20"/>
                <w:color w:val="auto"/>
              </w:rPr>
            </w:pPr>
            <w:r>
              <w:rPr>
                <w:rFonts w:ascii="Arial" w:cs="Arial" w:eastAsia="Arial" w:hAnsi="Arial"/>
                <w:sz w:val="16"/>
                <w:szCs w:val="16"/>
                <w:color w:val="auto"/>
              </w:rPr>
              <w:t>New York</w:t>
            </w:r>
          </w:p>
        </w:tc>
      </w:tr>
      <w:tr>
        <w:trPr>
          <w:trHeight w:val="185"/>
        </w:trPr>
        <w:tc>
          <w:tcPr>
            <w:tcW w:w="4520" w:type="dxa"/>
            <w:vAlign w:val="bottom"/>
            <w:tcBorders>
              <w:left w:val="single" w:sz="8" w:color="auto"/>
              <w:bottom w:val="single" w:sz="8" w:color="auto"/>
            </w:tcBorders>
          </w:tcPr>
          <w:p>
            <w:pPr>
              <w:spacing w:after="0"/>
              <w:rPr>
                <w:sz w:val="20"/>
                <w:szCs w:val="20"/>
                <w:color w:val="auto"/>
              </w:rPr>
            </w:pPr>
            <w:r>
              <w:rPr>
                <w:rFonts w:ascii="Arial" w:cs="Arial" w:eastAsia="Arial" w:hAnsi="Arial"/>
                <w:sz w:val="16"/>
                <w:szCs w:val="16"/>
                <w:color w:val="auto"/>
              </w:rPr>
              <w:t>Kodak Polska Sp.zo.o</w:t>
            </w:r>
          </w:p>
        </w:tc>
        <w:tc>
          <w:tcPr>
            <w:tcW w:w="6140" w:type="dxa"/>
            <w:vAlign w:val="bottom"/>
            <w:tcBorders>
              <w:bottom w:val="single" w:sz="8" w:color="auto"/>
              <w:right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Poland</w:t>
            </w:r>
          </w:p>
        </w:tc>
      </w:tr>
      <w:tr>
        <w:trPr>
          <w:trHeight w:val="185"/>
        </w:trPr>
        <w:tc>
          <w:tcPr>
            <w:tcW w:w="4520" w:type="dxa"/>
            <w:vAlign w:val="bottom"/>
            <w:tcBorders>
              <w:left w:val="single" w:sz="8" w:color="auto"/>
              <w:bottom w:val="single" w:sz="8" w:color="auto"/>
            </w:tcBorders>
            <w:shd w:val="clear" w:color="auto" w:fill="D9E2F3"/>
          </w:tcPr>
          <w:p>
            <w:pPr>
              <w:spacing w:after="0"/>
              <w:rPr>
                <w:sz w:val="20"/>
                <w:szCs w:val="20"/>
                <w:color w:val="auto"/>
              </w:rPr>
            </w:pPr>
            <w:r>
              <w:rPr>
                <w:rFonts w:ascii="Arial" w:cs="Arial" w:eastAsia="Arial" w:hAnsi="Arial"/>
                <w:sz w:val="16"/>
                <w:szCs w:val="16"/>
                <w:color w:val="auto"/>
              </w:rPr>
              <w:t>Kodak Polychrome Graphics Company Ltd.</w:t>
            </w:r>
          </w:p>
        </w:tc>
        <w:tc>
          <w:tcPr>
            <w:tcW w:w="6140" w:type="dxa"/>
            <w:vAlign w:val="bottom"/>
            <w:tcBorders>
              <w:bottom w:val="single" w:sz="8" w:color="auto"/>
              <w:right w:val="single" w:sz="8" w:color="auto"/>
            </w:tcBorders>
            <w:shd w:val="clear" w:color="auto" w:fill="D9E2F3"/>
          </w:tcPr>
          <w:p>
            <w:pPr>
              <w:spacing w:after="0"/>
              <w:rPr>
                <w:sz w:val="16"/>
                <w:szCs w:val="16"/>
                <w:color w:val="auto"/>
              </w:rPr>
            </w:pPr>
          </w:p>
        </w:tc>
        <w:tc>
          <w:tcPr>
            <w:tcW w:w="860" w:type="dxa"/>
            <w:vAlign w:val="bottom"/>
            <w:tcBorders>
              <w:bottom w:val="single" w:sz="8" w:color="auto"/>
            </w:tcBorders>
            <w:shd w:val="clear" w:color="auto" w:fill="D9E2F3"/>
          </w:tcPr>
          <w:p>
            <w:pPr>
              <w:spacing w:after="0"/>
              <w:rPr>
                <w:sz w:val="20"/>
                <w:szCs w:val="20"/>
                <w:color w:val="auto"/>
              </w:rPr>
            </w:pPr>
            <w:r>
              <w:rPr>
                <w:rFonts w:ascii="Arial" w:cs="Arial" w:eastAsia="Arial" w:hAnsi="Arial"/>
                <w:sz w:val="16"/>
                <w:szCs w:val="16"/>
                <w:color w:val="auto"/>
              </w:rPr>
              <w:t>Barbados</w:t>
            </w:r>
          </w:p>
        </w:tc>
      </w:tr>
      <w:tr>
        <w:trPr>
          <w:trHeight w:val="185"/>
        </w:trPr>
        <w:tc>
          <w:tcPr>
            <w:tcW w:w="4520" w:type="dxa"/>
            <w:vAlign w:val="bottom"/>
            <w:tcBorders>
              <w:left w:val="single" w:sz="8" w:color="auto"/>
              <w:bottom w:val="single" w:sz="8" w:color="auto"/>
            </w:tcBorders>
          </w:tcPr>
          <w:p>
            <w:pPr>
              <w:spacing w:after="0"/>
              <w:rPr>
                <w:sz w:val="20"/>
                <w:szCs w:val="20"/>
                <w:color w:val="auto"/>
              </w:rPr>
            </w:pPr>
            <w:r>
              <w:rPr>
                <w:rFonts w:ascii="Arial" w:cs="Arial" w:eastAsia="Arial" w:hAnsi="Arial"/>
                <w:sz w:val="16"/>
                <w:szCs w:val="16"/>
                <w:color w:val="auto"/>
              </w:rPr>
              <w:t>Kodak Japan Ltd.</w:t>
            </w:r>
          </w:p>
        </w:tc>
        <w:tc>
          <w:tcPr>
            <w:tcW w:w="6140" w:type="dxa"/>
            <w:vAlign w:val="bottom"/>
            <w:tcBorders>
              <w:bottom w:val="single" w:sz="8" w:color="auto"/>
              <w:right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Japan</w:t>
            </w:r>
          </w:p>
        </w:tc>
      </w:tr>
      <w:tr>
        <w:trPr>
          <w:trHeight w:val="185"/>
        </w:trPr>
        <w:tc>
          <w:tcPr>
            <w:tcW w:w="4520" w:type="dxa"/>
            <w:vAlign w:val="bottom"/>
            <w:tcBorders>
              <w:left w:val="single" w:sz="8" w:color="auto"/>
              <w:bottom w:val="single" w:sz="8" w:color="auto"/>
            </w:tcBorders>
            <w:shd w:val="clear" w:color="auto" w:fill="D9E2F3"/>
          </w:tcPr>
          <w:p>
            <w:pPr>
              <w:spacing w:after="0"/>
              <w:rPr>
                <w:sz w:val="20"/>
                <w:szCs w:val="20"/>
                <w:color w:val="auto"/>
              </w:rPr>
            </w:pPr>
            <w:r>
              <w:rPr>
                <w:rFonts w:ascii="Arial" w:cs="Arial" w:eastAsia="Arial" w:hAnsi="Arial"/>
                <w:sz w:val="16"/>
                <w:szCs w:val="16"/>
                <w:color w:val="auto"/>
              </w:rPr>
              <w:t>RPB Marketing Company</w:t>
            </w:r>
          </w:p>
        </w:tc>
        <w:tc>
          <w:tcPr>
            <w:tcW w:w="6140" w:type="dxa"/>
            <w:vAlign w:val="bottom"/>
            <w:tcBorders>
              <w:bottom w:val="single" w:sz="8" w:color="auto"/>
              <w:right w:val="single" w:sz="8" w:color="auto"/>
            </w:tcBorders>
            <w:shd w:val="clear" w:color="auto" w:fill="D9E2F3"/>
          </w:tcPr>
          <w:p>
            <w:pPr>
              <w:spacing w:after="0"/>
              <w:rPr>
                <w:sz w:val="16"/>
                <w:szCs w:val="16"/>
                <w:color w:val="auto"/>
              </w:rPr>
            </w:pPr>
          </w:p>
        </w:tc>
        <w:tc>
          <w:tcPr>
            <w:tcW w:w="860" w:type="dxa"/>
            <w:vAlign w:val="bottom"/>
            <w:tcBorders>
              <w:bottom w:val="single" w:sz="8" w:color="auto"/>
            </w:tcBorders>
            <w:shd w:val="clear" w:color="auto" w:fill="D9E2F3"/>
          </w:tcPr>
          <w:p>
            <w:pPr>
              <w:spacing w:after="0"/>
              <w:rPr>
                <w:sz w:val="20"/>
                <w:szCs w:val="20"/>
                <w:color w:val="auto"/>
              </w:rPr>
            </w:pPr>
            <w:r>
              <w:rPr>
                <w:rFonts w:ascii="Arial" w:cs="Arial" w:eastAsia="Arial" w:hAnsi="Arial"/>
                <w:sz w:val="16"/>
                <w:szCs w:val="16"/>
                <w:color w:val="auto"/>
              </w:rPr>
              <w:t>Japan</w:t>
            </w:r>
          </w:p>
        </w:tc>
      </w:tr>
      <w:tr>
        <w:trPr>
          <w:trHeight w:val="185"/>
        </w:trPr>
        <w:tc>
          <w:tcPr>
            <w:tcW w:w="4520" w:type="dxa"/>
            <w:vAlign w:val="bottom"/>
            <w:tcBorders>
              <w:left w:val="single" w:sz="8" w:color="auto"/>
              <w:bottom w:val="single" w:sz="8" w:color="auto"/>
            </w:tcBorders>
          </w:tcPr>
          <w:p>
            <w:pPr>
              <w:spacing w:after="0"/>
              <w:rPr>
                <w:sz w:val="20"/>
                <w:szCs w:val="20"/>
                <w:color w:val="auto"/>
              </w:rPr>
            </w:pPr>
            <w:r>
              <w:rPr>
                <w:rFonts w:ascii="Arial" w:cs="Arial" w:eastAsia="Arial" w:hAnsi="Arial"/>
                <w:sz w:val="16"/>
                <w:szCs w:val="16"/>
                <w:color w:val="auto"/>
              </w:rPr>
              <w:t>Yamanashi RPB Supply Co.</w:t>
            </w:r>
          </w:p>
        </w:tc>
        <w:tc>
          <w:tcPr>
            <w:tcW w:w="6140" w:type="dxa"/>
            <w:vAlign w:val="bottom"/>
            <w:tcBorders>
              <w:bottom w:val="single" w:sz="8" w:color="auto"/>
              <w:right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Japan</w:t>
            </w:r>
          </w:p>
        </w:tc>
      </w:tr>
      <w:tr>
        <w:trPr>
          <w:trHeight w:val="185"/>
        </w:trPr>
        <w:tc>
          <w:tcPr>
            <w:tcW w:w="4520" w:type="dxa"/>
            <w:vAlign w:val="bottom"/>
            <w:tcBorders>
              <w:left w:val="single" w:sz="8" w:color="auto"/>
              <w:bottom w:val="single" w:sz="8" w:color="auto"/>
            </w:tcBorders>
            <w:shd w:val="clear" w:color="auto" w:fill="D9E2F3"/>
          </w:tcPr>
          <w:p>
            <w:pPr>
              <w:spacing w:after="0"/>
              <w:rPr>
                <w:sz w:val="20"/>
                <w:szCs w:val="20"/>
                <w:color w:val="auto"/>
              </w:rPr>
            </w:pPr>
            <w:r>
              <w:rPr>
                <w:rFonts w:ascii="Arial" w:cs="Arial" w:eastAsia="Arial" w:hAnsi="Arial"/>
                <w:sz w:val="16"/>
                <w:szCs w:val="16"/>
                <w:color w:val="auto"/>
              </w:rPr>
              <w:t>KPG Finance (Barbados) SRL</w:t>
            </w:r>
          </w:p>
        </w:tc>
        <w:tc>
          <w:tcPr>
            <w:tcW w:w="6140" w:type="dxa"/>
            <w:vAlign w:val="bottom"/>
            <w:tcBorders>
              <w:bottom w:val="single" w:sz="8" w:color="auto"/>
              <w:right w:val="single" w:sz="8" w:color="auto"/>
            </w:tcBorders>
            <w:shd w:val="clear" w:color="auto" w:fill="D9E2F3"/>
          </w:tcPr>
          <w:p>
            <w:pPr>
              <w:spacing w:after="0"/>
              <w:rPr>
                <w:sz w:val="16"/>
                <w:szCs w:val="16"/>
                <w:color w:val="auto"/>
              </w:rPr>
            </w:pPr>
          </w:p>
        </w:tc>
        <w:tc>
          <w:tcPr>
            <w:tcW w:w="860" w:type="dxa"/>
            <w:vAlign w:val="bottom"/>
            <w:tcBorders>
              <w:bottom w:val="single" w:sz="8" w:color="auto"/>
            </w:tcBorders>
            <w:shd w:val="clear" w:color="auto" w:fill="D9E2F3"/>
          </w:tcPr>
          <w:p>
            <w:pPr>
              <w:spacing w:after="0"/>
              <w:rPr>
                <w:sz w:val="20"/>
                <w:szCs w:val="20"/>
                <w:color w:val="auto"/>
              </w:rPr>
            </w:pPr>
            <w:r>
              <w:rPr>
                <w:rFonts w:ascii="Arial" w:cs="Arial" w:eastAsia="Arial" w:hAnsi="Arial"/>
                <w:sz w:val="16"/>
                <w:szCs w:val="16"/>
                <w:color w:val="auto"/>
              </w:rPr>
              <w:t>Barbados</w:t>
            </w:r>
          </w:p>
        </w:tc>
      </w:tr>
      <w:tr>
        <w:trPr>
          <w:trHeight w:val="185"/>
        </w:trPr>
        <w:tc>
          <w:tcPr>
            <w:tcW w:w="4520" w:type="dxa"/>
            <w:vAlign w:val="bottom"/>
            <w:tcBorders>
              <w:left w:val="single" w:sz="8" w:color="auto"/>
              <w:bottom w:val="single" w:sz="8" w:color="auto"/>
            </w:tcBorders>
          </w:tcPr>
          <w:p>
            <w:pPr>
              <w:spacing w:after="0"/>
              <w:rPr>
                <w:sz w:val="20"/>
                <w:szCs w:val="20"/>
                <w:color w:val="auto"/>
              </w:rPr>
            </w:pPr>
            <w:r>
              <w:rPr>
                <w:rFonts w:ascii="Arial" w:cs="Arial" w:eastAsia="Arial" w:hAnsi="Arial"/>
                <w:sz w:val="16"/>
                <w:szCs w:val="16"/>
                <w:color w:val="auto"/>
              </w:rPr>
              <w:t>Kodak IL Ltd.</w:t>
            </w:r>
          </w:p>
        </w:tc>
        <w:tc>
          <w:tcPr>
            <w:tcW w:w="6140" w:type="dxa"/>
            <w:vAlign w:val="bottom"/>
            <w:tcBorders>
              <w:bottom w:val="single" w:sz="8" w:color="auto"/>
              <w:right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Israel</w:t>
            </w:r>
          </w:p>
        </w:tc>
      </w:tr>
      <w:tr>
        <w:trPr>
          <w:trHeight w:val="185"/>
        </w:trPr>
        <w:tc>
          <w:tcPr>
            <w:tcW w:w="4520" w:type="dxa"/>
            <w:vAlign w:val="bottom"/>
            <w:tcBorders>
              <w:left w:val="single" w:sz="8" w:color="auto"/>
              <w:bottom w:val="single" w:sz="8" w:color="auto"/>
            </w:tcBorders>
            <w:shd w:val="clear" w:color="auto" w:fill="D9E2F3"/>
          </w:tcPr>
          <w:p>
            <w:pPr>
              <w:spacing w:after="0"/>
              <w:rPr>
                <w:sz w:val="20"/>
                <w:szCs w:val="20"/>
                <w:color w:val="auto"/>
              </w:rPr>
            </w:pPr>
            <w:r>
              <w:rPr>
                <w:rFonts w:ascii="Arial" w:cs="Arial" w:eastAsia="Arial" w:hAnsi="Arial"/>
                <w:sz w:val="16"/>
                <w:szCs w:val="16"/>
                <w:color w:val="auto"/>
              </w:rPr>
              <w:t>Kodak Polychrome Graphics Cono Sur SA</w:t>
            </w:r>
          </w:p>
        </w:tc>
        <w:tc>
          <w:tcPr>
            <w:tcW w:w="6140" w:type="dxa"/>
            <w:vAlign w:val="bottom"/>
            <w:tcBorders>
              <w:bottom w:val="single" w:sz="8" w:color="auto"/>
              <w:right w:val="single" w:sz="8" w:color="auto"/>
            </w:tcBorders>
            <w:shd w:val="clear" w:color="auto" w:fill="D9E2F3"/>
          </w:tcPr>
          <w:p>
            <w:pPr>
              <w:spacing w:after="0"/>
              <w:rPr>
                <w:sz w:val="16"/>
                <w:szCs w:val="16"/>
                <w:color w:val="auto"/>
              </w:rPr>
            </w:pPr>
          </w:p>
        </w:tc>
        <w:tc>
          <w:tcPr>
            <w:tcW w:w="860" w:type="dxa"/>
            <w:vAlign w:val="bottom"/>
            <w:tcBorders>
              <w:bottom w:val="single" w:sz="8" w:color="auto"/>
            </w:tcBorders>
            <w:shd w:val="clear" w:color="auto" w:fill="D9E2F3"/>
          </w:tcPr>
          <w:p>
            <w:pPr>
              <w:spacing w:after="0"/>
              <w:rPr>
                <w:sz w:val="20"/>
                <w:szCs w:val="20"/>
                <w:color w:val="auto"/>
              </w:rPr>
            </w:pPr>
            <w:r>
              <w:rPr>
                <w:rFonts w:ascii="Arial" w:cs="Arial" w:eastAsia="Arial" w:hAnsi="Arial"/>
                <w:sz w:val="16"/>
                <w:szCs w:val="16"/>
                <w:color w:val="auto"/>
              </w:rPr>
              <w:t>Uruguay</w:t>
            </w:r>
          </w:p>
        </w:tc>
      </w:tr>
      <w:tr>
        <w:trPr>
          <w:trHeight w:val="185"/>
        </w:trPr>
        <w:tc>
          <w:tcPr>
            <w:tcW w:w="4520" w:type="dxa"/>
            <w:vAlign w:val="bottom"/>
            <w:tcBorders>
              <w:left w:val="single" w:sz="8" w:color="auto"/>
              <w:bottom w:val="single" w:sz="8" w:color="auto"/>
            </w:tcBorders>
          </w:tcPr>
          <w:p>
            <w:pPr>
              <w:spacing w:after="0"/>
              <w:rPr>
                <w:sz w:val="20"/>
                <w:szCs w:val="20"/>
                <w:color w:val="auto"/>
              </w:rPr>
            </w:pPr>
            <w:r>
              <w:rPr>
                <w:rFonts w:ascii="Arial" w:cs="Arial" w:eastAsia="Arial" w:hAnsi="Arial"/>
                <w:sz w:val="16"/>
                <w:szCs w:val="16"/>
                <w:color w:val="auto"/>
              </w:rPr>
              <w:t>Kodak Polychrome Graphics Export SAFI</w:t>
            </w:r>
          </w:p>
        </w:tc>
        <w:tc>
          <w:tcPr>
            <w:tcW w:w="6140" w:type="dxa"/>
            <w:vAlign w:val="bottom"/>
            <w:tcBorders>
              <w:bottom w:val="single" w:sz="8" w:color="auto"/>
              <w:right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Uruguay</w:t>
            </w:r>
          </w:p>
        </w:tc>
      </w:tr>
      <w:tr>
        <w:trPr>
          <w:trHeight w:val="185"/>
        </w:trPr>
        <w:tc>
          <w:tcPr>
            <w:tcW w:w="4520" w:type="dxa"/>
            <w:vAlign w:val="bottom"/>
            <w:tcBorders>
              <w:left w:val="single" w:sz="8" w:color="auto"/>
              <w:bottom w:val="single" w:sz="8" w:color="auto"/>
            </w:tcBorders>
            <w:shd w:val="clear" w:color="auto" w:fill="D9E2F3"/>
          </w:tcPr>
          <w:p>
            <w:pPr>
              <w:spacing w:after="0"/>
              <w:rPr>
                <w:sz w:val="20"/>
                <w:szCs w:val="20"/>
                <w:color w:val="auto"/>
              </w:rPr>
            </w:pPr>
            <w:r>
              <w:rPr>
                <w:rFonts w:ascii="Arial" w:cs="Arial" w:eastAsia="Arial" w:hAnsi="Arial"/>
                <w:sz w:val="16"/>
                <w:szCs w:val="16"/>
                <w:color w:val="auto"/>
              </w:rPr>
              <w:t>Kodak Polychrome Graphics (Maderia) Servicos Ltd.</w:t>
            </w:r>
          </w:p>
        </w:tc>
        <w:tc>
          <w:tcPr>
            <w:tcW w:w="6140" w:type="dxa"/>
            <w:vAlign w:val="bottom"/>
            <w:tcBorders>
              <w:bottom w:val="single" w:sz="8" w:color="auto"/>
              <w:right w:val="single" w:sz="8" w:color="auto"/>
            </w:tcBorders>
            <w:shd w:val="clear" w:color="auto" w:fill="D9E2F3"/>
          </w:tcPr>
          <w:p>
            <w:pPr>
              <w:spacing w:after="0"/>
              <w:rPr>
                <w:sz w:val="16"/>
                <w:szCs w:val="16"/>
                <w:color w:val="auto"/>
              </w:rPr>
            </w:pPr>
          </w:p>
        </w:tc>
        <w:tc>
          <w:tcPr>
            <w:tcW w:w="860" w:type="dxa"/>
            <w:vAlign w:val="bottom"/>
            <w:tcBorders>
              <w:bottom w:val="single" w:sz="8" w:color="auto"/>
            </w:tcBorders>
            <w:shd w:val="clear" w:color="auto" w:fill="D9E2F3"/>
          </w:tcPr>
          <w:p>
            <w:pPr>
              <w:spacing w:after="0"/>
              <w:rPr>
                <w:sz w:val="20"/>
                <w:szCs w:val="20"/>
                <w:color w:val="auto"/>
              </w:rPr>
            </w:pPr>
            <w:r>
              <w:rPr>
                <w:rFonts w:ascii="Arial" w:cs="Arial" w:eastAsia="Arial" w:hAnsi="Arial"/>
                <w:sz w:val="16"/>
                <w:szCs w:val="16"/>
                <w:color w:val="auto"/>
              </w:rPr>
              <w:t>Barbados</w:t>
            </w:r>
          </w:p>
        </w:tc>
      </w:tr>
      <w:tr>
        <w:trPr>
          <w:trHeight w:val="185"/>
        </w:trPr>
        <w:tc>
          <w:tcPr>
            <w:tcW w:w="4520" w:type="dxa"/>
            <w:vAlign w:val="bottom"/>
            <w:tcBorders>
              <w:left w:val="single" w:sz="8" w:color="auto"/>
              <w:bottom w:val="single" w:sz="8" w:color="auto"/>
            </w:tcBorders>
          </w:tcPr>
          <w:p>
            <w:pPr>
              <w:spacing w:after="0"/>
              <w:rPr>
                <w:sz w:val="20"/>
                <w:szCs w:val="20"/>
                <w:color w:val="auto"/>
              </w:rPr>
            </w:pPr>
            <w:r>
              <w:rPr>
                <w:rFonts w:ascii="Arial" w:cs="Arial" w:eastAsia="Arial" w:hAnsi="Arial"/>
                <w:sz w:val="16"/>
                <w:szCs w:val="16"/>
                <w:color w:val="auto"/>
              </w:rPr>
              <w:t>Kodak Realty, Inc.</w:t>
            </w:r>
          </w:p>
        </w:tc>
        <w:tc>
          <w:tcPr>
            <w:tcW w:w="6140" w:type="dxa"/>
            <w:vAlign w:val="bottom"/>
            <w:tcBorders>
              <w:bottom w:val="single" w:sz="8" w:color="auto"/>
              <w:right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New York</w:t>
            </w:r>
          </w:p>
        </w:tc>
      </w:tr>
      <w:tr>
        <w:trPr>
          <w:trHeight w:val="185"/>
        </w:trPr>
        <w:tc>
          <w:tcPr>
            <w:tcW w:w="4520" w:type="dxa"/>
            <w:vAlign w:val="bottom"/>
            <w:tcBorders>
              <w:left w:val="single" w:sz="8" w:color="auto"/>
              <w:bottom w:val="single" w:sz="8" w:color="auto"/>
            </w:tcBorders>
            <w:shd w:val="clear" w:color="auto" w:fill="D9E2F3"/>
          </w:tcPr>
          <w:p>
            <w:pPr>
              <w:spacing w:after="0"/>
              <w:rPr>
                <w:sz w:val="20"/>
                <w:szCs w:val="20"/>
                <w:color w:val="auto"/>
              </w:rPr>
            </w:pPr>
            <w:r>
              <w:rPr>
                <w:rFonts w:ascii="Arial" w:cs="Arial" w:eastAsia="Arial" w:hAnsi="Arial"/>
                <w:sz w:val="16"/>
                <w:szCs w:val="16"/>
                <w:color w:val="auto"/>
              </w:rPr>
              <w:t>Kodak, Sociedad Anonima</w:t>
            </w:r>
          </w:p>
        </w:tc>
        <w:tc>
          <w:tcPr>
            <w:tcW w:w="6140" w:type="dxa"/>
            <w:vAlign w:val="bottom"/>
            <w:tcBorders>
              <w:bottom w:val="single" w:sz="8" w:color="auto"/>
              <w:right w:val="single" w:sz="8" w:color="auto"/>
            </w:tcBorders>
            <w:shd w:val="clear" w:color="auto" w:fill="D9E2F3"/>
          </w:tcPr>
          <w:p>
            <w:pPr>
              <w:spacing w:after="0"/>
              <w:rPr>
                <w:sz w:val="16"/>
                <w:szCs w:val="16"/>
                <w:color w:val="auto"/>
              </w:rPr>
            </w:pPr>
          </w:p>
        </w:tc>
        <w:tc>
          <w:tcPr>
            <w:tcW w:w="860" w:type="dxa"/>
            <w:vAlign w:val="bottom"/>
            <w:tcBorders>
              <w:bottom w:val="single" w:sz="8" w:color="auto"/>
            </w:tcBorders>
            <w:shd w:val="clear" w:color="auto" w:fill="D9E2F3"/>
          </w:tcPr>
          <w:p>
            <w:pPr>
              <w:spacing w:after="0"/>
              <w:rPr>
                <w:sz w:val="20"/>
                <w:szCs w:val="20"/>
                <w:color w:val="auto"/>
              </w:rPr>
            </w:pPr>
            <w:r>
              <w:rPr>
                <w:rFonts w:ascii="Arial" w:cs="Arial" w:eastAsia="Arial" w:hAnsi="Arial"/>
                <w:sz w:val="16"/>
                <w:szCs w:val="16"/>
                <w:color w:val="auto"/>
              </w:rPr>
              <w:t>Spain</w:t>
            </w:r>
          </w:p>
        </w:tc>
      </w:tr>
      <w:tr>
        <w:trPr>
          <w:trHeight w:val="185"/>
        </w:trPr>
        <w:tc>
          <w:tcPr>
            <w:tcW w:w="4520" w:type="dxa"/>
            <w:vAlign w:val="bottom"/>
            <w:tcBorders>
              <w:left w:val="single" w:sz="8" w:color="auto"/>
              <w:bottom w:val="single" w:sz="8" w:color="auto"/>
            </w:tcBorders>
          </w:tcPr>
          <w:p>
            <w:pPr>
              <w:spacing w:after="0"/>
              <w:rPr>
                <w:sz w:val="20"/>
                <w:szCs w:val="20"/>
                <w:color w:val="auto"/>
              </w:rPr>
            </w:pPr>
            <w:r>
              <w:rPr>
                <w:rFonts w:ascii="Arial" w:cs="Arial" w:eastAsia="Arial" w:hAnsi="Arial"/>
                <w:sz w:val="16"/>
                <w:szCs w:val="16"/>
                <w:color w:val="auto"/>
              </w:rPr>
              <w:t>Kodak (Singapore) Pte. Limited</w:t>
            </w:r>
          </w:p>
        </w:tc>
        <w:tc>
          <w:tcPr>
            <w:tcW w:w="6140" w:type="dxa"/>
            <w:vAlign w:val="bottom"/>
            <w:tcBorders>
              <w:bottom w:val="single" w:sz="8" w:color="auto"/>
              <w:right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Singapore</w:t>
            </w:r>
          </w:p>
        </w:tc>
      </w:tr>
      <w:tr>
        <w:trPr>
          <w:trHeight w:val="185"/>
        </w:trPr>
        <w:tc>
          <w:tcPr>
            <w:tcW w:w="4520" w:type="dxa"/>
            <w:vAlign w:val="bottom"/>
            <w:tcBorders>
              <w:left w:val="single" w:sz="8" w:color="auto"/>
              <w:bottom w:val="single" w:sz="8" w:color="auto"/>
            </w:tcBorders>
            <w:shd w:val="clear" w:color="auto" w:fill="D9E2F3"/>
          </w:tcPr>
          <w:p>
            <w:pPr>
              <w:spacing w:after="0"/>
              <w:rPr>
                <w:sz w:val="20"/>
                <w:szCs w:val="20"/>
                <w:color w:val="auto"/>
              </w:rPr>
            </w:pPr>
            <w:r>
              <w:rPr>
                <w:rFonts w:ascii="Arial" w:cs="Arial" w:eastAsia="Arial" w:hAnsi="Arial"/>
                <w:sz w:val="16"/>
                <w:szCs w:val="16"/>
                <w:color w:val="auto"/>
              </w:rPr>
              <w:t>Kodak Societa per Azioni</w:t>
            </w:r>
          </w:p>
        </w:tc>
        <w:tc>
          <w:tcPr>
            <w:tcW w:w="6140" w:type="dxa"/>
            <w:vAlign w:val="bottom"/>
            <w:tcBorders>
              <w:bottom w:val="single" w:sz="8" w:color="auto"/>
              <w:right w:val="single" w:sz="8" w:color="auto"/>
            </w:tcBorders>
            <w:shd w:val="clear" w:color="auto" w:fill="D9E2F3"/>
          </w:tcPr>
          <w:p>
            <w:pPr>
              <w:spacing w:after="0"/>
              <w:rPr>
                <w:sz w:val="16"/>
                <w:szCs w:val="16"/>
                <w:color w:val="auto"/>
              </w:rPr>
            </w:pPr>
          </w:p>
        </w:tc>
        <w:tc>
          <w:tcPr>
            <w:tcW w:w="860" w:type="dxa"/>
            <w:vAlign w:val="bottom"/>
            <w:tcBorders>
              <w:bottom w:val="single" w:sz="8" w:color="auto"/>
            </w:tcBorders>
            <w:shd w:val="clear" w:color="auto" w:fill="D9E2F3"/>
          </w:tcPr>
          <w:p>
            <w:pPr>
              <w:spacing w:after="0"/>
              <w:rPr>
                <w:sz w:val="20"/>
                <w:szCs w:val="20"/>
                <w:color w:val="auto"/>
              </w:rPr>
            </w:pPr>
            <w:r>
              <w:rPr>
                <w:rFonts w:ascii="Arial" w:cs="Arial" w:eastAsia="Arial" w:hAnsi="Arial"/>
                <w:sz w:val="16"/>
                <w:szCs w:val="16"/>
                <w:color w:val="auto"/>
              </w:rPr>
              <w:t>Italy</w:t>
            </w:r>
          </w:p>
        </w:tc>
      </w:tr>
      <w:tr>
        <w:trPr>
          <w:trHeight w:val="185"/>
        </w:trPr>
        <w:tc>
          <w:tcPr>
            <w:tcW w:w="4520" w:type="dxa"/>
            <w:vAlign w:val="bottom"/>
            <w:tcBorders>
              <w:left w:val="single" w:sz="8" w:color="auto"/>
              <w:bottom w:val="single" w:sz="8" w:color="auto"/>
            </w:tcBorders>
          </w:tcPr>
          <w:p>
            <w:pPr>
              <w:spacing w:after="0"/>
              <w:rPr>
                <w:sz w:val="20"/>
                <w:szCs w:val="20"/>
                <w:color w:val="auto"/>
              </w:rPr>
            </w:pPr>
            <w:r>
              <w:rPr>
                <w:rFonts w:ascii="Arial" w:cs="Arial" w:eastAsia="Arial" w:hAnsi="Arial"/>
                <w:sz w:val="16"/>
                <w:szCs w:val="16"/>
                <w:color w:val="auto"/>
              </w:rPr>
              <w:t>Kodakit Inc.</w:t>
            </w:r>
          </w:p>
        </w:tc>
        <w:tc>
          <w:tcPr>
            <w:tcW w:w="6140" w:type="dxa"/>
            <w:vAlign w:val="bottom"/>
            <w:tcBorders>
              <w:bottom w:val="single" w:sz="8" w:color="auto"/>
              <w:right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Delaware</w:t>
            </w:r>
          </w:p>
        </w:tc>
      </w:tr>
      <w:tr>
        <w:trPr>
          <w:trHeight w:val="185"/>
        </w:trPr>
        <w:tc>
          <w:tcPr>
            <w:tcW w:w="4520" w:type="dxa"/>
            <w:vAlign w:val="bottom"/>
            <w:tcBorders>
              <w:left w:val="single" w:sz="8" w:color="auto"/>
              <w:bottom w:val="single" w:sz="8" w:color="auto"/>
            </w:tcBorders>
            <w:shd w:val="clear" w:color="auto" w:fill="D9E2F3"/>
          </w:tcPr>
          <w:p>
            <w:pPr>
              <w:spacing w:after="0"/>
              <w:rPr>
                <w:sz w:val="20"/>
                <w:szCs w:val="20"/>
                <w:color w:val="auto"/>
              </w:rPr>
            </w:pPr>
            <w:r>
              <w:rPr>
                <w:rFonts w:ascii="Arial" w:cs="Arial" w:eastAsia="Arial" w:hAnsi="Arial"/>
                <w:sz w:val="16"/>
                <w:szCs w:val="16"/>
                <w:color w:val="auto"/>
              </w:rPr>
              <w:t>Laser-Pacific Media Corporation</w:t>
            </w:r>
          </w:p>
        </w:tc>
        <w:tc>
          <w:tcPr>
            <w:tcW w:w="6140" w:type="dxa"/>
            <w:vAlign w:val="bottom"/>
            <w:tcBorders>
              <w:bottom w:val="single" w:sz="8" w:color="auto"/>
              <w:right w:val="single" w:sz="8" w:color="auto"/>
            </w:tcBorders>
            <w:shd w:val="clear" w:color="auto" w:fill="D9E2F3"/>
          </w:tcPr>
          <w:p>
            <w:pPr>
              <w:spacing w:after="0"/>
              <w:rPr>
                <w:sz w:val="16"/>
                <w:szCs w:val="16"/>
                <w:color w:val="auto"/>
              </w:rPr>
            </w:pPr>
          </w:p>
        </w:tc>
        <w:tc>
          <w:tcPr>
            <w:tcW w:w="860" w:type="dxa"/>
            <w:vAlign w:val="bottom"/>
            <w:tcBorders>
              <w:bottom w:val="single" w:sz="8" w:color="auto"/>
            </w:tcBorders>
            <w:shd w:val="clear" w:color="auto" w:fill="D9E2F3"/>
          </w:tcPr>
          <w:p>
            <w:pPr>
              <w:spacing w:after="0"/>
              <w:rPr>
                <w:sz w:val="20"/>
                <w:szCs w:val="20"/>
                <w:color w:val="auto"/>
              </w:rPr>
            </w:pPr>
            <w:r>
              <w:rPr>
                <w:rFonts w:ascii="Arial" w:cs="Arial" w:eastAsia="Arial" w:hAnsi="Arial"/>
                <w:sz w:val="16"/>
                <w:szCs w:val="16"/>
                <w:color w:val="auto"/>
              </w:rPr>
              <w:t>Delaware</w:t>
            </w:r>
          </w:p>
        </w:tc>
      </w:tr>
      <w:tr>
        <w:trPr>
          <w:trHeight w:val="185"/>
        </w:trPr>
        <w:tc>
          <w:tcPr>
            <w:tcW w:w="4520" w:type="dxa"/>
            <w:vAlign w:val="bottom"/>
            <w:tcBorders>
              <w:left w:val="single" w:sz="8" w:color="auto"/>
              <w:bottom w:val="single" w:sz="8" w:color="auto"/>
            </w:tcBorders>
          </w:tcPr>
          <w:p>
            <w:pPr>
              <w:spacing w:after="0"/>
              <w:rPr>
                <w:sz w:val="20"/>
                <w:szCs w:val="20"/>
                <w:color w:val="auto"/>
              </w:rPr>
            </w:pPr>
            <w:r>
              <w:rPr>
                <w:rFonts w:ascii="Arial" w:cs="Arial" w:eastAsia="Arial" w:hAnsi="Arial"/>
                <w:sz w:val="16"/>
                <w:szCs w:val="16"/>
                <w:color w:val="auto"/>
              </w:rPr>
              <w:t>NPEC Inc.</w:t>
            </w:r>
          </w:p>
        </w:tc>
        <w:tc>
          <w:tcPr>
            <w:tcW w:w="6140" w:type="dxa"/>
            <w:vAlign w:val="bottom"/>
            <w:tcBorders>
              <w:bottom w:val="single" w:sz="8" w:color="auto"/>
              <w:right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California</w:t>
            </w:r>
          </w:p>
        </w:tc>
      </w:tr>
      <w:tr>
        <w:trPr>
          <w:trHeight w:val="185"/>
        </w:trPr>
        <w:tc>
          <w:tcPr>
            <w:tcW w:w="4520" w:type="dxa"/>
            <w:vAlign w:val="bottom"/>
            <w:tcBorders>
              <w:left w:val="single" w:sz="8" w:color="auto"/>
              <w:bottom w:val="single" w:sz="8" w:color="auto"/>
            </w:tcBorders>
            <w:shd w:val="clear" w:color="auto" w:fill="D9E2F3"/>
          </w:tcPr>
          <w:p>
            <w:pPr>
              <w:spacing w:after="0"/>
              <w:rPr>
                <w:sz w:val="20"/>
                <w:szCs w:val="20"/>
                <w:color w:val="auto"/>
              </w:rPr>
            </w:pPr>
            <w:r>
              <w:rPr>
                <w:rFonts w:ascii="Arial" w:cs="Arial" w:eastAsia="Arial" w:hAnsi="Arial"/>
                <w:sz w:val="16"/>
                <w:szCs w:val="16"/>
                <w:color w:val="auto"/>
              </w:rPr>
              <w:t>Qualex Inc.</w:t>
            </w:r>
          </w:p>
        </w:tc>
        <w:tc>
          <w:tcPr>
            <w:tcW w:w="6140" w:type="dxa"/>
            <w:vAlign w:val="bottom"/>
            <w:tcBorders>
              <w:bottom w:val="single" w:sz="8" w:color="auto"/>
              <w:right w:val="single" w:sz="8" w:color="auto"/>
            </w:tcBorders>
            <w:shd w:val="clear" w:color="auto" w:fill="D9E2F3"/>
          </w:tcPr>
          <w:p>
            <w:pPr>
              <w:spacing w:after="0"/>
              <w:rPr>
                <w:sz w:val="16"/>
                <w:szCs w:val="16"/>
                <w:color w:val="auto"/>
              </w:rPr>
            </w:pPr>
          </w:p>
        </w:tc>
        <w:tc>
          <w:tcPr>
            <w:tcW w:w="860" w:type="dxa"/>
            <w:vAlign w:val="bottom"/>
            <w:tcBorders>
              <w:bottom w:val="single" w:sz="8" w:color="auto"/>
            </w:tcBorders>
            <w:shd w:val="clear" w:color="auto" w:fill="D9E2F3"/>
          </w:tcPr>
          <w:p>
            <w:pPr>
              <w:spacing w:after="0"/>
              <w:rPr>
                <w:sz w:val="20"/>
                <w:szCs w:val="20"/>
                <w:color w:val="auto"/>
              </w:rPr>
            </w:pPr>
            <w:r>
              <w:rPr>
                <w:rFonts w:ascii="Arial" w:cs="Arial" w:eastAsia="Arial" w:hAnsi="Arial"/>
                <w:sz w:val="16"/>
                <w:szCs w:val="16"/>
                <w:color w:val="auto"/>
              </w:rPr>
              <w:t>Delaware</w:t>
            </w:r>
          </w:p>
        </w:tc>
      </w:tr>
      <w:tr>
        <w:trPr>
          <w:trHeight w:val="554"/>
        </w:trPr>
        <w:tc>
          <w:tcPr>
            <w:tcW w:w="4520" w:type="dxa"/>
            <w:vAlign w:val="bottom"/>
          </w:tcPr>
          <w:p>
            <w:pPr>
              <w:spacing w:after="0"/>
              <w:rPr>
                <w:sz w:val="24"/>
                <w:szCs w:val="24"/>
                <w:color w:val="auto"/>
              </w:rPr>
            </w:pPr>
          </w:p>
        </w:tc>
        <w:tc>
          <w:tcPr>
            <w:tcW w:w="6140" w:type="dxa"/>
            <w:vAlign w:val="bottom"/>
          </w:tcPr>
          <w:p>
            <w:pPr>
              <w:jc w:val="right"/>
              <w:ind w:right="4747"/>
              <w:spacing w:after="0"/>
              <w:rPr>
                <w:sz w:val="20"/>
                <w:szCs w:val="20"/>
                <w:color w:val="auto"/>
              </w:rPr>
            </w:pPr>
            <w:r>
              <w:rPr>
                <w:rFonts w:ascii="Arial" w:cs="Arial" w:eastAsia="Arial" w:hAnsi="Arial"/>
                <w:sz w:val="15"/>
                <w:szCs w:val="15"/>
                <w:color w:val="auto"/>
              </w:rPr>
              <w:t>- 2 -</w:t>
            </w:r>
          </w:p>
        </w:tc>
        <w:tc>
          <w:tcPr>
            <w:tcW w:w="860" w:type="dxa"/>
            <w:vAlign w:val="bottom"/>
          </w:tcPr>
          <w:p>
            <w:pPr>
              <w:spacing w:after="0"/>
              <w:rPr>
                <w:sz w:val="24"/>
                <w:szCs w:val="24"/>
                <w:color w:val="auto"/>
              </w:rPr>
            </w:pPr>
          </w:p>
        </w:tc>
      </w:tr>
    </w:tbl>
    <w:p>
      <w:pPr>
        <w:sectPr>
          <w:pgSz w:w="11900" w:h="16838" w:orient="portrait"/>
          <w:cols w:equalWidth="0" w:num="1">
            <w:col w:w="11520"/>
          </w:cols>
          <w:pgMar w:left="240" w:top="120" w:right="139" w:bottom="1440" w:gutter="0" w:footer="0" w:header="0"/>
        </w:sectPr>
      </w:pPr>
    </w:p>
    <w:bookmarkStart w:id="125" w:name="page126"/>
    <w:bookmarkEnd w:id="125"/>
    <w:p>
      <w:pPr>
        <w:jc w:val="right"/>
        <w:spacing w:after="0"/>
        <w:rPr>
          <w:sz w:val="20"/>
          <w:szCs w:val="20"/>
          <w:color w:val="auto"/>
        </w:rPr>
      </w:pPr>
      <w:r>
        <w:rPr>
          <w:rFonts w:ascii="Arial" w:cs="Arial" w:eastAsia="Arial" w:hAnsi="Arial"/>
          <w:sz w:val="16"/>
          <w:szCs w:val="16"/>
          <w:u w:val="single" w:color="auto"/>
          <w:color w:val="auto"/>
        </w:rPr>
        <w:t>Exhibit (23)</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CONSENT OF INDEPENDENT REGISTERED PUBLIC ACCOUNTING FIRM</w:t>
      </w:r>
    </w:p>
    <w:p>
      <w:pPr>
        <w:spacing w:after="0" w:line="396" w:lineRule="exact"/>
        <w:rPr>
          <w:sz w:val="20"/>
          <w:szCs w:val="20"/>
          <w:color w:val="auto"/>
        </w:rPr>
      </w:pPr>
    </w:p>
    <w:p>
      <w:pPr>
        <w:ind w:right="360"/>
        <w:spacing w:after="0" w:line="198" w:lineRule="exact"/>
        <w:rPr>
          <w:sz w:val="20"/>
          <w:szCs w:val="20"/>
          <w:color w:val="auto"/>
        </w:rPr>
      </w:pPr>
      <w:r>
        <w:rPr>
          <w:rFonts w:ascii="Arial" w:cs="Arial" w:eastAsia="Arial" w:hAnsi="Arial"/>
          <w:sz w:val="16"/>
          <w:szCs w:val="16"/>
          <w:color w:val="auto"/>
        </w:rPr>
        <w:t>We hereby consent to the incorporation by reference in the Registration Statements on Form S</w:t>
      </w:r>
      <w:r>
        <w:rPr>
          <w:rFonts w:ascii="MS PGothic" w:cs="MS PGothic" w:eastAsia="MS PGothic" w:hAnsi="MS PGothic"/>
          <w:sz w:val="16"/>
          <w:szCs w:val="16"/>
          <w:color w:val="auto"/>
        </w:rPr>
        <w:t>‑</w:t>
      </w:r>
      <w:r>
        <w:rPr>
          <w:rFonts w:ascii="Arial" w:cs="Arial" w:eastAsia="Arial" w:hAnsi="Arial"/>
          <w:sz w:val="16"/>
          <w:szCs w:val="16"/>
          <w:color w:val="auto"/>
        </w:rPr>
        <w:t>8 (No. 333-190957) and Form S-3 (Nos. 333-213029 and 333-216006) of Eastman Kodak Company of our report dated March 15, 2018 relating to the financial statements, financial statement schedule and the effectiveness of internal control over financial reporting of Eastman Kodak Company, which appears in this Form 10</w:t>
      </w:r>
      <w:r>
        <w:rPr>
          <w:rFonts w:ascii="MS PGothic" w:cs="MS PGothic" w:eastAsia="MS PGothic" w:hAnsi="MS PGothic"/>
          <w:sz w:val="16"/>
          <w:szCs w:val="16"/>
          <w:color w:val="auto"/>
        </w:rPr>
        <w:t>‑</w:t>
      </w:r>
      <w:r>
        <w:rPr>
          <w:rFonts w:ascii="Arial" w:cs="Arial" w:eastAsia="Arial" w:hAnsi="Arial"/>
          <w:sz w:val="16"/>
          <w:szCs w:val="16"/>
          <w:color w:val="auto"/>
        </w:rPr>
        <w:t>K.</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6"/>
          <w:szCs w:val="16"/>
          <w:color w:val="auto"/>
        </w:rPr>
        <w:t>/s/ PricewaterhouseCoopers LLP</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Rochester, New York</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March 15, 2018</w:t>
      </w:r>
    </w:p>
    <w:p>
      <w:pPr>
        <w:sectPr>
          <w:pgSz w:w="11900" w:h="16838" w:orient="portrait"/>
          <w:cols w:equalWidth="0" w:num="1">
            <w:col w:w="11440"/>
          </w:cols>
          <w:pgMar w:left="240" w:top="127" w:right="219" w:bottom="1440" w:gutter="0" w:footer="0" w:header="0"/>
        </w:sectPr>
      </w:pPr>
    </w:p>
    <w:bookmarkStart w:id="126" w:name="page127"/>
    <w:bookmarkEnd w:id="126"/>
    <w:p>
      <w:pPr>
        <w:jc w:val="right"/>
        <w:spacing w:after="0"/>
        <w:rPr>
          <w:sz w:val="20"/>
          <w:szCs w:val="20"/>
          <w:color w:val="auto"/>
        </w:rPr>
      </w:pPr>
      <w:r>
        <w:rPr>
          <w:rFonts w:ascii="Arial" w:cs="Arial" w:eastAsia="Arial" w:hAnsi="Arial"/>
          <w:sz w:val="16"/>
          <w:szCs w:val="16"/>
          <w:b w:val="1"/>
          <w:bCs w:val="1"/>
          <w:color w:val="auto"/>
        </w:rPr>
        <w:t>Exhibit (31.1)</w:t>
      </w:r>
    </w:p>
    <w:p>
      <w:pPr>
        <w:spacing w:after="0" w:line="26" w:lineRule="exact"/>
        <w:rPr>
          <w:sz w:val="20"/>
          <w:szCs w:val="20"/>
          <w:color w:val="auto"/>
        </w:rPr>
      </w:pPr>
    </w:p>
    <w:p>
      <w:pPr>
        <w:jc w:val="center"/>
        <w:ind w:right="-2"/>
        <w:spacing w:after="0"/>
        <w:rPr>
          <w:sz w:val="20"/>
          <w:szCs w:val="20"/>
          <w:color w:val="auto"/>
        </w:rPr>
      </w:pPr>
      <w:r>
        <w:rPr>
          <w:rFonts w:ascii="Arial" w:cs="Arial" w:eastAsia="Arial" w:hAnsi="Arial"/>
          <w:sz w:val="16"/>
          <w:szCs w:val="16"/>
          <w:b w:val="1"/>
          <w:bCs w:val="1"/>
          <w:color w:val="auto"/>
        </w:rPr>
        <w:t>CERTIFICATION</w:t>
      </w:r>
    </w:p>
    <w:p>
      <w:pPr>
        <w:spacing w:after="0" w:line="191" w:lineRule="exact"/>
        <w:rPr>
          <w:sz w:val="20"/>
          <w:szCs w:val="20"/>
          <w:color w:val="auto"/>
        </w:rPr>
      </w:pPr>
    </w:p>
    <w:p>
      <w:pPr>
        <w:ind w:left="3"/>
        <w:spacing w:after="0"/>
        <w:rPr>
          <w:sz w:val="20"/>
          <w:szCs w:val="20"/>
          <w:color w:val="auto"/>
        </w:rPr>
      </w:pPr>
      <w:r>
        <w:rPr>
          <w:rFonts w:ascii="Arial" w:cs="Arial" w:eastAsia="Arial" w:hAnsi="Arial"/>
          <w:sz w:val="16"/>
          <w:szCs w:val="16"/>
          <w:color w:val="auto"/>
        </w:rPr>
        <w:t>I, Jeffrey J. Clarke, certify that:</w:t>
      </w:r>
    </w:p>
    <w:p>
      <w:pPr>
        <w:spacing w:after="0" w:line="203" w:lineRule="exact"/>
        <w:rPr>
          <w:sz w:val="20"/>
          <w:szCs w:val="20"/>
          <w:color w:val="auto"/>
        </w:rPr>
      </w:pPr>
    </w:p>
    <w:p>
      <w:pPr>
        <w:ind w:left="463" w:hanging="463"/>
        <w:spacing w:after="0"/>
        <w:tabs>
          <w:tab w:leader="none" w:pos="463" w:val="left"/>
        </w:tabs>
        <w:numPr>
          <w:ilvl w:val="0"/>
          <w:numId w:val="70"/>
        </w:numPr>
        <w:rPr>
          <w:rFonts w:ascii="Arial" w:cs="Arial" w:eastAsia="Arial" w:hAnsi="Arial"/>
          <w:sz w:val="16"/>
          <w:szCs w:val="16"/>
          <w:color w:val="auto"/>
        </w:rPr>
      </w:pPr>
      <w:r>
        <w:rPr>
          <w:rFonts w:ascii="Arial" w:cs="Arial" w:eastAsia="Arial" w:hAnsi="Arial"/>
          <w:sz w:val="16"/>
          <w:szCs w:val="16"/>
          <w:color w:val="auto"/>
        </w:rPr>
        <w:t>I have reviewed this Form 10-K;</w:t>
      </w:r>
    </w:p>
    <w:p>
      <w:pPr>
        <w:spacing w:after="0" w:line="202" w:lineRule="exact"/>
        <w:rPr>
          <w:rFonts w:ascii="Arial" w:cs="Arial" w:eastAsia="Arial" w:hAnsi="Arial"/>
          <w:sz w:val="16"/>
          <w:szCs w:val="16"/>
          <w:color w:val="auto"/>
        </w:rPr>
      </w:pPr>
    </w:p>
    <w:p>
      <w:pPr>
        <w:ind w:left="463" w:right="300" w:hanging="463"/>
        <w:spacing w:after="0" w:line="315" w:lineRule="auto"/>
        <w:tabs>
          <w:tab w:leader="none" w:pos="463" w:val="left"/>
        </w:tabs>
        <w:numPr>
          <w:ilvl w:val="0"/>
          <w:numId w:val="7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5"/>
          <w:szCs w:val="15"/>
          <w:color w:val="auto"/>
        </w:rPr>
      </w:pPr>
    </w:p>
    <w:p>
      <w:pPr>
        <w:ind w:left="463" w:right="280" w:hanging="463"/>
        <w:spacing w:after="0" w:line="280" w:lineRule="auto"/>
        <w:tabs>
          <w:tab w:leader="none" w:pos="463" w:val="left"/>
        </w:tabs>
        <w:numPr>
          <w:ilvl w:val="0"/>
          <w:numId w:val="7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0" w:lineRule="exact"/>
        <w:rPr>
          <w:rFonts w:ascii="Arial" w:cs="Arial" w:eastAsia="Arial" w:hAnsi="Arial"/>
          <w:sz w:val="16"/>
          <w:szCs w:val="16"/>
          <w:color w:val="auto"/>
        </w:rPr>
      </w:pPr>
    </w:p>
    <w:p>
      <w:pPr>
        <w:ind w:left="463" w:right="120" w:hanging="463"/>
        <w:spacing w:after="0" w:line="315" w:lineRule="auto"/>
        <w:tabs>
          <w:tab w:leader="none" w:pos="463" w:val="left"/>
        </w:tabs>
        <w:numPr>
          <w:ilvl w:val="0"/>
          <w:numId w:val="70"/>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5"/>
          <w:szCs w:val="15"/>
          <w:color w:val="auto"/>
        </w:rPr>
      </w:pPr>
    </w:p>
    <w:p>
      <w:pPr>
        <w:ind w:left="463" w:right="140" w:firstLine="3"/>
        <w:spacing w:after="0" w:line="266" w:lineRule="auto"/>
        <w:tabs>
          <w:tab w:leader="none" w:pos="669" w:val="left"/>
        </w:tabs>
        <w:numPr>
          <w:ilvl w:val="1"/>
          <w:numId w:val="7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1" w:lineRule="exact"/>
        <w:rPr>
          <w:rFonts w:ascii="Arial" w:cs="Arial" w:eastAsia="Arial" w:hAnsi="Arial"/>
          <w:sz w:val="16"/>
          <w:szCs w:val="16"/>
          <w:color w:val="auto"/>
        </w:rPr>
      </w:pPr>
    </w:p>
    <w:p>
      <w:pPr>
        <w:ind w:left="463" w:right="460" w:firstLine="3"/>
        <w:spacing w:after="0" w:line="266" w:lineRule="auto"/>
        <w:tabs>
          <w:tab w:leader="none" w:pos="678" w:val="left"/>
        </w:tabs>
        <w:numPr>
          <w:ilvl w:val="1"/>
          <w:numId w:val="7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1" w:lineRule="exact"/>
        <w:rPr>
          <w:rFonts w:ascii="Arial" w:cs="Arial" w:eastAsia="Arial" w:hAnsi="Arial"/>
          <w:sz w:val="16"/>
          <w:szCs w:val="16"/>
          <w:color w:val="auto"/>
        </w:rPr>
      </w:pPr>
    </w:p>
    <w:p>
      <w:pPr>
        <w:ind w:left="463" w:right="120" w:firstLine="3"/>
        <w:spacing w:after="0" w:line="280" w:lineRule="auto"/>
        <w:tabs>
          <w:tab w:leader="none" w:pos="669" w:val="left"/>
        </w:tabs>
        <w:numPr>
          <w:ilvl w:val="1"/>
          <w:numId w:val="7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463" w:right="300" w:firstLine="3"/>
        <w:spacing w:after="0" w:line="266" w:lineRule="auto"/>
        <w:tabs>
          <w:tab w:leader="none" w:pos="678" w:val="left"/>
        </w:tabs>
        <w:numPr>
          <w:ilvl w:val="1"/>
          <w:numId w:val="7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1" w:lineRule="exact"/>
        <w:rPr>
          <w:rFonts w:ascii="Arial" w:cs="Arial" w:eastAsia="Arial" w:hAnsi="Arial"/>
          <w:sz w:val="16"/>
          <w:szCs w:val="16"/>
          <w:color w:val="auto"/>
        </w:rPr>
      </w:pPr>
    </w:p>
    <w:p>
      <w:pPr>
        <w:ind w:left="463" w:right="220" w:hanging="463"/>
        <w:spacing w:after="0" w:line="280" w:lineRule="auto"/>
        <w:tabs>
          <w:tab w:leader="none" w:pos="463"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0" w:lineRule="exact"/>
        <w:rPr>
          <w:rFonts w:ascii="Arial" w:cs="Arial" w:eastAsia="Arial" w:hAnsi="Arial"/>
          <w:sz w:val="16"/>
          <w:szCs w:val="16"/>
          <w:color w:val="auto"/>
        </w:rPr>
      </w:pPr>
    </w:p>
    <w:p>
      <w:pPr>
        <w:ind w:left="463" w:right="320" w:firstLine="3"/>
        <w:spacing w:after="0" w:line="280" w:lineRule="auto"/>
        <w:tabs>
          <w:tab w:leader="none" w:pos="660" w:val="left"/>
        </w:tabs>
        <w:numPr>
          <w:ilvl w:val="1"/>
          <w:numId w:val="7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463" w:right="600" w:firstLine="3"/>
        <w:spacing w:after="0" w:line="280" w:lineRule="auto"/>
        <w:tabs>
          <w:tab w:leader="none" w:pos="669" w:val="left"/>
        </w:tabs>
        <w:numPr>
          <w:ilvl w:val="1"/>
          <w:numId w:val="70"/>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3"/>
        <w:spacing w:after="0"/>
        <w:rPr>
          <w:sz w:val="20"/>
          <w:szCs w:val="20"/>
          <w:color w:val="auto"/>
        </w:rPr>
      </w:pPr>
      <w:r>
        <w:rPr>
          <w:rFonts w:ascii="Arial" w:cs="Arial" w:eastAsia="Arial" w:hAnsi="Arial"/>
          <w:sz w:val="16"/>
          <w:szCs w:val="16"/>
          <w:u w:val="single" w:color="auto"/>
          <w:color w:val="auto"/>
        </w:rPr>
        <w:t>/s/Jeffrey J. Clarke</w:t>
      </w:r>
    </w:p>
    <w:p>
      <w:pPr>
        <w:spacing w:after="0" w:line="22" w:lineRule="exact"/>
        <w:rPr>
          <w:sz w:val="20"/>
          <w:szCs w:val="20"/>
          <w:color w:val="auto"/>
        </w:rPr>
      </w:pPr>
    </w:p>
    <w:p>
      <w:pPr>
        <w:ind w:left="3"/>
        <w:spacing w:after="0"/>
        <w:rPr>
          <w:sz w:val="20"/>
          <w:szCs w:val="20"/>
          <w:color w:val="auto"/>
        </w:rPr>
      </w:pPr>
      <w:r>
        <w:rPr>
          <w:rFonts w:ascii="Arial" w:cs="Arial" w:eastAsia="Arial" w:hAnsi="Arial"/>
          <w:sz w:val="16"/>
          <w:szCs w:val="16"/>
          <w:color w:val="auto"/>
        </w:rPr>
        <w:t>Jeffrey J. Clarke</w:t>
      </w:r>
    </w:p>
    <w:p>
      <w:pPr>
        <w:spacing w:after="0" w:line="9" w:lineRule="exact"/>
        <w:rPr>
          <w:sz w:val="20"/>
          <w:szCs w:val="20"/>
          <w:color w:val="auto"/>
        </w:rPr>
      </w:pPr>
    </w:p>
    <w:p>
      <w:pPr>
        <w:ind w:left="2203"/>
        <w:spacing w:after="0"/>
        <w:rPr>
          <w:sz w:val="20"/>
          <w:szCs w:val="20"/>
          <w:color w:val="auto"/>
        </w:rPr>
      </w:pPr>
      <w:r>
        <w:rPr>
          <w:rFonts w:ascii="Arial" w:cs="Arial" w:eastAsia="Arial" w:hAnsi="Arial"/>
          <w:sz w:val="16"/>
          <w:szCs w:val="16"/>
          <w:color w:val="auto"/>
        </w:rPr>
        <w:t>Chief Executive Officer</w:t>
      </w:r>
    </w:p>
    <w:p>
      <w:pPr>
        <w:spacing w:after="0" w:line="200" w:lineRule="exact"/>
        <w:rPr>
          <w:sz w:val="20"/>
          <w:szCs w:val="20"/>
          <w:color w:val="auto"/>
        </w:rPr>
      </w:pPr>
    </w:p>
    <w:p>
      <w:pPr>
        <w:spacing w:after="0" w:line="377" w:lineRule="exact"/>
        <w:rPr>
          <w:sz w:val="20"/>
          <w:szCs w:val="20"/>
          <w:color w:val="auto"/>
        </w:rPr>
      </w:pPr>
    </w:p>
    <w:p>
      <w:pPr>
        <w:ind w:left="3"/>
        <w:spacing w:after="0"/>
        <w:rPr>
          <w:sz w:val="20"/>
          <w:szCs w:val="20"/>
          <w:color w:val="auto"/>
        </w:rPr>
      </w:pPr>
      <w:r>
        <w:rPr>
          <w:rFonts w:ascii="Arial" w:cs="Arial" w:eastAsia="Arial" w:hAnsi="Arial"/>
          <w:sz w:val="16"/>
          <w:szCs w:val="16"/>
          <w:color w:val="auto"/>
        </w:rPr>
        <w:t>Date: March 15, 2018</w:t>
      </w:r>
    </w:p>
    <w:p>
      <w:pPr>
        <w:sectPr>
          <w:pgSz w:w="11900" w:h="16838" w:orient="portrait"/>
          <w:cols w:equalWidth="0" w:num="1">
            <w:col w:w="11443"/>
          </w:cols>
          <w:pgMar w:left="237" w:top="123" w:right="219" w:bottom="1440" w:gutter="0" w:footer="0" w:header="0"/>
        </w:sectPr>
      </w:pPr>
    </w:p>
    <w:bookmarkStart w:id="127" w:name="page128"/>
    <w:bookmarkEnd w:id="127"/>
    <w:p>
      <w:pPr>
        <w:jc w:val="right"/>
        <w:spacing w:after="0"/>
        <w:rPr>
          <w:sz w:val="20"/>
          <w:szCs w:val="20"/>
          <w:color w:val="auto"/>
        </w:rPr>
      </w:pPr>
      <w:r>
        <w:rPr>
          <w:rFonts w:ascii="Arial" w:cs="Arial" w:eastAsia="Arial" w:hAnsi="Arial"/>
          <w:sz w:val="16"/>
          <w:szCs w:val="16"/>
          <w:b w:val="1"/>
          <w:bCs w:val="1"/>
          <w:color w:val="auto"/>
        </w:rPr>
        <w:t>Exhibit (31.2)</w:t>
      </w:r>
    </w:p>
    <w:p>
      <w:pPr>
        <w:spacing w:after="0" w:line="26" w:lineRule="exact"/>
        <w:rPr>
          <w:sz w:val="20"/>
          <w:szCs w:val="20"/>
          <w:color w:val="auto"/>
        </w:rPr>
      </w:pPr>
    </w:p>
    <w:p>
      <w:pPr>
        <w:jc w:val="center"/>
        <w:ind w:right="351"/>
        <w:spacing w:after="0"/>
        <w:rPr>
          <w:sz w:val="20"/>
          <w:szCs w:val="20"/>
          <w:color w:val="auto"/>
        </w:rPr>
      </w:pPr>
      <w:r>
        <w:rPr>
          <w:rFonts w:ascii="Arial" w:cs="Arial" w:eastAsia="Arial" w:hAnsi="Arial"/>
          <w:sz w:val="16"/>
          <w:szCs w:val="16"/>
          <w:b w:val="1"/>
          <w:bCs w:val="1"/>
          <w:color w:val="auto"/>
        </w:rPr>
        <w:t>CERTIFICATION</w:t>
      </w:r>
    </w:p>
    <w:p>
      <w:pPr>
        <w:spacing w:after="0" w:line="191" w:lineRule="exact"/>
        <w:rPr>
          <w:sz w:val="20"/>
          <w:szCs w:val="20"/>
          <w:color w:val="auto"/>
        </w:rPr>
      </w:pPr>
    </w:p>
    <w:p>
      <w:pPr>
        <w:ind w:left="9"/>
        <w:spacing w:after="0"/>
        <w:rPr>
          <w:sz w:val="20"/>
          <w:szCs w:val="20"/>
          <w:color w:val="auto"/>
        </w:rPr>
      </w:pPr>
      <w:r>
        <w:rPr>
          <w:rFonts w:ascii="Arial" w:cs="Arial" w:eastAsia="Arial" w:hAnsi="Arial"/>
          <w:sz w:val="16"/>
          <w:szCs w:val="16"/>
          <w:color w:val="auto"/>
        </w:rPr>
        <w:t>I, David E. Bullwinkle, certify that:</w:t>
      </w:r>
    </w:p>
    <w:p>
      <w:pPr>
        <w:spacing w:after="0" w:line="203" w:lineRule="exact"/>
        <w:rPr>
          <w:sz w:val="20"/>
          <w:szCs w:val="20"/>
          <w:color w:val="auto"/>
        </w:rPr>
      </w:pPr>
    </w:p>
    <w:p>
      <w:pPr>
        <w:ind w:left="369" w:hanging="369"/>
        <w:spacing w:after="0"/>
        <w:tabs>
          <w:tab w:leader="none" w:pos="369" w:val="left"/>
        </w:tabs>
        <w:numPr>
          <w:ilvl w:val="0"/>
          <w:numId w:val="71"/>
        </w:numPr>
        <w:rPr>
          <w:rFonts w:ascii="Arial" w:cs="Arial" w:eastAsia="Arial" w:hAnsi="Arial"/>
          <w:sz w:val="16"/>
          <w:szCs w:val="16"/>
          <w:color w:val="auto"/>
        </w:rPr>
      </w:pPr>
      <w:r>
        <w:rPr>
          <w:rFonts w:ascii="Arial" w:cs="Arial" w:eastAsia="Arial" w:hAnsi="Arial"/>
          <w:sz w:val="16"/>
          <w:szCs w:val="16"/>
          <w:color w:val="auto"/>
        </w:rPr>
        <w:t>I have reviewed this Form 10-K;</w:t>
      </w:r>
    </w:p>
    <w:p>
      <w:pPr>
        <w:spacing w:after="0" w:line="202" w:lineRule="exact"/>
        <w:rPr>
          <w:rFonts w:ascii="Arial" w:cs="Arial" w:eastAsia="Arial" w:hAnsi="Arial"/>
          <w:sz w:val="16"/>
          <w:szCs w:val="16"/>
          <w:color w:val="auto"/>
        </w:rPr>
      </w:pPr>
    </w:p>
    <w:p>
      <w:pPr>
        <w:ind w:left="369" w:right="120" w:hanging="369"/>
        <w:spacing w:after="0" w:line="354" w:lineRule="auto"/>
        <w:tabs>
          <w:tab w:leader="none" w:pos="369" w:val="left"/>
        </w:tabs>
        <w:numPr>
          <w:ilvl w:val="0"/>
          <w:numId w:val="71"/>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5" w:lineRule="exact"/>
        <w:rPr>
          <w:rFonts w:ascii="Arial" w:cs="Arial" w:eastAsia="Arial" w:hAnsi="Arial"/>
          <w:sz w:val="14"/>
          <w:szCs w:val="14"/>
          <w:color w:val="auto"/>
        </w:rPr>
      </w:pPr>
    </w:p>
    <w:p>
      <w:pPr>
        <w:ind w:left="369" w:right="200" w:hanging="369"/>
        <w:spacing w:after="0" w:line="280" w:lineRule="auto"/>
        <w:tabs>
          <w:tab w:leader="none" w:pos="369" w:val="left"/>
        </w:tabs>
        <w:numPr>
          <w:ilvl w:val="0"/>
          <w:numId w:val="7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0" w:lineRule="exact"/>
        <w:rPr>
          <w:rFonts w:ascii="Arial" w:cs="Arial" w:eastAsia="Arial" w:hAnsi="Arial"/>
          <w:sz w:val="16"/>
          <w:szCs w:val="16"/>
          <w:color w:val="auto"/>
        </w:rPr>
      </w:pPr>
    </w:p>
    <w:p>
      <w:pPr>
        <w:ind w:left="369" w:right="20" w:hanging="369"/>
        <w:spacing w:after="0" w:line="266" w:lineRule="auto"/>
        <w:tabs>
          <w:tab w:leader="none" w:pos="369"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1" w:lineRule="exact"/>
        <w:rPr>
          <w:rFonts w:ascii="Arial" w:cs="Arial" w:eastAsia="Arial" w:hAnsi="Arial"/>
          <w:sz w:val="16"/>
          <w:szCs w:val="16"/>
          <w:color w:val="auto"/>
        </w:rPr>
      </w:pPr>
    </w:p>
    <w:p>
      <w:pPr>
        <w:jc w:val="both"/>
        <w:ind w:left="389" w:right="80" w:hanging="1"/>
        <w:spacing w:after="0" w:line="266" w:lineRule="auto"/>
        <w:tabs>
          <w:tab w:leader="none" w:pos="594" w:val="left"/>
        </w:tabs>
        <w:numPr>
          <w:ilvl w:val="1"/>
          <w:numId w:val="71"/>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1" w:lineRule="exact"/>
        <w:rPr>
          <w:rFonts w:ascii="Arial" w:cs="Arial" w:eastAsia="Arial" w:hAnsi="Arial"/>
          <w:sz w:val="16"/>
          <w:szCs w:val="16"/>
          <w:color w:val="auto"/>
        </w:rPr>
      </w:pPr>
    </w:p>
    <w:p>
      <w:pPr>
        <w:jc w:val="both"/>
        <w:ind w:left="389" w:right="220" w:hanging="1"/>
        <w:spacing w:after="0" w:line="266" w:lineRule="auto"/>
        <w:tabs>
          <w:tab w:leader="none" w:pos="603" w:val="left"/>
        </w:tabs>
        <w:numPr>
          <w:ilvl w:val="1"/>
          <w:numId w:val="71"/>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1" w:lineRule="exact"/>
        <w:rPr>
          <w:rFonts w:ascii="Arial" w:cs="Arial" w:eastAsia="Arial" w:hAnsi="Arial"/>
          <w:sz w:val="16"/>
          <w:szCs w:val="16"/>
          <w:color w:val="auto"/>
        </w:rPr>
      </w:pPr>
    </w:p>
    <w:p>
      <w:pPr>
        <w:ind w:left="389" w:right="40" w:hanging="1"/>
        <w:spacing w:after="0" w:line="280" w:lineRule="auto"/>
        <w:tabs>
          <w:tab w:leader="none" w:pos="594" w:val="left"/>
        </w:tabs>
        <w:numPr>
          <w:ilvl w:val="1"/>
          <w:numId w:val="7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389" w:right="480" w:hanging="1"/>
        <w:spacing w:after="0" w:line="266" w:lineRule="auto"/>
        <w:tabs>
          <w:tab w:leader="none" w:pos="603" w:val="left"/>
        </w:tabs>
        <w:numPr>
          <w:ilvl w:val="1"/>
          <w:numId w:val="7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1" w:lineRule="exact"/>
        <w:rPr>
          <w:rFonts w:ascii="Arial" w:cs="Arial" w:eastAsia="Arial" w:hAnsi="Arial"/>
          <w:sz w:val="16"/>
          <w:szCs w:val="16"/>
          <w:color w:val="auto"/>
        </w:rPr>
      </w:pPr>
    </w:p>
    <w:p>
      <w:pPr>
        <w:ind w:left="369" w:right="20" w:hanging="369"/>
        <w:spacing w:after="0" w:line="280" w:lineRule="auto"/>
        <w:tabs>
          <w:tab w:leader="none" w:pos="369"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0" w:lineRule="exact"/>
        <w:rPr>
          <w:rFonts w:ascii="Arial" w:cs="Arial" w:eastAsia="Arial" w:hAnsi="Arial"/>
          <w:sz w:val="16"/>
          <w:szCs w:val="16"/>
          <w:color w:val="auto"/>
        </w:rPr>
      </w:pPr>
    </w:p>
    <w:p>
      <w:pPr>
        <w:ind w:left="489" w:right="100" w:hanging="6"/>
        <w:spacing w:after="0" w:line="280" w:lineRule="auto"/>
        <w:tabs>
          <w:tab w:leader="none" w:pos="685" w:val="left"/>
        </w:tabs>
        <w:numPr>
          <w:ilvl w:val="2"/>
          <w:numId w:val="7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489" w:right="320" w:hanging="6"/>
        <w:spacing w:after="0" w:line="280" w:lineRule="auto"/>
        <w:tabs>
          <w:tab w:leader="none" w:pos="694" w:val="left"/>
        </w:tabs>
        <w:numPr>
          <w:ilvl w:val="2"/>
          <w:numId w:val="71"/>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9"/>
        <w:spacing w:after="0"/>
        <w:rPr>
          <w:sz w:val="20"/>
          <w:szCs w:val="20"/>
          <w:color w:val="auto"/>
        </w:rPr>
      </w:pPr>
      <w:r>
        <w:rPr>
          <w:rFonts w:ascii="Arial" w:cs="Arial" w:eastAsia="Arial" w:hAnsi="Arial"/>
          <w:sz w:val="16"/>
          <w:szCs w:val="16"/>
          <w:u w:val="single" w:color="auto"/>
          <w:color w:val="auto"/>
        </w:rPr>
        <w:t>/s/David E. Bullwinkle</w:t>
      </w:r>
    </w:p>
    <w:p>
      <w:pPr>
        <w:spacing w:after="0" w:line="22" w:lineRule="exact"/>
        <w:rPr>
          <w:sz w:val="20"/>
          <w:szCs w:val="20"/>
          <w:color w:val="auto"/>
        </w:rPr>
      </w:pPr>
    </w:p>
    <w:p>
      <w:pPr>
        <w:ind w:left="9"/>
        <w:spacing w:after="0"/>
        <w:rPr>
          <w:sz w:val="20"/>
          <w:szCs w:val="20"/>
          <w:color w:val="auto"/>
        </w:rPr>
      </w:pPr>
      <w:r>
        <w:rPr>
          <w:rFonts w:ascii="Arial" w:cs="Arial" w:eastAsia="Arial" w:hAnsi="Arial"/>
          <w:sz w:val="16"/>
          <w:szCs w:val="16"/>
          <w:color w:val="auto"/>
        </w:rPr>
        <w:t>David E. Bullwinkle</w:t>
      </w:r>
    </w:p>
    <w:p>
      <w:pPr>
        <w:spacing w:after="0" w:line="9" w:lineRule="exact"/>
        <w:rPr>
          <w:sz w:val="20"/>
          <w:szCs w:val="20"/>
          <w:color w:val="auto"/>
        </w:rPr>
      </w:pPr>
    </w:p>
    <w:p>
      <w:pPr>
        <w:ind w:left="9"/>
        <w:spacing w:after="0"/>
        <w:rPr>
          <w:sz w:val="20"/>
          <w:szCs w:val="20"/>
          <w:color w:val="auto"/>
        </w:rPr>
      </w:pPr>
      <w:r>
        <w:rPr>
          <w:rFonts w:ascii="Arial" w:cs="Arial" w:eastAsia="Arial" w:hAnsi="Arial"/>
          <w:sz w:val="16"/>
          <w:szCs w:val="16"/>
          <w:color w:val="auto"/>
        </w:rPr>
        <w:t>Chief Financial Officer</w:t>
      </w:r>
    </w:p>
    <w:p>
      <w:pPr>
        <w:spacing w:after="0" w:line="384" w:lineRule="exact"/>
        <w:rPr>
          <w:sz w:val="20"/>
          <w:szCs w:val="20"/>
          <w:color w:val="auto"/>
        </w:rPr>
      </w:pPr>
    </w:p>
    <w:p>
      <w:pPr>
        <w:ind w:left="9"/>
        <w:spacing w:after="0"/>
        <w:rPr>
          <w:sz w:val="20"/>
          <w:szCs w:val="20"/>
          <w:color w:val="auto"/>
        </w:rPr>
      </w:pPr>
      <w:r>
        <w:rPr>
          <w:rFonts w:ascii="Arial" w:cs="Arial" w:eastAsia="Arial" w:hAnsi="Arial"/>
          <w:sz w:val="16"/>
          <w:szCs w:val="16"/>
          <w:color w:val="auto"/>
        </w:rPr>
        <w:t>Date: March 15, 2018</w:t>
      </w:r>
    </w:p>
    <w:p>
      <w:pPr>
        <w:sectPr>
          <w:pgSz w:w="11900" w:h="16838" w:orient="portrait"/>
          <w:cols w:equalWidth="0" w:num="1">
            <w:col w:w="10589"/>
          </w:cols>
          <w:pgMar w:left="611" w:top="123" w:right="699" w:bottom="1440" w:gutter="0" w:footer="0" w:header="0"/>
        </w:sectPr>
      </w:pPr>
    </w:p>
    <w:bookmarkStart w:id="128" w:name="page129"/>
    <w:bookmarkEnd w:id="128"/>
    <w:p>
      <w:pPr>
        <w:jc w:val="right"/>
        <w:spacing w:after="0"/>
        <w:rPr>
          <w:sz w:val="20"/>
          <w:szCs w:val="20"/>
          <w:color w:val="auto"/>
        </w:rPr>
      </w:pPr>
      <w:r>
        <w:rPr>
          <w:rFonts w:ascii="Arial" w:cs="Arial" w:eastAsia="Arial" w:hAnsi="Arial"/>
          <w:sz w:val="16"/>
          <w:szCs w:val="16"/>
          <w:b w:val="1"/>
          <w:bCs w:val="1"/>
          <w:color w:val="auto"/>
        </w:rPr>
        <w:t>Exhibit (32.1)</w:t>
      </w:r>
    </w:p>
    <w:p>
      <w:pPr>
        <w:spacing w:after="0" w:line="26" w:lineRule="exact"/>
        <w:rPr>
          <w:sz w:val="20"/>
          <w:szCs w:val="20"/>
          <w:color w:val="auto"/>
        </w:rPr>
      </w:pPr>
    </w:p>
    <w:p>
      <w:pPr>
        <w:jc w:val="center"/>
        <w:ind w:left="1980"/>
        <w:spacing w:after="0"/>
        <w:rPr>
          <w:sz w:val="20"/>
          <w:szCs w:val="20"/>
          <w:color w:val="auto"/>
        </w:rPr>
      </w:pPr>
      <w:r>
        <w:rPr>
          <w:rFonts w:ascii="Arial" w:cs="Arial" w:eastAsia="Arial" w:hAnsi="Arial"/>
          <w:sz w:val="16"/>
          <w:szCs w:val="16"/>
          <w:b w:val="1"/>
          <w:bCs w:val="1"/>
          <w:color w:val="auto"/>
        </w:rPr>
        <w:t>CERTIFICATION PURSUANT TO</w:t>
      </w:r>
    </w:p>
    <w:p>
      <w:pPr>
        <w:spacing w:after="0" w:line="9" w:lineRule="exact"/>
        <w:rPr>
          <w:sz w:val="20"/>
          <w:szCs w:val="20"/>
          <w:color w:val="auto"/>
        </w:rPr>
      </w:pPr>
    </w:p>
    <w:p>
      <w:pPr>
        <w:jc w:val="center"/>
        <w:ind w:left="1980"/>
        <w:spacing w:after="0"/>
        <w:rPr>
          <w:sz w:val="20"/>
          <w:szCs w:val="20"/>
          <w:color w:val="auto"/>
        </w:rPr>
      </w:pPr>
      <w:r>
        <w:rPr>
          <w:rFonts w:ascii="Arial" w:cs="Arial" w:eastAsia="Arial" w:hAnsi="Arial"/>
          <w:sz w:val="16"/>
          <w:szCs w:val="16"/>
          <w:b w:val="1"/>
          <w:bCs w:val="1"/>
          <w:color w:val="auto"/>
        </w:rPr>
        <w:t>18 U.S.C. Section 1350,</w:t>
      </w:r>
    </w:p>
    <w:p>
      <w:pPr>
        <w:spacing w:after="0" w:line="9" w:lineRule="exact"/>
        <w:rPr>
          <w:sz w:val="20"/>
          <w:szCs w:val="20"/>
          <w:color w:val="auto"/>
        </w:rPr>
      </w:pPr>
    </w:p>
    <w:p>
      <w:pPr>
        <w:jc w:val="center"/>
        <w:ind w:left="1980"/>
        <w:spacing w:after="0"/>
        <w:rPr>
          <w:sz w:val="20"/>
          <w:szCs w:val="20"/>
          <w:color w:val="auto"/>
        </w:rPr>
      </w:pPr>
      <w:r>
        <w:rPr>
          <w:rFonts w:ascii="Arial" w:cs="Arial" w:eastAsia="Arial" w:hAnsi="Arial"/>
          <w:sz w:val="16"/>
          <w:szCs w:val="16"/>
          <w:b w:val="1"/>
          <w:bCs w:val="1"/>
          <w:color w:val="auto"/>
        </w:rPr>
        <w:t>AS ADOPTED PURSUANT TO</w:t>
      </w:r>
    </w:p>
    <w:p>
      <w:pPr>
        <w:spacing w:after="0" w:line="9" w:lineRule="exact"/>
        <w:rPr>
          <w:sz w:val="20"/>
          <w:szCs w:val="20"/>
          <w:color w:val="auto"/>
        </w:rPr>
      </w:pPr>
    </w:p>
    <w:p>
      <w:pPr>
        <w:jc w:val="center"/>
        <w:ind w:left="1980"/>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384"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In connection with the Annual Report of Eastman Kodak Company (the "Company") on Form 10-K for the period ended December 31, 2017 as filed with the Securities and Exchange Commission on the date hereof (the "Report"), I, Jeffrey J. Clarke, Chief Executive Officer of the Company, certify, pursuant to 18 U.S.C. Section 1350, as adopted pursuant to Section 906 of the Sarbanes-Oxley Act of 2002, that to the best of my knowledge:</w:t>
      </w:r>
    </w:p>
    <w:p>
      <w:pPr>
        <w:spacing w:after="0" w:line="162" w:lineRule="exact"/>
        <w:rPr>
          <w:sz w:val="20"/>
          <w:szCs w:val="20"/>
          <w:color w:val="auto"/>
        </w:rPr>
      </w:pPr>
    </w:p>
    <w:p>
      <w:pPr>
        <w:ind w:left="440" w:hanging="206"/>
        <w:spacing w:after="0"/>
        <w:tabs>
          <w:tab w:leader="none" w:pos="44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202" w:lineRule="exact"/>
        <w:rPr>
          <w:rFonts w:ascii="Arial" w:cs="Arial" w:eastAsia="Arial" w:hAnsi="Arial"/>
          <w:sz w:val="16"/>
          <w:szCs w:val="16"/>
          <w:color w:val="auto"/>
        </w:rPr>
      </w:pPr>
    </w:p>
    <w:p>
      <w:pPr>
        <w:ind w:left="440" w:hanging="206"/>
        <w:spacing w:after="0"/>
        <w:tabs>
          <w:tab w:leader="none" w:pos="44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/s/Jeffrey J. Clarke</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Jeffrey J. Clarke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Chief Executive Officer</w:t>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6"/>
          <w:szCs w:val="16"/>
          <w:color w:val="auto"/>
        </w:rPr>
        <w:t>Date: March 15, 2018</w:t>
      </w:r>
    </w:p>
    <w:p>
      <w:pPr>
        <w:sectPr>
          <w:pgSz w:w="11900" w:h="16838" w:orient="portrait"/>
          <w:cols w:equalWidth="0" w:num="1">
            <w:col w:w="10840"/>
          </w:cols>
          <w:pgMar w:left="240" w:top="316" w:right="819" w:bottom="1440" w:gutter="0" w:footer="0" w:header="0"/>
        </w:sectPr>
      </w:pPr>
    </w:p>
    <w:bookmarkStart w:id="129" w:name="page130"/>
    <w:bookmarkEnd w:id="129"/>
    <w:p>
      <w:pPr>
        <w:jc w:val="right"/>
        <w:spacing w:after="0"/>
        <w:rPr>
          <w:sz w:val="20"/>
          <w:szCs w:val="20"/>
          <w:color w:val="auto"/>
        </w:rPr>
      </w:pPr>
      <w:r>
        <w:rPr>
          <w:rFonts w:ascii="Arial" w:cs="Arial" w:eastAsia="Arial" w:hAnsi="Arial"/>
          <w:sz w:val="16"/>
          <w:szCs w:val="16"/>
          <w:b w:val="1"/>
          <w:bCs w:val="1"/>
          <w:color w:val="auto"/>
        </w:rPr>
        <w:t>Exhibit (32.2)</w:t>
      </w:r>
    </w:p>
    <w:p>
      <w:pPr>
        <w:spacing w:after="0" w:line="26" w:lineRule="exact"/>
        <w:rPr>
          <w:sz w:val="20"/>
          <w:szCs w:val="20"/>
          <w:color w:val="auto"/>
        </w:rPr>
      </w:pPr>
    </w:p>
    <w:p>
      <w:pPr>
        <w:jc w:val="center"/>
        <w:ind w:left="1980"/>
        <w:spacing w:after="0"/>
        <w:rPr>
          <w:sz w:val="20"/>
          <w:szCs w:val="20"/>
          <w:color w:val="auto"/>
        </w:rPr>
      </w:pPr>
      <w:r>
        <w:rPr>
          <w:rFonts w:ascii="Arial" w:cs="Arial" w:eastAsia="Arial" w:hAnsi="Arial"/>
          <w:sz w:val="16"/>
          <w:szCs w:val="16"/>
          <w:b w:val="1"/>
          <w:bCs w:val="1"/>
          <w:color w:val="auto"/>
        </w:rPr>
        <w:t>CERTIFICATION PURSUANT TO</w:t>
      </w:r>
    </w:p>
    <w:p>
      <w:pPr>
        <w:spacing w:after="0" w:line="9" w:lineRule="exact"/>
        <w:rPr>
          <w:sz w:val="20"/>
          <w:szCs w:val="20"/>
          <w:color w:val="auto"/>
        </w:rPr>
      </w:pPr>
    </w:p>
    <w:p>
      <w:pPr>
        <w:jc w:val="center"/>
        <w:ind w:left="1980"/>
        <w:spacing w:after="0"/>
        <w:rPr>
          <w:sz w:val="20"/>
          <w:szCs w:val="20"/>
          <w:color w:val="auto"/>
        </w:rPr>
      </w:pPr>
      <w:r>
        <w:rPr>
          <w:rFonts w:ascii="Arial" w:cs="Arial" w:eastAsia="Arial" w:hAnsi="Arial"/>
          <w:sz w:val="16"/>
          <w:szCs w:val="16"/>
          <w:b w:val="1"/>
          <w:bCs w:val="1"/>
          <w:color w:val="auto"/>
        </w:rPr>
        <w:t>18 U.S.C. Section 1350,</w:t>
      </w:r>
    </w:p>
    <w:p>
      <w:pPr>
        <w:spacing w:after="0" w:line="9" w:lineRule="exact"/>
        <w:rPr>
          <w:sz w:val="20"/>
          <w:szCs w:val="20"/>
          <w:color w:val="auto"/>
        </w:rPr>
      </w:pPr>
    </w:p>
    <w:p>
      <w:pPr>
        <w:jc w:val="center"/>
        <w:ind w:left="1980"/>
        <w:spacing w:after="0"/>
        <w:rPr>
          <w:sz w:val="20"/>
          <w:szCs w:val="20"/>
          <w:color w:val="auto"/>
        </w:rPr>
      </w:pPr>
      <w:r>
        <w:rPr>
          <w:rFonts w:ascii="Arial" w:cs="Arial" w:eastAsia="Arial" w:hAnsi="Arial"/>
          <w:sz w:val="16"/>
          <w:szCs w:val="16"/>
          <w:b w:val="1"/>
          <w:bCs w:val="1"/>
          <w:color w:val="auto"/>
        </w:rPr>
        <w:t>AS ADOPTED PURSUANT TO</w:t>
      </w:r>
    </w:p>
    <w:p>
      <w:pPr>
        <w:spacing w:after="0" w:line="9" w:lineRule="exact"/>
        <w:rPr>
          <w:sz w:val="20"/>
          <w:szCs w:val="20"/>
          <w:color w:val="auto"/>
        </w:rPr>
      </w:pPr>
    </w:p>
    <w:p>
      <w:pPr>
        <w:jc w:val="center"/>
        <w:ind w:left="1980"/>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384"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In connection with the Annual Report of Eastman Kodak Company (the "Company") on Form 10-K for the period ended December 31, 2017 as filed with the Securities and Exchange Commission on the date hereof (the "Report"), I, David E. Bullwinkle, Chief Financial Officer of the Company, certify, pursuant to 18 U.S.C. Section 1350, as adopted pursuant to Section 906 of the Sarbanes-Oxley Act of 2002, that to the best of my knowledge:</w:t>
      </w:r>
    </w:p>
    <w:p>
      <w:pPr>
        <w:spacing w:after="0" w:line="162" w:lineRule="exact"/>
        <w:rPr>
          <w:sz w:val="20"/>
          <w:szCs w:val="20"/>
          <w:color w:val="auto"/>
        </w:rPr>
      </w:pPr>
    </w:p>
    <w:p>
      <w:pPr>
        <w:ind w:left="560" w:hanging="207"/>
        <w:spacing w:after="0"/>
        <w:tabs>
          <w:tab w:leader="none" w:pos="560"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202" w:lineRule="exact"/>
        <w:rPr>
          <w:rFonts w:ascii="Arial" w:cs="Arial" w:eastAsia="Arial" w:hAnsi="Arial"/>
          <w:sz w:val="16"/>
          <w:szCs w:val="16"/>
          <w:color w:val="auto"/>
        </w:rPr>
      </w:pPr>
    </w:p>
    <w:p>
      <w:pPr>
        <w:ind w:left="560" w:hanging="207"/>
        <w:spacing w:after="0"/>
        <w:tabs>
          <w:tab w:leader="none" w:pos="560"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2560"/>
        <w:spacing w:after="0"/>
        <w:rPr>
          <w:sz w:val="20"/>
          <w:szCs w:val="20"/>
          <w:color w:val="auto"/>
        </w:rPr>
      </w:pPr>
      <w:r>
        <w:rPr>
          <w:rFonts w:ascii="Arial" w:cs="Arial" w:eastAsia="Arial" w:hAnsi="Arial"/>
          <w:sz w:val="16"/>
          <w:szCs w:val="16"/>
          <w:u w:val="single" w:color="auto"/>
          <w:color w:val="auto"/>
        </w:rPr>
        <w:t>/s/David E. Bullwinkle</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David E. Bullwinkle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Chief Financial Officer</w:t>
      </w:r>
    </w:p>
    <w:p>
      <w:pPr>
        <w:spacing w:after="0" w:line="384" w:lineRule="exact"/>
        <w:rPr>
          <w:sz w:val="20"/>
          <w:szCs w:val="20"/>
          <w:color w:val="auto"/>
        </w:rPr>
      </w:pPr>
    </w:p>
    <w:p>
      <w:pPr>
        <w:spacing w:after="0"/>
        <w:rPr>
          <w:sz w:val="20"/>
          <w:szCs w:val="20"/>
          <w:color w:val="auto"/>
        </w:rPr>
      </w:pPr>
      <w:r>
        <w:rPr>
          <w:rFonts w:ascii="Arial" w:cs="Arial" w:eastAsia="Arial" w:hAnsi="Arial"/>
          <w:sz w:val="16"/>
          <w:szCs w:val="16"/>
          <w:color w:val="auto"/>
        </w:rPr>
        <w:t>Date: March 15, 2018</w:t>
      </w:r>
    </w:p>
    <w:sectPr>
      <w:pgSz w:w="11900" w:h="16838" w:orient="portrait"/>
      <w:cols w:equalWidth="0" w:num="1">
        <w:col w:w="10840"/>
      </w:cols>
      <w:pgMar w:left="240" w:top="316" w:right="8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7465F01"/>
    <w:multiLevelType w:val="hybridMultilevel"/>
    <w:lvl w:ilvl="0">
      <w:lvlJc w:val="left"/>
      <w:lvlText w:val="☒"/>
      <w:numFmt w:val="bullet"/>
      <w:start w:val="1"/>
    </w:lvl>
  </w:abstractNum>
  <w:abstractNum w:abstractNumId="1">
    <w:nsid w:val="7724C67E"/>
    <w:multiLevelType w:val="hybridMultilevel"/>
    <w:lvl w:ilvl="0">
      <w:lvlJc w:val="left"/>
      <w:lvlText w:val="☐"/>
      <w:numFmt w:val="bullet"/>
      <w:start w:val="1"/>
    </w:lvl>
  </w:abstractNum>
  <w:abstractNum w:abstractNumId="2">
    <w:nsid w:val="5C482A97"/>
    <w:multiLevelType w:val="hybridMultilevel"/>
    <w:lvl w:ilvl="0">
      <w:lvlJc w:val="left"/>
      <w:lvlText w:val="%1."/>
      <w:numFmt w:val="upperLetter"/>
      <w:start w:val="11"/>
    </w:lvl>
  </w:abstractNum>
  <w:abstractNum w:abstractNumId="3">
    <w:nsid w:val="2463B9EA"/>
    <w:multiLevelType w:val="hybridMultilevel"/>
    <w:lvl w:ilvl="0">
      <w:lvlJc w:val="left"/>
      <w:lvlText w:val="•"/>
      <w:numFmt w:val="bullet"/>
      <w:start w:val="1"/>
    </w:lvl>
    <w:lvl w:ilvl="1">
      <w:lvlJc w:val="left"/>
      <w:lvlText w:val="•"/>
      <w:numFmt w:val="bullet"/>
      <w:start w:val="1"/>
    </w:lvl>
  </w:abstractNum>
  <w:abstractNum w:abstractNumId="4">
    <w:nsid w:val="5E884ADC"/>
    <w:multiLevelType w:val="hybridMultilevel"/>
    <w:lvl w:ilvl="0">
      <w:lvlJc w:val="left"/>
      <w:lvlText w:val="•"/>
      <w:numFmt w:val="bullet"/>
      <w:start w:val="1"/>
    </w:lvl>
    <w:lvl w:ilvl="1">
      <w:lvlJc w:val="left"/>
      <w:lvlText w:val="•"/>
      <w:numFmt w:val="bullet"/>
      <w:start w:val="1"/>
    </w:lvl>
  </w:abstractNum>
  <w:abstractNum w:abstractNumId="5">
    <w:nsid w:val="51EAD36B"/>
    <w:multiLevelType w:val="hybridMultilevel"/>
    <w:lvl w:ilvl="0">
      <w:lvlJc w:val="left"/>
      <w:lvlText w:val="•"/>
      <w:numFmt w:val="bullet"/>
      <w:start w:val="1"/>
    </w:lvl>
    <w:lvl w:ilvl="1">
      <w:lvlJc w:val="left"/>
      <w:lvlText w:val="•"/>
      <w:numFmt w:val="bullet"/>
      <w:start w:val="1"/>
    </w:lvl>
  </w:abstractNum>
  <w:abstractNum w:abstractNumId="6">
    <w:nsid w:val="2D517796"/>
    <w:multiLevelType w:val="hybridMultilevel"/>
    <w:lvl w:ilvl="0">
      <w:lvlJc w:val="left"/>
      <w:lvlText w:val="•"/>
      <w:numFmt w:val="bullet"/>
      <w:start w:val="1"/>
    </w:lvl>
    <w:lvl w:ilvl="1">
      <w:lvlJc w:val="left"/>
      <w:lvlText w:val="•"/>
      <w:numFmt w:val="bullet"/>
      <w:start w:val="1"/>
    </w:lvl>
  </w:abstractNum>
  <w:abstractNum w:abstractNumId="7">
    <w:nsid w:val="580BD78F"/>
    <w:multiLevelType w:val="hybridMultilevel"/>
    <w:lvl w:ilvl="0">
      <w:lvlJc w:val="left"/>
      <w:lvlText w:val="•"/>
      <w:numFmt w:val="bullet"/>
      <w:start w:val="1"/>
    </w:lvl>
    <w:lvl w:ilvl="1">
      <w:lvlJc w:val="left"/>
      <w:lvlText w:val="•"/>
      <w:numFmt w:val="bullet"/>
      <w:start w:val="1"/>
    </w:lvl>
  </w:abstractNum>
  <w:abstractNum w:abstractNumId="8">
    <w:nsid w:val="153EA438"/>
    <w:multiLevelType w:val="hybridMultilevel"/>
    <w:lvl w:ilvl="0">
      <w:lvlJc w:val="left"/>
      <w:lvlText w:val="•"/>
      <w:numFmt w:val="bullet"/>
      <w:start w:val="1"/>
    </w:lvl>
    <w:lvl w:ilvl="1">
      <w:lvlJc w:val="left"/>
      <w:lvlText w:val="•"/>
      <w:numFmt w:val="bullet"/>
      <w:start w:val="1"/>
    </w:lvl>
  </w:abstractNum>
  <w:abstractNum w:abstractNumId="9">
    <w:nsid w:val="3855585C"/>
    <w:multiLevelType w:val="hybridMultilevel"/>
    <w:lvl w:ilvl="0">
      <w:lvlJc w:val="left"/>
      <w:lvlText w:val="•"/>
      <w:numFmt w:val="bullet"/>
      <w:start w:val="1"/>
    </w:lvl>
    <w:lvl w:ilvl="1">
      <w:lvlJc w:val="left"/>
      <w:lvlText w:val="•"/>
      <w:numFmt w:val="bullet"/>
      <w:start w:val="1"/>
    </w:lvl>
  </w:abstractNum>
  <w:abstractNum w:abstractNumId="10">
    <w:nsid w:val="70A64E2A"/>
    <w:multiLevelType w:val="hybridMultilevel"/>
    <w:lvl w:ilvl="0">
      <w:lvlJc w:val="left"/>
      <w:lvlText w:val="•"/>
      <w:numFmt w:val="bullet"/>
      <w:start w:val="1"/>
    </w:lvl>
    <w:lvl w:ilvl="1">
      <w:lvlJc w:val="left"/>
      <w:lvlText w:val="•"/>
      <w:numFmt w:val="bullet"/>
      <w:start w:val="1"/>
    </w:lvl>
  </w:abstractNum>
  <w:abstractNum w:abstractNumId="11">
    <w:nsid w:val="6A2342EC"/>
    <w:multiLevelType w:val="hybridMultilevel"/>
    <w:lvl w:ilvl="0">
      <w:lvlJc w:val="left"/>
      <w:lvlText w:val="•"/>
      <w:numFmt w:val="bullet"/>
      <w:start w:val="1"/>
    </w:lvl>
    <w:lvl w:ilvl="1">
      <w:lvlJc w:val="left"/>
      <w:lvlText w:val="•"/>
      <w:numFmt w:val="bullet"/>
      <w:start w:val="1"/>
    </w:lvl>
  </w:abstractNum>
  <w:abstractNum w:abstractNumId="12">
    <w:nsid w:val="2A487CB0"/>
    <w:multiLevelType w:val="hybridMultilevel"/>
    <w:lvl w:ilvl="0">
      <w:lvlJc w:val="left"/>
      <w:lvlText w:val="•"/>
      <w:numFmt w:val="bullet"/>
      <w:start w:val="1"/>
    </w:lvl>
  </w:abstractNum>
  <w:abstractNum w:abstractNumId="13">
    <w:nsid w:val="1D4ED43B"/>
    <w:multiLevelType w:val="hybridMultilevel"/>
    <w:lvl w:ilvl="0">
      <w:lvlJc w:val="left"/>
      <w:lvlText w:val="•"/>
      <w:numFmt w:val="bullet"/>
      <w:start w:val="1"/>
    </w:lvl>
  </w:abstractNum>
  <w:abstractNum w:abstractNumId="14">
    <w:nsid w:val="725A06FB"/>
    <w:multiLevelType w:val="hybridMultilevel"/>
    <w:lvl w:ilvl="0">
      <w:lvlJc w:val="left"/>
      <w:lvlText w:val="•"/>
      <w:numFmt w:val="bullet"/>
      <w:start w:val="1"/>
    </w:lvl>
  </w:abstractNum>
  <w:abstractNum w:abstractNumId="15">
    <w:nsid w:val="2CD89A32"/>
    <w:multiLevelType w:val="hybridMultilevel"/>
    <w:lvl w:ilvl="0">
      <w:lvlJc w:val="left"/>
      <w:lvlText w:val="•"/>
      <w:numFmt w:val="bullet"/>
      <w:start w:val="1"/>
    </w:lvl>
  </w:abstractNum>
  <w:abstractNum w:abstractNumId="16">
    <w:nsid w:val="57E4CCAF"/>
    <w:multiLevelType w:val="hybridMultilevel"/>
    <w:lvl w:ilvl="0">
      <w:lvlJc w:val="left"/>
      <w:lvlText w:val="•"/>
      <w:numFmt w:val="bullet"/>
      <w:start w:val="1"/>
    </w:lvl>
  </w:abstractNum>
  <w:abstractNum w:abstractNumId="17">
    <w:nsid w:val="7A6D8D3C"/>
    <w:multiLevelType w:val="hybridMultilevel"/>
    <w:lvl w:ilvl="0">
      <w:lvlJc w:val="left"/>
      <w:lvlText w:val="•"/>
      <w:numFmt w:val="bullet"/>
      <w:start w:val="1"/>
    </w:lvl>
  </w:abstractNum>
  <w:abstractNum w:abstractNumId="18">
    <w:nsid w:val="4B588F54"/>
    <w:multiLevelType w:val="hybridMultilevel"/>
    <w:lvl w:ilvl="0">
      <w:lvlJc w:val="left"/>
      <w:lvlText w:val="•"/>
      <w:numFmt w:val="bullet"/>
      <w:start w:val="1"/>
    </w:lvl>
  </w:abstractNum>
  <w:abstractNum w:abstractNumId="19">
    <w:nsid w:val="542289EC"/>
    <w:multiLevelType w:val="hybridMultilevel"/>
    <w:lvl w:ilvl="0">
      <w:lvlJc w:val="left"/>
      <w:lvlText w:val="•"/>
      <w:numFmt w:val="bullet"/>
      <w:start w:val="1"/>
    </w:lvl>
  </w:abstractNum>
  <w:abstractNum w:abstractNumId="20">
    <w:nsid w:val="6DE91B18"/>
    <w:multiLevelType w:val="hybridMultilevel"/>
    <w:lvl w:ilvl="0">
      <w:lvlJc w:val="left"/>
      <w:lvlText w:val="•"/>
      <w:numFmt w:val="bullet"/>
      <w:start w:val="1"/>
    </w:lvl>
  </w:abstractNum>
  <w:abstractNum w:abstractNumId="21">
    <w:nsid w:val="38437FDB"/>
    <w:multiLevelType w:val="hybridMultilevel"/>
    <w:lvl w:ilvl="0">
      <w:lvlJc w:val="left"/>
      <w:lvlText w:val="•"/>
      <w:numFmt w:val="bullet"/>
      <w:start w:val="1"/>
    </w:lvl>
  </w:abstractNum>
  <w:abstractNum w:abstractNumId="22">
    <w:nsid w:val="7644A45C"/>
    <w:multiLevelType w:val="hybridMultilevel"/>
    <w:lvl w:ilvl="0">
      <w:lvlJc w:val="left"/>
      <w:lvlText w:val="•"/>
      <w:numFmt w:val="bullet"/>
      <w:start w:val="1"/>
    </w:lvl>
  </w:abstractNum>
  <w:abstractNum w:abstractNumId="23">
    <w:nsid w:val="32FFF902"/>
    <w:multiLevelType w:val="hybridMultilevel"/>
    <w:lvl w:ilvl="0">
      <w:lvlJc w:val="left"/>
      <w:lvlText w:val="•"/>
      <w:numFmt w:val="bullet"/>
      <w:start w:val="1"/>
    </w:lvl>
  </w:abstractNum>
  <w:abstractNum w:abstractNumId="24">
    <w:nsid w:val="684A481A"/>
    <w:multiLevelType w:val="hybridMultilevel"/>
    <w:lvl w:ilvl="0">
      <w:lvlJc w:val="left"/>
      <w:lvlText w:val="(%1)"/>
      <w:numFmt w:val="decimal"/>
      <w:start w:val="1"/>
    </w:lvl>
  </w:abstractNum>
  <w:abstractNum w:abstractNumId="25">
    <w:nsid w:val="579478FE"/>
    <w:multiLevelType w:val="hybridMultilevel"/>
    <w:lvl w:ilvl="0">
      <w:lvlJc w:val="left"/>
      <w:lvlText w:val="(%1)"/>
      <w:numFmt w:val="decimal"/>
      <w:start w:val="1"/>
    </w:lvl>
  </w:abstractNum>
  <w:abstractNum w:abstractNumId="26">
    <w:nsid w:val="749ABB43"/>
    <w:multiLevelType w:val="hybridMultilevel"/>
    <w:lvl w:ilvl="0">
      <w:lvlJc w:val="left"/>
      <w:lvlText w:val="•"/>
      <w:numFmt w:val="bullet"/>
      <w:start w:val="1"/>
    </w:lvl>
  </w:abstractNum>
  <w:abstractNum w:abstractNumId="27">
    <w:nsid w:val="3DC240FB"/>
    <w:multiLevelType w:val="hybridMultilevel"/>
    <w:lvl w:ilvl="0">
      <w:lvlJc w:val="left"/>
      <w:lvlText w:val="•"/>
      <w:numFmt w:val="bullet"/>
      <w:start w:val="1"/>
    </w:lvl>
  </w:abstractNum>
  <w:abstractNum w:abstractNumId="28">
    <w:nsid w:val="1BA026FA"/>
    <w:multiLevelType w:val="hybridMultilevel"/>
    <w:lvl w:ilvl="0">
      <w:lvlJc w:val="left"/>
      <w:lvlText w:val="•"/>
      <w:numFmt w:val="bullet"/>
      <w:start w:val="1"/>
    </w:lvl>
    <w:lvl w:ilvl="1">
      <w:lvlJc w:val="left"/>
      <w:lvlText w:val="•"/>
      <w:numFmt w:val="bullet"/>
      <w:start w:val="1"/>
    </w:lvl>
  </w:abstractNum>
  <w:abstractNum w:abstractNumId="29">
    <w:nsid w:val="79A1DEAA"/>
    <w:multiLevelType w:val="hybridMultilevel"/>
    <w:lvl w:ilvl="0">
      <w:lvlJc w:val="left"/>
      <w:lvlText w:val="(%1)"/>
      <w:numFmt w:val="decimal"/>
      <w:start w:val="1"/>
    </w:lvl>
  </w:abstractNum>
  <w:abstractNum w:abstractNumId="30">
    <w:nsid w:val="75C6C33A"/>
    <w:multiLevelType w:val="hybridMultilevel"/>
    <w:lvl w:ilvl="0">
      <w:lvlJc w:val="left"/>
      <w:lvlText w:val="(%1)"/>
      <w:numFmt w:val="decimal"/>
      <w:start w:val="5"/>
    </w:lvl>
  </w:abstractNum>
  <w:abstractNum w:abstractNumId="31">
    <w:nsid w:val="12E685FB"/>
    <w:multiLevelType w:val="hybridMultilevel"/>
    <w:lvl w:ilvl="0">
      <w:lvlJc w:val="left"/>
      <w:lvlText w:val="(%1)"/>
      <w:numFmt w:val="decimal"/>
      <w:start w:val="1"/>
    </w:lvl>
  </w:abstractNum>
  <w:abstractNum w:abstractNumId="32">
    <w:nsid w:val="70C6A529"/>
    <w:multiLevelType w:val="hybridMultilevel"/>
    <w:lvl w:ilvl="0">
      <w:lvlJc w:val="left"/>
      <w:lvlText w:val="(%1)"/>
      <w:numFmt w:val="decimal"/>
      <w:start w:val="1"/>
    </w:lvl>
  </w:abstractNum>
  <w:abstractNum w:abstractNumId="33">
    <w:nsid w:val="520EEDD1"/>
    <w:multiLevelType w:val="hybridMultilevel"/>
    <w:lvl w:ilvl="0">
      <w:lvlJc w:val="left"/>
      <w:lvlText w:val="%1)"/>
      <w:numFmt w:val="decimal"/>
      <w:start w:val="718"/>
    </w:lvl>
  </w:abstractNum>
  <w:abstractNum w:abstractNumId="34">
    <w:nsid w:val="374A3FE6"/>
    <w:multiLevelType w:val="hybridMultilevel"/>
    <w:lvl w:ilvl="0">
      <w:lvlJc w:val="left"/>
      <w:lvlText w:val="(%1)"/>
      <w:numFmt w:val="lowerRoman"/>
      <w:start w:val="4"/>
    </w:lvl>
  </w:abstractNum>
  <w:abstractNum w:abstractNumId="35">
    <w:nsid w:val="4F4EF005"/>
    <w:multiLevelType w:val="hybridMultilevel"/>
    <w:lvl w:ilvl="0">
      <w:lvlJc w:val="left"/>
      <w:lvlText w:val="(%1)"/>
      <w:numFmt w:val="decimal"/>
      <w:start w:val="1"/>
    </w:lvl>
  </w:abstractNum>
  <w:abstractNum w:abstractNumId="36">
    <w:nsid w:val="23F9C13C"/>
    <w:multiLevelType w:val="hybridMultilevel"/>
    <w:lvl w:ilvl="0">
      <w:lvlJc w:val="left"/>
      <w:lvlText w:val="(%1)"/>
      <w:numFmt w:val="decimal"/>
      <w:start w:val="2"/>
    </w:lvl>
  </w:abstractNum>
  <w:abstractNum w:abstractNumId="37">
    <w:nsid w:val="649BB77C"/>
    <w:multiLevelType w:val="hybridMultilevel"/>
    <w:lvl w:ilvl="0">
      <w:lvlJc w:val="left"/>
      <w:lvlText w:val="(%1)"/>
      <w:numFmt w:val="decimal"/>
      <w:start w:val="1"/>
    </w:lvl>
  </w:abstractNum>
  <w:abstractNum w:abstractNumId="38">
    <w:nsid w:val="275AC794"/>
    <w:multiLevelType w:val="hybridMultilevel"/>
    <w:lvl w:ilvl="0">
      <w:lvlJc w:val="left"/>
      <w:lvlText w:val="(%1)"/>
      <w:numFmt w:val="lowerLetter"/>
      <w:start w:val="1"/>
    </w:lvl>
  </w:abstractNum>
  <w:abstractNum w:abstractNumId="39">
    <w:nsid w:val="39386575"/>
    <w:multiLevelType w:val="hybridMultilevel"/>
    <w:lvl w:ilvl="0">
      <w:lvlJc w:val="left"/>
      <w:lvlText w:val="(%1)"/>
      <w:numFmt w:val="decimal"/>
      <w:start w:val="1"/>
    </w:lvl>
  </w:abstractNum>
  <w:abstractNum w:abstractNumId="40">
    <w:nsid w:val="1CF10FD8"/>
    <w:multiLevelType w:val="hybridMultilevel"/>
    <w:lvl w:ilvl="0">
      <w:lvlJc w:val="left"/>
      <w:lvlText w:val="(%1)"/>
      <w:numFmt w:val="decimal"/>
      <w:start w:val="1"/>
    </w:lvl>
  </w:abstractNum>
  <w:abstractNum w:abstractNumId="41">
    <w:nsid w:val="180115BE"/>
    <w:multiLevelType w:val="hybridMultilevel"/>
    <w:lvl w:ilvl="0">
      <w:lvlJc w:val="left"/>
      <w:lvlText w:val="(%1)"/>
      <w:numFmt w:val="decimal"/>
      <w:start w:val="1"/>
    </w:lvl>
  </w:abstractNum>
  <w:abstractNum w:abstractNumId="42">
    <w:nsid w:val="235BA861"/>
    <w:multiLevelType w:val="hybridMultilevel"/>
    <w:lvl w:ilvl="0">
      <w:lvlJc w:val="left"/>
      <w:lvlText w:val="(%1)"/>
      <w:numFmt w:val="decimal"/>
      <w:start w:val="2"/>
    </w:lvl>
  </w:abstractNum>
  <w:abstractNum w:abstractNumId="43">
    <w:nsid w:val="47398C89"/>
    <w:multiLevelType w:val="hybridMultilevel"/>
    <w:lvl w:ilvl="0">
      <w:lvlJc w:val="left"/>
      <w:lvlText w:val="(%1)"/>
      <w:numFmt w:val="decimal"/>
      <w:start w:val="1"/>
    </w:lvl>
  </w:abstractNum>
  <w:abstractNum w:abstractNumId="44">
    <w:nsid w:val="354FE9F9"/>
    <w:multiLevelType w:val="hybridMultilevel"/>
    <w:lvl w:ilvl="0">
      <w:lvlJc w:val="left"/>
      <w:lvlText w:val="(%1)"/>
      <w:numFmt w:val="decimal"/>
      <w:start w:val="1"/>
    </w:lvl>
  </w:abstractNum>
  <w:abstractNum w:abstractNumId="45">
    <w:nsid w:val="15B5AF5C"/>
    <w:multiLevelType w:val="hybridMultilevel"/>
    <w:lvl w:ilvl="0">
      <w:lvlJc w:val="left"/>
      <w:lvlText w:val="#"/>
      <w:numFmt w:val="bullet"/>
      <w:start w:val="1"/>
    </w:lvl>
  </w:abstractNum>
  <w:abstractNum w:abstractNumId="46">
    <w:nsid w:val="741226BB"/>
    <w:multiLevelType w:val="hybridMultilevel"/>
    <w:lvl w:ilvl="0">
      <w:lvlJc w:val="left"/>
      <w:lvlText w:val="%1."/>
      <w:numFmt w:val="decimal"/>
      <w:start w:val="1"/>
    </w:lvl>
  </w:abstractNum>
  <w:abstractNum w:abstractNumId="47">
    <w:nsid w:val="D34B6A8"/>
    <w:multiLevelType w:val="hybridMultilevel"/>
    <w:lvl w:ilvl="0">
      <w:lvlJc w:val="left"/>
      <w:lvlText w:val="%1."/>
      <w:numFmt w:val="decimal"/>
      <w:start w:val="2"/>
    </w:lvl>
  </w:abstractNum>
  <w:abstractNum w:abstractNumId="48">
    <w:nsid w:val="10233C99"/>
    <w:multiLevelType w:val="hybridMultilevel"/>
    <w:lvl w:ilvl="0">
      <w:lvlJc w:val="left"/>
      <w:lvlText w:val="%1."/>
      <w:numFmt w:val="decimal"/>
      <w:start w:val="3"/>
    </w:lvl>
  </w:abstractNum>
  <w:abstractNum w:abstractNumId="49">
    <w:nsid w:val="3F6AB60F"/>
    <w:multiLevelType w:val="hybridMultilevel"/>
    <w:lvl w:ilvl="0">
      <w:lvlJc w:val="left"/>
      <w:lvlText w:val="%1"/>
      <w:numFmt w:val="decimal"/>
      <w:start w:val="1"/>
    </w:lvl>
    <w:lvl w:ilvl="1">
      <w:lvlJc w:val="left"/>
      <w:lvlText w:val="(%2)"/>
      <w:numFmt w:val="lowerLetter"/>
      <w:start w:val="3"/>
    </w:lvl>
  </w:abstractNum>
  <w:abstractNum w:abstractNumId="50">
    <w:nsid w:val="61574095"/>
    <w:multiLevelType w:val="hybridMultilevel"/>
    <w:lvl w:ilvl="0">
      <w:lvlJc w:val="left"/>
      <w:lvlText w:val="%1."/>
      <w:numFmt w:val="decimal"/>
      <w:start w:val="4"/>
    </w:lvl>
    <w:lvl w:ilvl="1">
      <w:lvlJc w:val="left"/>
      <w:lvlText w:val="%2"/>
      <w:numFmt w:val="lowerLetter"/>
      <w:start w:val="1"/>
    </w:lvl>
  </w:abstractNum>
  <w:abstractNum w:abstractNumId="51">
    <w:nsid w:val="7E0C57B1"/>
    <w:multiLevelType w:val="hybridMultilevel"/>
    <w:lvl w:ilvl="0">
      <w:lvlJc w:val="left"/>
      <w:lvlText w:val="(%1)"/>
      <w:numFmt w:val="lowerLetter"/>
      <w:start w:val="2"/>
    </w:lvl>
  </w:abstractNum>
  <w:abstractNum w:abstractNumId="52">
    <w:nsid w:val="77AE35EB"/>
    <w:multiLevelType w:val="hybridMultilevel"/>
    <w:lvl w:ilvl="0">
      <w:lvlJc w:val="left"/>
      <w:lvlText w:val="%1"/>
      <w:numFmt w:val="decimal"/>
      <w:start w:val="1"/>
    </w:lvl>
    <w:lvl w:ilvl="1">
      <w:lvlJc w:val="left"/>
      <w:lvlText w:val="(%2)"/>
      <w:numFmt w:val="lowerLetter"/>
      <w:start w:val="2"/>
    </w:lvl>
  </w:abstractNum>
  <w:abstractNum w:abstractNumId="53">
    <w:nsid w:val="579BE4F1"/>
    <w:multiLevelType w:val="hybridMultilevel"/>
    <w:lvl w:ilvl="0">
      <w:lvlJc w:val="left"/>
      <w:lvlText w:val="%1."/>
      <w:numFmt w:val="decimal"/>
      <w:start w:val="5"/>
    </w:lvl>
    <w:lvl w:ilvl="1">
      <w:lvlJc w:val="left"/>
      <w:lvlText w:val="%2"/>
      <w:numFmt w:val="lowerLetter"/>
      <w:start w:val="1"/>
    </w:lvl>
  </w:abstractNum>
  <w:abstractNum w:abstractNumId="54">
    <w:nsid w:val="310C50B3"/>
    <w:multiLevelType w:val="hybridMultilevel"/>
    <w:lvl w:ilvl="0">
      <w:lvlJc w:val="left"/>
      <w:lvlText w:val="(%1)"/>
      <w:numFmt w:val="lowerLetter"/>
      <w:start w:val="2"/>
    </w:lvl>
    <w:lvl w:ilvl="1">
      <w:lvlJc w:val="left"/>
      <w:lvlText w:val="(%2)"/>
      <w:numFmt w:val="decimal"/>
      <w:start w:val="1"/>
    </w:lvl>
  </w:abstractNum>
  <w:abstractNum w:abstractNumId="55">
    <w:nsid w:val="5FF87E05"/>
    <w:multiLevelType w:val="hybridMultilevel"/>
    <w:lvl w:ilvl="0">
      <w:lvlJc w:val="left"/>
      <w:lvlText w:val="(%1)"/>
      <w:numFmt w:val="decimal"/>
      <w:start w:val="2"/>
    </w:lvl>
    <w:lvl w:ilvl="1">
      <w:lvlJc w:val="left"/>
      <w:lvlText w:val="(%2)"/>
      <w:numFmt w:val="decimal"/>
      <w:start w:val="3"/>
    </w:lvl>
  </w:abstractNum>
  <w:abstractNum w:abstractNumId="56">
    <w:nsid w:val="2F305DEF"/>
    <w:multiLevelType w:val="hybridMultilevel"/>
    <w:lvl w:ilvl="0">
      <w:lvlJc w:val="left"/>
      <w:lvlText w:val="(%1)"/>
      <w:numFmt w:val="decimal"/>
      <w:start w:val="1"/>
    </w:lvl>
  </w:abstractNum>
  <w:abstractNum w:abstractNumId="57">
    <w:nsid w:val="25A70BF7"/>
    <w:multiLevelType w:val="hybridMultilevel"/>
    <w:lvl w:ilvl="0">
      <w:lvlJc w:val="left"/>
      <w:lvlText w:val="(%1)"/>
      <w:numFmt w:val="decimal"/>
      <w:start w:val="2"/>
    </w:lvl>
  </w:abstractNum>
  <w:abstractNum w:abstractNumId="58">
    <w:nsid w:val="1DBABF00"/>
    <w:multiLevelType w:val="hybridMultilevel"/>
    <w:lvl w:ilvl="0">
      <w:lvlJc w:val="left"/>
      <w:lvlText w:val="(%1)"/>
      <w:numFmt w:val="decimal"/>
      <w:start w:val="1"/>
    </w:lvl>
  </w:abstractNum>
  <w:abstractNum w:abstractNumId="59">
    <w:nsid w:val="4AD084E9"/>
    <w:multiLevelType w:val="hybridMultilevel"/>
    <w:lvl w:ilvl="0">
      <w:lvlJc w:val="left"/>
      <w:lvlText w:val="%1"/>
      <w:numFmt w:val="lowerLetter"/>
      <w:start w:val="1"/>
    </w:lvl>
    <w:lvl w:ilvl="1">
      <w:lvlJc w:val="left"/>
      <w:lvlText w:val="(%2)"/>
      <w:numFmt w:val="decimal"/>
      <w:start w:val="2"/>
    </w:lvl>
  </w:abstractNum>
  <w:abstractNum w:abstractNumId="60">
    <w:nsid w:val="1F48EAA1"/>
    <w:multiLevelType w:val="hybridMultilevel"/>
    <w:lvl w:ilvl="0">
      <w:lvlJc w:val="left"/>
      <w:lvlText w:val="(%1)"/>
      <w:numFmt w:val="lowerLetter"/>
      <w:start w:val="5"/>
    </w:lvl>
    <w:lvl w:ilvl="1">
      <w:lvlJc w:val="left"/>
      <w:lvlText w:val="%2"/>
      <w:numFmt w:val="decimal"/>
      <w:start w:val="1"/>
    </w:lvl>
  </w:abstractNum>
  <w:abstractNum w:abstractNumId="61">
    <w:nsid w:val="1381823A"/>
    <w:multiLevelType w:val="hybridMultilevel"/>
    <w:lvl w:ilvl="0">
      <w:lvlJc w:val="left"/>
      <w:lvlText w:val="(%1)"/>
      <w:numFmt w:val="lowerLetter"/>
      <w:start w:val="7"/>
    </w:lvl>
  </w:abstractNum>
  <w:abstractNum w:abstractNumId="62">
    <w:nsid w:val="5DB70AE5"/>
    <w:multiLevelType w:val="hybridMultilevel"/>
    <w:lvl w:ilvl="0">
      <w:lvlJc w:val="left"/>
      <w:lvlText w:val="(%1)"/>
      <w:numFmt w:val="lowerLetter"/>
      <w:start w:val="10"/>
    </w:lvl>
  </w:abstractNum>
  <w:abstractNum w:abstractNumId="63">
    <w:nsid w:val="100F8FCA"/>
    <w:multiLevelType w:val="hybridMultilevel"/>
    <w:lvl w:ilvl="0">
      <w:lvlJc w:val="left"/>
      <w:lvlText w:val="%1."/>
      <w:numFmt w:val="decimal"/>
      <w:start w:val="6"/>
    </w:lvl>
    <w:lvl w:ilvl="1">
      <w:lvlJc w:val="left"/>
      <w:lvlText w:val="(%2)"/>
      <w:numFmt w:val="lowerLetter"/>
      <w:start w:val="1"/>
    </w:lvl>
  </w:abstractNum>
  <w:abstractNum w:abstractNumId="64">
    <w:nsid w:val="6590700B"/>
    <w:multiLevelType w:val="hybridMultilevel"/>
    <w:lvl w:ilvl="0">
      <w:lvlJc w:val="left"/>
      <w:lvlText w:val="(%1)"/>
      <w:numFmt w:val="decimal"/>
      <w:start w:val="1"/>
    </w:lvl>
  </w:abstractNum>
  <w:abstractNum w:abstractNumId="65">
    <w:nsid w:val="15014ACB"/>
    <w:multiLevelType w:val="hybridMultilevel"/>
    <w:lvl w:ilvl="0">
      <w:lvlJc w:val="left"/>
      <w:lvlText w:val="%1."/>
      <w:numFmt w:val="decimal"/>
      <w:start w:val="7"/>
    </w:lvl>
  </w:abstractNum>
  <w:abstractNum w:abstractNumId="66">
    <w:nsid w:val="5F5E7FD0"/>
    <w:multiLevelType w:val="hybridMultilevel"/>
    <w:lvl w:ilvl="0">
      <w:lvlJc w:val="left"/>
      <w:lvlText w:val="%1."/>
      <w:numFmt w:val="decimal"/>
      <w:start w:val="8"/>
    </w:lvl>
  </w:abstractNum>
  <w:abstractNum w:abstractNumId="67">
    <w:nsid w:val="98A3148"/>
    <w:multiLevelType w:val="hybridMultilevel"/>
    <w:lvl w:ilvl="0">
      <w:lvlJc w:val="left"/>
      <w:lvlText w:val="%1."/>
      <w:numFmt w:val="decimal"/>
      <w:start w:val="9"/>
    </w:lvl>
    <w:lvl w:ilvl="1">
      <w:lvlJc w:val="left"/>
      <w:lvlText w:val="(%2)"/>
      <w:numFmt w:val="lowerLetter"/>
      <w:start w:val="1"/>
    </w:lvl>
  </w:abstractNum>
  <w:abstractNum w:abstractNumId="68">
    <w:nsid w:val="799D0247"/>
    <w:multiLevelType w:val="hybridMultilevel"/>
    <w:lvl w:ilvl="0">
      <w:lvlJc w:val="left"/>
      <w:lvlText w:val="(%1)"/>
      <w:numFmt w:val="lowerLetter"/>
      <w:start w:val="8"/>
    </w:lvl>
  </w:abstractNum>
  <w:abstractNum w:abstractNumId="69">
    <w:nsid w:val="6B94764"/>
    <w:multiLevelType w:val="hybridMultilevel"/>
    <w:lvl w:ilvl="0">
      <w:lvlJc w:val="left"/>
      <w:lvlText w:val="%1)"/>
      <w:numFmt w:val="decimal"/>
      <w:start w:val="1"/>
    </w:lvl>
    <w:lvl w:ilvl="1">
      <w:lvlJc w:val="left"/>
      <w:lvlText w:val="%2)"/>
      <w:numFmt w:val="lowerLetter"/>
      <w:start w:val="1"/>
    </w:lvl>
  </w:abstractNum>
  <w:abstractNum w:abstractNumId="70">
    <w:nsid w:val="42C296BD"/>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71">
    <w:nsid w:val="168E121F"/>
    <w:multiLevelType w:val="hybridMultilevel"/>
    <w:lvl w:ilvl="0">
      <w:lvlJc w:val="left"/>
      <w:lvlText w:val="%1)"/>
      <w:numFmt w:val="decimal"/>
      <w:start w:val="1"/>
    </w:lvl>
  </w:abstractNum>
  <w:abstractNum w:abstractNumId="72">
    <w:nsid w:val="1EBA5D2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58" Type="http://schemas.openxmlformats.org/officeDocument/2006/relationships/image" Target="media/image137.png"/><Relationship Id="rId159" Type="http://schemas.openxmlformats.org/officeDocument/2006/relationships/image" Target="media/image138.png"/><Relationship Id="rId175" Type="http://schemas.openxmlformats.org/officeDocument/2006/relationships/image" Target="media/image139.png"/><Relationship Id="rId176" Type="http://schemas.openxmlformats.org/officeDocument/2006/relationships/image" Target="media/image140.png"/><Relationship Id="rId189" Type="http://schemas.openxmlformats.org/officeDocument/2006/relationships/image" Target="media/image141.png"/><Relationship Id="rId190" Type="http://schemas.openxmlformats.org/officeDocument/2006/relationships/image" Target="media/image142.png"/><Relationship Id="rId191" Type="http://schemas.openxmlformats.org/officeDocument/2006/relationships/image" Target="media/image143.png"/><Relationship Id="rId192" Type="http://schemas.openxmlformats.org/officeDocument/2006/relationships/image" Target="media/image144.png"/><Relationship Id="rId193" Type="http://schemas.openxmlformats.org/officeDocument/2006/relationships/image" Target="media/image145.png"/><Relationship Id="rId194" Type="http://schemas.openxmlformats.org/officeDocument/2006/relationships/image" Target="media/image146.png"/><Relationship Id="rId195" Type="http://schemas.openxmlformats.org/officeDocument/2006/relationships/image" Target="media/image147.png"/><Relationship Id="rId196" Type="http://schemas.openxmlformats.org/officeDocument/2006/relationships/image" Target="media/image148.png"/><Relationship Id="rId197" Type="http://schemas.openxmlformats.org/officeDocument/2006/relationships/image" Target="media/image149.png"/><Relationship Id="rId198" Type="http://schemas.openxmlformats.org/officeDocument/2006/relationships/image" Target="media/image150.png"/><Relationship Id="rId199" Type="http://schemas.openxmlformats.org/officeDocument/2006/relationships/image" Target="media/image151.png"/><Relationship Id="rId200" Type="http://schemas.openxmlformats.org/officeDocument/2006/relationships/image" Target="media/image152.png"/><Relationship Id="rId201" Type="http://schemas.openxmlformats.org/officeDocument/2006/relationships/image" Target="media/image153.png"/><Relationship Id="rId202" Type="http://schemas.openxmlformats.org/officeDocument/2006/relationships/image" Target="media/image154.png"/><Relationship Id="rId203" Type="http://schemas.openxmlformats.org/officeDocument/2006/relationships/image" Target="media/image155.png"/><Relationship Id="rId204" Type="http://schemas.openxmlformats.org/officeDocument/2006/relationships/image" Target="media/image156.png"/><Relationship Id="rId205" Type="http://schemas.openxmlformats.org/officeDocument/2006/relationships/image" Target="media/image157.jpeg"/><Relationship Id="rId206" Type="http://schemas.openxmlformats.org/officeDocument/2006/relationships/image" Target="media/image158.png"/><Relationship Id="rId207" Type="http://schemas.openxmlformats.org/officeDocument/2006/relationships/image" Target="media/image159.png"/><Relationship Id="rId208" Type="http://schemas.openxmlformats.org/officeDocument/2006/relationships/image" Target="media/image160.png"/><Relationship Id="rId144" Type="http://schemas.openxmlformats.org/officeDocument/2006/relationships/hyperlink" Target="http://www.sec.gov/Archives/edgar/data/31235/000119312513354928/d591063dex41.htm" TargetMode="External"/><Relationship Id="rId145" Type="http://schemas.openxmlformats.org/officeDocument/2006/relationships/hyperlink" Target="http://www.sec.gov/Archives/edgar/data/31235/000156459016029358/kodk-ex31_26.htm" TargetMode="External"/><Relationship Id="rId146" Type="http://schemas.openxmlformats.org/officeDocument/2006/relationships/hyperlink" Target="http://www.sec.gov/Archives/edgar/data/31235/000156459017011692/kodk-ex31_6.htm" TargetMode="External"/><Relationship Id="rId147" Type="http://schemas.openxmlformats.org/officeDocument/2006/relationships/hyperlink" Target="http://www.sec.gov/Archives/edgar/data/31235/000119312513355253/d591061dex41.htm" TargetMode="External"/><Relationship Id="rId148" Type="http://schemas.openxmlformats.org/officeDocument/2006/relationships/hyperlink" Target="http://www.sec.gov/Archives/edgar/data/31235/000119312513355253/d591061dex42.htm" TargetMode="External"/><Relationship Id="rId149" Type="http://schemas.openxmlformats.org/officeDocument/2006/relationships/hyperlink" Target="http://www.sec.gov/Archives/edgar/data/31235/000156459016029358/kodk-ex41_27.htm" TargetMode="External"/><Relationship Id="rId150" Type="http://schemas.openxmlformats.org/officeDocument/2006/relationships/hyperlink" Target="http://www.sec.gov/Archives/edgar/data/31235/000119312517159882/d329572dex46.htm" TargetMode="External"/><Relationship Id="rId151" Type="http://schemas.openxmlformats.org/officeDocument/2006/relationships/hyperlink" Target="http://www.sec.gov/Archives/edgar/data/31235/000119312513354928/d591063dex44.htm" TargetMode="External"/><Relationship Id="rId152" Type="http://schemas.openxmlformats.org/officeDocument/2006/relationships/hyperlink" Target="http://www.sec.gov/Archives/edgar/data/31235/000119312513438254/d613176dex102.htm" TargetMode="External"/><Relationship Id="rId153" Type="http://schemas.openxmlformats.org/officeDocument/2006/relationships/hyperlink" Target="http://www.sec.gov/Archives/edgar/data/31235/000119312514106388/d693724dex103.htm" TargetMode="External"/><Relationship Id="rId154" Type="http://schemas.openxmlformats.org/officeDocument/2006/relationships/hyperlink" Target="http://www.sec.gov/Archives/edgar/data/31235/000003123515000004/exhibit101.htm" TargetMode="External"/><Relationship Id="rId155" Type="http://schemas.openxmlformats.org/officeDocument/2006/relationships/hyperlink" Target="http://www.sec.gov/Archives/edgar/data/31235/000156459017003570/kodk-ex105_294.htm" TargetMode="External"/><Relationship Id="rId156" Type="http://schemas.openxmlformats.org/officeDocument/2006/relationships/hyperlink" Target="http://www.sec.gov/Archives/edgar/data/31235/000156459017003570/kodk-ex106_295.htm" TargetMode="External"/><Relationship Id="rId157" Type="http://schemas.openxmlformats.org/officeDocument/2006/relationships/hyperlink" Target="http://www.sec.gov/Archives/edgar/data/31235/000156459017016962/kodk-ex102_16.htm" TargetMode="External"/><Relationship Id="rId160" Type="http://schemas.openxmlformats.org/officeDocument/2006/relationships/hyperlink" Target="http://www.sec.gov/Archives/edgar/data/31235/000156459017016962/kodk-ex103_17.htm" TargetMode="External"/><Relationship Id="rId161" Type="http://schemas.openxmlformats.org/officeDocument/2006/relationships/hyperlink" Target="http://www.sec.gov/Archives/edgar/data/31235/000119312514106388/d693724dex1023.htm" TargetMode="External"/><Relationship Id="rId162" Type="http://schemas.openxmlformats.org/officeDocument/2006/relationships/hyperlink" Target="http://www.sec.gov/Archives/edgar/data/31235/000119312516505191/d151522dex1025.htm" TargetMode="External"/><Relationship Id="rId163" Type="http://schemas.openxmlformats.org/officeDocument/2006/relationships/hyperlink" Target="http://www.sec.gov/Archives/edgar/data/31235/000003123514000005/ekcexcelplan_q1201410q.htm" TargetMode="External"/><Relationship Id="rId164" Type="http://schemas.openxmlformats.org/officeDocument/2006/relationships/hyperlink" Target="http://www.sec.gov/Archives/edgar/data/31235/000156459016023703/kodk-ex105_331.htm" TargetMode="External"/><Relationship Id="rId165" Type="http://schemas.openxmlformats.org/officeDocument/2006/relationships/hyperlink" Target="http://www.sec.gov/Archives/edgar/data/31235/000156459017009865/kodk-ex102_72.htm" TargetMode="External"/><Relationship Id="rId166" Type="http://schemas.openxmlformats.org/officeDocument/2006/relationships/hyperlink" Target="http://www.sec.gov/Archives/edgar/data/31235/000003123514000005/ekcceoemploymentagreement.htm" TargetMode="External"/><Relationship Id="rId167" Type="http://schemas.openxmlformats.org/officeDocument/2006/relationships/hyperlink" Target="http://www.sec.gov/Archives/edgar/data/31235/000003123516000018/exhibit105.htm" TargetMode="External"/><Relationship Id="rId168" Type="http://schemas.openxmlformats.org/officeDocument/2006/relationships/hyperlink" Target="http://www.sec.gov/Archives/edgar/data/31235/000156459017009865/kodk-ex101_71.htm" TargetMode="External"/><Relationship Id="rId169" Type="http://schemas.openxmlformats.org/officeDocument/2006/relationships/hyperlink" Target="http://www.sec.gov/Archives/edgar/data/31235/000156459017003570/kodk-ex1017_298.htm" TargetMode="External"/><Relationship Id="rId170" Type="http://schemas.openxmlformats.org/officeDocument/2006/relationships/hyperlink" Target="http://www.sec.gov/Archives/edgar/data/31235/000119312514106388/d693724dex1016.htm" TargetMode="External"/><Relationship Id="rId171" Type="http://schemas.openxmlformats.org/officeDocument/2006/relationships/hyperlink" Target="http://www.sec.gov/Archives/edgar/data/31235/000003123516000018/exhibit101.htm" TargetMode="External"/><Relationship Id="rId172" Type="http://schemas.openxmlformats.org/officeDocument/2006/relationships/hyperlink" Target="http://www.sec.gov/Archives/edgar/data/31235/000003123516000018/exhibit102.htm" TargetMode="External"/><Relationship Id="rId173" Type="http://schemas.openxmlformats.org/officeDocument/2006/relationships/hyperlink" Target="http://www.sec.gov/Archives/edgar/data/31235/000003123516000018/exhibit103.htm" TargetMode="External"/><Relationship Id="rId174" Type="http://schemas.openxmlformats.org/officeDocument/2006/relationships/hyperlink" Target="http://www.sec.gov/Archives/edgar/data/31235/000156459016023703/kodk-ex104_329.htm" TargetMode="External"/><Relationship Id="rId177" Type="http://schemas.openxmlformats.org/officeDocument/2006/relationships/hyperlink" Target="http://www.sec.gov/Archives/edgar/data/31235/000156459017016962/kodk-ex101_14.htm" TargetMode="External"/><Relationship Id="rId178" Type="http://schemas.openxmlformats.org/officeDocument/2006/relationships/hyperlink" Target="http://www.sec.gov/Archives/edgar/data/31235/000003123516000018/exhibit104.htm" TargetMode="External"/><Relationship Id="rId179" Type="http://schemas.openxmlformats.org/officeDocument/2006/relationships/hyperlink" Target="http://www.sec.gov/Archives/edgar/data/31235/000156459016023703/kodk-ex103_328.htm" TargetMode="External"/><Relationship Id="rId180" Type="http://schemas.openxmlformats.org/officeDocument/2006/relationships/hyperlink" Target="http://www.sec.gov/Archives/edgar/data/31235/000119312513438254/d613176dex105.htm" TargetMode="External"/><Relationship Id="rId181" Type="http://schemas.openxmlformats.org/officeDocument/2006/relationships/hyperlink" Target="http://www.sec.gov/Archives/edgar/data/31235/000119312513438254/d613176dex106.htm" TargetMode="External"/><Relationship Id="rId182" Type="http://schemas.openxmlformats.org/officeDocument/2006/relationships/hyperlink" Target="http://www.sec.gov/Archives/edgar/data/31235/000119312513438254/d613176dex107.htm" TargetMode="External"/><Relationship Id="rId183" Type="http://schemas.openxmlformats.org/officeDocument/2006/relationships/hyperlink" Target="http://www.sec.gov/Archives/edgar/data/31235/000156459016023703/kodk-ex101_273.htm" TargetMode="External"/><Relationship Id="rId184" Type="http://schemas.openxmlformats.org/officeDocument/2006/relationships/hyperlink" Target="http://www.sec.gov/Archives/edgar/data/31235/000156459016023703/kodk-ex102_272.htm" TargetMode="External"/><Relationship Id="rId185" Type="http://schemas.openxmlformats.org/officeDocument/2006/relationships/hyperlink" Target="http://www.sec.gov/Archives/edgar/data/31235/000119312516761021/d487651dex101.htm" TargetMode="External"/><Relationship Id="rId186" Type="http://schemas.openxmlformats.org/officeDocument/2006/relationships/hyperlink" Target="http://www.sec.gov/Archives/edgar/data/31235/000119312513438254/d613176dex1010.htm" TargetMode="External"/><Relationship Id="rId187" Type="http://schemas.openxmlformats.org/officeDocument/2006/relationships/hyperlink" Target="http://www.sec.gov/Archives/edgar/data/31235/000003123513000039/d566762dex101.htm" TargetMode="External"/><Relationship Id="rId188" Type="http://schemas.openxmlformats.org/officeDocument/2006/relationships/hyperlink" Target="http://www.sec.gov/Archives/edgar/data/31235/000119312513438254/d613176dex2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2019-12-29T00:01:04Z</dcterms:created>
  <dcterms:modified xsi:type="dcterms:W3CDTF">2019-12-29T00:01:04Z</dcterms:modified>
</cp:coreProperties>
</file>