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Number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EASTMAN KODAK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732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9"/>
              </w:rPr>
              <w:t>NEW JERSEY</w:t>
            </w:r>
          </w:p>
        </w:tc>
        <w:tc>
          <w:tcPr>
            <w:tcW w:w="2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16-0417150</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4980" w:type="dxa"/>
            <w:vAlign w:val="bottom"/>
            <w:gridSpan w:val="4"/>
          </w:tcPr>
          <w:p>
            <w:pPr>
              <w:jc w:val="center"/>
              <w:ind w:right="3880"/>
              <w:spacing w:after="0" w:line="149" w:lineRule="exact"/>
              <w:rPr>
                <w:sz w:val="20"/>
                <w:szCs w:val="20"/>
                <w:color w:val="auto"/>
              </w:rPr>
            </w:pPr>
            <w:r>
              <w:rPr>
                <w:rFonts w:ascii="Arial" w:cs="Arial" w:eastAsia="Arial" w:hAnsi="Arial"/>
                <w:sz w:val="14"/>
                <w:szCs w:val="14"/>
                <w:b w:val="1"/>
                <w:bCs w:val="1"/>
                <w:color w:val="auto"/>
                <w:w w:val="89"/>
              </w:rPr>
              <w:t>(State of</w:t>
            </w:r>
          </w:p>
        </w:tc>
        <w:tc>
          <w:tcPr>
            <w:tcW w:w="2000" w:type="dxa"/>
            <w:vAlign w:val="bottom"/>
            <w:gridSpan w:val="2"/>
          </w:tcPr>
          <w:p>
            <w:pPr>
              <w:jc w:val="center"/>
              <w:ind w:left="580"/>
              <w:spacing w:after="0" w:line="149" w:lineRule="exact"/>
              <w:rPr>
                <w:sz w:val="20"/>
                <w:szCs w:val="20"/>
                <w:color w:val="auto"/>
              </w:rPr>
            </w:pPr>
            <w:r>
              <w:rPr>
                <w:rFonts w:ascii="Arial" w:cs="Arial" w:eastAsia="Arial" w:hAnsi="Arial"/>
                <w:sz w:val="14"/>
                <w:szCs w:val="14"/>
                <w:b w:val="1"/>
                <w:bCs w:val="1"/>
                <w:color w:val="auto"/>
                <w:w w:val="98"/>
              </w:rPr>
              <w:t>(IRS Employer</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4980" w:type="dxa"/>
            <w:vAlign w:val="bottom"/>
            <w:gridSpan w:val="4"/>
          </w:tcPr>
          <w:p>
            <w:pPr>
              <w:jc w:val="center"/>
              <w:ind w:right="3880"/>
              <w:spacing w:after="0"/>
              <w:rPr>
                <w:sz w:val="20"/>
                <w:szCs w:val="20"/>
                <w:color w:val="auto"/>
              </w:rPr>
            </w:pPr>
            <w:r>
              <w:rPr>
                <w:rFonts w:ascii="Arial" w:cs="Arial" w:eastAsia="Arial" w:hAnsi="Arial"/>
                <w:sz w:val="14"/>
                <w:szCs w:val="14"/>
                <w:b w:val="1"/>
                <w:bCs w:val="1"/>
                <w:color w:val="auto"/>
                <w:w w:val="94"/>
              </w:rPr>
              <w:t>incorporation)</w:t>
            </w:r>
          </w:p>
        </w:tc>
        <w:tc>
          <w:tcPr>
            <w:tcW w:w="200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6"/>
              </w:rPr>
              <w:t>Identification No.)</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732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7"/>
              </w:rPr>
              <w:t>343 STATE STREET, ROCHESTER, NEW YORK</w:t>
            </w:r>
          </w:p>
        </w:tc>
        <w:tc>
          <w:tcPr>
            <w:tcW w:w="20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14650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20" w:type="dxa"/>
            <w:vAlign w:val="bottom"/>
            <w:gridSpan w:val="5"/>
          </w:tcPr>
          <w:p>
            <w:pPr>
              <w:jc w:val="center"/>
              <w:ind w:right="15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00" w:type="dxa"/>
            <w:vAlign w:val="bottom"/>
            <w:gridSpan w:val="2"/>
          </w:tcPr>
          <w:p>
            <w:pPr>
              <w:jc w:val="center"/>
              <w:ind w:left="580"/>
              <w:spacing w:after="0"/>
              <w:rPr>
                <w:sz w:val="20"/>
                <w:szCs w:val="20"/>
                <w:color w:val="auto"/>
              </w:rPr>
            </w:pPr>
            <w:r>
              <w:rPr>
                <w:rFonts w:ascii="Arial" w:cs="Arial" w:eastAsia="Arial" w:hAnsi="Arial"/>
                <w:sz w:val="14"/>
                <w:szCs w:val="14"/>
                <w:b w:val="1"/>
                <w:bCs w:val="1"/>
                <w:color w:val="auto"/>
                <w:w w:val="95"/>
              </w:rPr>
              <w:t>(Zip Code)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2340" w:type="dxa"/>
            <w:vAlign w:val="bottom"/>
          </w:tcPr>
          <w:p>
            <w:pPr>
              <w:spacing w:after="0"/>
              <w:rPr>
                <w:sz w:val="24"/>
                <w:szCs w:val="24"/>
                <w:color w:val="auto"/>
              </w:rPr>
            </w:pPr>
          </w:p>
        </w:tc>
        <w:tc>
          <w:tcPr>
            <w:tcW w:w="6280" w:type="dxa"/>
            <w:vAlign w:val="bottom"/>
            <w:gridSpan w:val="5"/>
          </w:tcPr>
          <w:p>
            <w:pPr>
              <w:jc w:val="center"/>
              <w:ind w:left="379"/>
              <w:spacing w:after="0"/>
              <w:rPr>
                <w:sz w:val="20"/>
                <w:szCs w:val="20"/>
                <w:color w:val="auto"/>
              </w:rPr>
            </w:pPr>
            <w:r>
              <w:rPr>
                <w:rFonts w:ascii="Arial" w:cs="Arial" w:eastAsia="Arial" w:hAnsi="Arial"/>
                <w:sz w:val="18"/>
                <w:szCs w:val="18"/>
                <w:b w:val="1"/>
                <w:bCs w:val="1"/>
                <w:color w:val="auto"/>
                <w:w w:val="89"/>
              </w:rPr>
              <w:t>Registrant’s telephone number, including area code: 585-724-4000</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8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340" w:type="dxa"/>
            <w:vAlign w:val="bottom"/>
          </w:tcPr>
          <w:p>
            <w:pPr>
              <w:spacing w:after="0"/>
              <w:rPr>
                <w:sz w:val="24"/>
                <w:szCs w:val="24"/>
                <w:color w:val="auto"/>
              </w:rPr>
            </w:pPr>
          </w:p>
        </w:tc>
        <w:tc>
          <w:tcPr>
            <w:tcW w:w="4980" w:type="dxa"/>
            <w:vAlign w:val="bottom"/>
            <w:gridSpan w:val="4"/>
          </w:tcPr>
          <w:p>
            <w:pPr>
              <w:jc w:val="center"/>
              <w:ind w:right="386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2340" w:type="dxa"/>
            <w:vAlign w:val="bottom"/>
          </w:tcPr>
          <w:p>
            <w:pPr>
              <w:ind w:left="1660"/>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par value</w:t>
            </w: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414"/>
        </w:trPr>
        <w:tc>
          <w:tcPr>
            <w:tcW w:w="2340" w:type="dxa"/>
            <w:vAlign w:val="bottom"/>
          </w:tcPr>
          <w:p>
            <w:pPr>
              <w:spacing w:after="0"/>
              <w:rPr>
                <w:sz w:val="24"/>
                <w:szCs w:val="24"/>
                <w:color w:val="auto"/>
              </w:rPr>
            </w:pPr>
          </w:p>
        </w:tc>
        <w:tc>
          <w:tcPr>
            <w:tcW w:w="6280" w:type="dxa"/>
            <w:vAlign w:val="bottom"/>
            <w:gridSpan w:val="5"/>
          </w:tcPr>
          <w:p>
            <w:pPr>
              <w:jc w:val="center"/>
              <w:ind w:left="399"/>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720" w:type="dxa"/>
            <w:vAlign w:val="bottom"/>
            <w:gridSpan w:val="2"/>
          </w:tcPr>
          <w:p>
            <w:pPr>
              <w:spacing w:after="0"/>
              <w:rPr>
                <w:sz w:val="24"/>
                <w:szCs w:val="24"/>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2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w:t>
      </w:r>
    </w:p>
    <w:p>
      <w:pPr>
        <w:sectPr>
          <w:pgSz w:w="11900" w:h="16877" w:orient="portrait"/>
          <w:cols w:equalWidth="0" w:num="1">
            <w:col w:w="11420"/>
          </w:cols>
          <w:pgMar w:left="240" w:top="368" w:right="239" w:bottom="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77" w:orient="portrait"/>
          <w:cols w:equalWidth="0" w:num="4">
            <w:col w:w="1620" w:space="300"/>
            <w:col w:w="6220" w:space="720"/>
            <w:col w:w="1680" w:space="720"/>
            <w:col w:w="160"/>
          </w:cols>
          <w:pgMar w:left="240" w:top="368"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77" w:orient="portrait"/>
          <w:cols w:equalWidth="0" w:num="4">
            <w:col w:w="1540" w:space="380"/>
            <w:col w:w="6220" w:space="720"/>
            <w:col w:w="1980" w:space="420"/>
            <w:col w:w="160"/>
          </w:cols>
          <w:pgMar w:left="240" w:top="368" w:right="239" w:bottom="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77" w:orient="portrait"/>
          <w:cols w:equalWidth="0" w:num="5">
            <w:col w:w="8140" w:space="160"/>
            <w:col w:w="260" w:space="100"/>
            <w:col w:w="160" w:space="180"/>
            <w:col w:w="220" w:space="80"/>
            <w:col w:w="2120"/>
          </w:cols>
          <w:pgMar w:left="240" w:top="368" w:right="239" w:bottom="0" w:gutter="0" w:footer="0" w:header="0"/>
          <w:type w:val="continuous"/>
        </w:sectPr>
      </w:pPr>
    </w:p>
    <w:p>
      <w:pPr>
        <w:spacing w:after="0" w:line="37" w:lineRule="exact"/>
        <w:rPr>
          <w:sz w:val="24"/>
          <w:szCs w:val="24"/>
          <w:color w:val="auto"/>
        </w:rPr>
      </w:pPr>
    </w:p>
    <w:p>
      <w:pPr>
        <w:jc w:val="both"/>
        <w:ind w:right="40"/>
        <w:spacing w:after="0" w:line="264" w:lineRule="auto"/>
        <w:rPr>
          <w:sz w:val="20"/>
          <w:szCs w:val="20"/>
          <w:color w:val="auto"/>
        </w:rPr>
      </w:pPr>
      <w:r>
        <w:rPr>
          <w:rFonts w:ascii="Arial" w:cs="Arial" w:eastAsia="Arial" w:hAnsi="Arial"/>
          <w:sz w:val="18"/>
          <w:szCs w:val="18"/>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2015 was approximately $302 million. The registrant has no non-voting common stock.</w:t>
      </w:r>
    </w:p>
    <w:p>
      <w:pPr>
        <w:sectPr>
          <w:pgSz w:w="11900" w:h="16877" w:orient="portrait"/>
          <w:cols w:equalWidth="0" w:num="1">
            <w:col w:w="11420"/>
          </w:cols>
          <w:pgMar w:left="240" w:top="368"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registrant’s common stock as of March 1, 2016 was 42,077,595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Eastman Kodak Company (the “Company”) is filing this Amendment No. 2 on Form 10-K/A to its Annual Report on Form 10-K for the fiscal year ended December 31, 2015, which was filed with the Securities and Exchange Commission on March 15, 2016 and amended by Amendment No. 1 thereto filed with the Securities and Exchange Commission on March 18, 2016 (as amended, the “Original Filing”), solely for the purpose of incorporating into the EDGAR version of the Consolidated Statement of Equity (Deficit) included in Item 8 of the Original Filing certain final edits thereto which were not captured during the original EDGAR filing process and to make a conforming change to the Interactive Data Files filed as Exhibit 101 of the Original Filing.</w:t>
      </w:r>
    </w:p>
    <w:p>
      <w:pPr>
        <w:spacing w:after="0" w:line="1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Except as described above, this Amendment No. 2 does not amend any other information set forth in the Original Filing, and the Company has not updated disclosures included therein to reflect any events that occurred subsequent to March 15,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Eastman Kodak Company</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our opinion, the accompanying consolidated statement of financial position as of December 31, 2015 and 2014 and the related consolidated statements of operations, of comprehensive (loss) income, of equity (deficit) and of cash flows for the years ended December 31, 2015 and 2014, and for the four months ended December 31, 2013 present fairly, in all material respects, the financial position of Eastman Kodak Company and its subsidiaries (Successor) at December 31, 2015 and 2014 and the results of their operations and their cash flows for each of the two years in the period ended December 31, 2015 and the four months ended December 31, 2013 in conformity with accounting principles generally accepted in the United States of America. In addition, in our opinion, the financial statement schedule of valuation and qualifying accounts appearing under Item 15 for the year ended December 31, 2015 and 2014, and for the four months ended December 31, 2013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discussed in Note 1 to the consolidated financial statements, the United States Bankruptcy Court for the Southern District of New York confirmed the Company’s revised First Amended Joint Chapter 11 Plan of Reorganization of Eastman Kodak Company and its Debtor Affiliates (as revised, the “Plan”) on August 23, 2013. Confirmation of the plan resulted in the discharge of certain claims against the Company that arose before January 19, 2012 and substantially alters rights and interests of equity security holders as provided for in the plan. The plan was substantially consummated on September 3, 2013 and the Company emerged from bankruptcy. In connection with its emergence from bankruptcy, the Company adopted fresh start accounting as of September 1, 2013.</w:t>
      </w:r>
    </w:p>
    <w:p>
      <w:pPr>
        <w:spacing w:after="0" w:line="19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Eastman Kodak Company</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our opinion, the accompanying consolidated statements of operations, of comprehensive (loss) income, of equity (deficit) and of cash flows for the eight months ended August 31, 2013 present fairly, in all material respects, the results of operations and cash flows of Eastman Kodak Company and its subsidiaries (Predecessor) for the eight months ended August 31, 2013 in conformity with accounting principles generally accepted in the United States of America. In addition, in our opinion, the financial statement schedule of valuation and qualifying accounts appearing under Item 15 for the eight months ended August 31, 2013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opinions.</w:t>
      </w:r>
    </w:p>
    <w:p>
      <w:pPr>
        <w:spacing w:after="0" w:line="1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discussed in Note 1 to the consolidated financial statements, the Company filed a petition on January 19, 2012 with the United States Bankruptcy Court for the Southern District of New York for reorganization under the provisions of Chapter 11 of the Bankruptcy Code. The Company’s revised First Amended Joint Chapter 11 Plan of Reorganization of Eastman Kodak Company and its Debtor Affiliates (as revised, the “Plan”) was substantially consummated on September 3, 2013 and the Company emerged from bankruptcy. In connection with its emergence from bankruptcy, the Company adopted fresh start accounting.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Rochester,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19, 2014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1080" w:type="dxa"/>
            <w:vAlign w:val="bottom"/>
            <w:tcBorders>
              <w:top w:val="single" w:sz="8" w:color="auto"/>
            </w:tcBorders>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Four Months</w:t>
            </w: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Borders>
              <w:right w:val="single" w:sz="8" w:color="auto"/>
            </w:tcBorders>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2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right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1,447</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679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3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3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 (income),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317"/>
        </w:trPr>
        <w:tc>
          <w:tcPr>
            <w:tcW w:w="6600" w:type="dxa"/>
            <w:vAlign w:val="bottom"/>
            <w:gridSpan w:val="2"/>
          </w:tcPr>
          <w:p>
            <w:pPr>
              <w:spacing w:after="0"/>
              <w:rPr>
                <w:sz w:val="20"/>
                <w:szCs w:val="20"/>
                <w:color w:val="auto"/>
              </w:rPr>
            </w:pPr>
            <w:r>
              <w:rPr>
                <w:rFonts w:ascii="Arial" w:cs="Arial" w:eastAsia="Arial" w:hAnsi="Arial"/>
                <w:sz w:val="18"/>
                <w:szCs w:val="18"/>
                <w:color w:val="auto"/>
              </w:rPr>
              <w:t>Earnings (loss) from continuing operations before interest expense, loss on early</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w w:val="97"/>
              </w:rPr>
              <w:t>extinguishment of debt, net, other (charges) income, net, reorganization items, net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and income taxes</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8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Loss on early extinguishment of debt, net</w:t>
            </w: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Other (charges) income, net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Reorganization items, net</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continuing operations before income taxes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from continuing operations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324"/>
        </w:trPr>
        <w:tc>
          <w:tcPr>
            <w:tcW w:w="6600" w:type="dxa"/>
            <w:vAlign w:val="bottom"/>
            <w:gridSpan w:val="2"/>
          </w:tcPr>
          <w:p>
            <w:pPr>
              <w:spacing w:after="0"/>
              <w:rPr>
                <w:sz w:val="20"/>
                <w:szCs w:val="20"/>
                <w:color w:val="auto"/>
              </w:rPr>
            </w:pPr>
            <w:r>
              <w:rPr>
                <w:rFonts w:ascii="Arial" w:cs="Arial" w:eastAsia="Arial" w:hAnsi="Arial"/>
                <w:sz w:val="18"/>
                <w:szCs w:val="18"/>
                <w:color w:val="auto"/>
              </w:rPr>
              <w:t>(Loss) earnings from discontinued operations, net of income taxes</w:t>
            </w:r>
          </w:p>
        </w:tc>
        <w:tc>
          <w:tcPr>
            <w:tcW w:w="1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ATTRIBUTABLE TO EASTMAN KODAK COMPANY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w w:val="98"/>
              </w:rPr>
              <w:t>Basic and diluted (loss) earnings per share attributable to Eastman Kodak Company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common shareholders: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66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600" w:type="dxa"/>
            <w:vAlign w:val="bottom"/>
            <w:gridSpan w:val="2"/>
          </w:tcPr>
          <w:p>
            <w:pPr>
              <w:spacing w:after="0"/>
              <w:rPr>
                <w:sz w:val="20"/>
                <w:szCs w:val="20"/>
                <w:color w:val="auto"/>
              </w:rPr>
            </w:pPr>
            <w:r>
              <w:rPr>
                <w:rFonts w:ascii="Arial" w:cs="Arial" w:eastAsia="Arial" w:hAnsi="Arial"/>
                <w:sz w:val="18"/>
                <w:szCs w:val="18"/>
                <w:color w:val="auto"/>
              </w:rPr>
              <w:t>Number of common shares used in basic and diluted (loss) earnings per share</w:t>
            </w:r>
          </w:p>
        </w:tc>
        <w:tc>
          <w:tcPr>
            <w:tcW w:w="1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41.7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w w:val="93"/>
              </w:rPr>
              <w:t>The accompanying notes are an integral part of these consolidated financial statements.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0" w:type="dxa"/>
            <w:vAlign w:val="bottom"/>
            <w:gridSpan w:val="2"/>
          </w:tcPr>
          <w:p>
            <w:pPr>
              <w:ind w:left="56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ind w:right="5440"/>
        <w:spacing w:after="0" w:line="261" w:lineRule="auto"/>
        <w:rPr>
          <w:sz w:val="20"/>
          <w:szCs w:val="20"/>
          <w:color w:val="auto"/>
        </w:rPr>
      </w:pPr>
      <w:r>
        <w:rPr>
          <w:rFonts w:ascii="Arial" w:cs="Arial" w:eastAsia="Arial" w:hAnsi="Arial"/>
          <w:sz w:val="18"/>
          <w:szCs w:val="18"/>
          <w:b w:val="1"/>
          <w:bCs w:val="1"/>
          <w:color w:val="auto"/>
        </w:rPr>
        <w:t xml:space="preserve">CONSOLIDATED STATEMENT OF COMPREHENSIVE (LOSS) INCOME </w:t>
      </w: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top w:val="single" w:sz="8" w:color="auto"/>
            </w:tcBorders>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Year Ended</w:t>
            </w: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Four Months</w:t>
            </w:r>
          </w:p>
        </w:tc>
        <w:tc>
          <w:tcPr>
            <w:tcW w:w="460" w:type="dxa"/>
            <w:vAlign w:val="bottom"/>
            <w:tcBorders>
              <w:right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30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August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right w:val="single" w:sz="8" w:color="auto"/>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6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(loss) earnings attributable to Eastman Kodak Company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140" w:type="dxa"/>
            <w:vAlign w:val="bottom"/>
            <w:gridSpan w:val="2"/>
          </w:tcPr>
          <w:p>
            <w:pPr>
              <w:spacing w:after="0"/>
              <w:rPr>
                <w:sz w:val="20"/>
                <w:szCs w:val="20"/>
                <w:color w:val="auto"/>
              </w:rPr>
            </w:pPr>
            <w:r>
              <w:rPr>
                <w:rFonts w:ascii="Arial" w:cs="Arial" w:eastAsia="Arial" w:hAnsi="Arial"/>
                <w:sz w:val="18"/>
                <w:szCs w:val="18"/>
                <w:color w:val="auto"/>
              </w:rPr>
              <w:t>Other comprehensive (loss) income, net: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spacing w:after="0" w:line="201" w:lineRule="exact"/>
              <w:rPr>
                <w:sz w:val="20"/>
                <w:szCs w:val="20"/>
                <w:color w:val="auto"/>
              </w:rPr>
            </w:pPr>
            <w:r>
              <w:rPr>
                <w:rFonts w:ascii="Arial" w:cs="Arial" w:eastAsia="Arial" w:hAnsi="Arial"/>
                <w:sz w:val="18"/>
                <w:szCs w:val="18"/>
                <w:color w:val="auto"/>
                <w:w w:val="95"/>
              </w:rPr>
              <w:t>Reclassification of realized losses on available-for-sale securities included in net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earnings, net of tax</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benefit plan obligation activity, net of tax</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140" w:type="dxa"/>
            <w:vAlign w:val="bottom"/>
            <w:gridSpan w:val="2"/>
          </w:tcPr>
          <w:p>
            <w:pPr>
              <w:spacing w:after="0"/>
              <w:rPr>
                <w:sz w:val="20"/>
                <w:szCs w:val="20"/>
                <w:color w:val="auto"/>
              </w:rPr>
            </w:pPr>
            <w:r>
              <w:rPr>
                <w:rFonts w:ascii="Arial" w:cs="Arial" w:eastAsia="Arial" w:hAnsi="Arial"/>
                <w:sz w:val="18"/>
                <w:szCs w:val="18"/>
                <w:color w:val="auto"/>
                <w:w w:val="94"/>
              </w:rPr>
              <w:t>Other comprehensive (loss) income, net attributable to Eastman Kodak Company</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99</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(LOSS) INCOME, NET ATTRIBUTABLE TO EASTMAN</w:t>
            </w: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KODAK COMPANY</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60" w:type="dxa"/>
            <w:vAlign w:val="bottom"/>
            <w:gridSpan w:val="8"/>
          </w:tcPr>
          <w:p>
            <w:pPr>
              <w:jc w:val="right"/>
              <w:ind w:right="18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Assets held for sale</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 of accumulated depreciation of $330 and $231, respectively</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2,138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2,556</w:t>
            </w: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liabilities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2,035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2,257</w:t>
            </w:r>
          </w:p>
        </w:tc>
        <w:tc>
          <w:tcPr>
            <w:tcW w:w="0" w:type="dxa"/>
            <w:vAlign w:val="bottom"/>
          </w:tcPr>
          <w:p>
            <w:pPr>
              <w:spacing w:after="0"/>
              <w:rPr>
                <w:sz w:val="1"/>
                <w:szCs w:val="1"/>
                <w:color w:val="auto"/>
              </w:rPr>
            </w:pPr>
          </w:p>
        </w:tc>
      </w:tr>
      <w:tr>
        <w:trPr>
          <w:trHeight w:val="331"/>
        </w:trPr>
        <w:tc>
          <w:tcPr>
            <w:tcW w:w="996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10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Treasury stock, at cost</w:t>
            </w:r>
          </w:p>
        </w:tc>
        <w:tc>
          <w:tcPr>
            <w:tcW w:w="10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Total Eastman Kodak Company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6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4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2,138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9"/>
          </w:tcPr>
          <w:p>
            <w:pPr>
              <w:jc w:val="right"/>
              <w:ind w:right="460"/>
              <w:spacing w:after="0"/>
              <w:rPr>
                <w:sz w:val="20"/>
                <w:szCs w:val="20"/>
                <w:color w:val="auto"/>
              </w:rPr>
            </w:pPr>
            <w:r>
              <w:rPr>
                <w:rFonts w:ascii="Arial" w:cs="Arial" w:eastAsia="Arial" w:hAnsi="Arial"/>
                <w:sz w:val="14"/>
                <w:szCs w:val="14"/>
                <w:b w:val="1"/>
                <w:bCs w:val="1"/>
                <w:color w:val="auto"/>
                <w:w w:val="94"/>
              </w:rPr>
              <w:t>Eastman Kodak Company Shareholders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0"/>
                <w:szCs w:val="10"/>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Income (Loss)</w:t>
            </w:r>
          </w:p>
        </w:tc>
        <w:tc>
          <w:tcPr>
            <w:tcW w:w="8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Equity (deficit) as of December 31,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2012 (Predecessor)</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1,105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(5,746)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(3,679)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Other comprehensive income (net of</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340"/>
              <w:spacing w:after="0" w:line="201" w:lineRule="exact"/>
              <w:rPr>
                <w:sz w:val="20"/>
                <w:szCs w:val="20"/>
                <w:color w:val="auto"/>
              </w:rPr>
            </w:pPr>
            <w:r>
              <w:rPr>
                <w:rFonts w:ascii="Arial" w:cs="Arial" w:eastAsia="Arial" w:hAnsi="Arial"/>
                <w:sz w:val="18"/>
                <w:szCs w:val="18"/>
                <w:color w:val="auto"/>
              </w:rPr>
              <w:t>Currency translation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5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Pension and other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postretirement liability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1,604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ind w:left="340"/>
              <w:spacing w:after="0"/>
              <w:rPr>
                <w:sz w:val="20"/>
                <w:szCs w:val="20"/>
                <w:color w:val="auto"/>
              </w:rPr>
            </w:pPr>
            <w:r>
              <w:rPr>
                <w:rFonts w:ascii="Arial" w:cs="Arial" w:eastAsia="Arial" w:hAnsi="Arial"/>
                <w:sz w:val="18"/>
                <w:szCs w:val="18"/>
                <w:color w:val="auto"/>
              </w:rPr>
              <w:t>Total other comprehensive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520"/>
              <w:spacing w:after="0"/>
              <w:rPr>
                <w:sz w:val="20"/>
                <w:szCs w:val="20"/>
                <w:color w:val="auto"/>
              </w:rPr>
            </w:pPr>
            <w:r>
              <w:rPr>
                <w:rFonts w:ascii="Arial" w:cs="Arial" w:eastAsia="Arial" w:hAnsi="Arial"/>
                <w:sz w:val="18"/>
                <w:szCs w:val="18"/>
                <w:color w:val="auto"/>
              </w:rPr>
              <w:t>income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1,608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Issuance of treasury stock,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 xml:space="preserve">(446,501 shares) </w:t>
            </w:r>
            <w:r>
              <w:rPr>
                <w:rFonts w:ascii="Arial" w:cs="Arial" w:eastAsia="Arial" w:hAnsi="Arial"/>
                <w:sz w:val="15"/>
                <w:szCs w:val="15"/>
                <w:color w:val="auto"/>
              </w:rPr>
              <w:t>(1)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as of August 31, 2013</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(Predecessor)</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(5,711)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6"/>
              </w:rPr>
              <w:t>Investment in variable interest entity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Cancellation of Predecessor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 equity</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(1,105)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5,711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Arial" w:cs="Arial" w:eastAsia="Arial" w:hAnsi="Arial"/>
                <w:sz w:val="18"/>
                <w:szCs w:val="18"/>
                <w:color w:val="auto"/>
              </w:rPr>
              <w:t>Equity as of August 31, 2013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(Predecessor)</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Equity as of August 31, 2013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(Predecessor)</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Issuance of Successor Company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as of September 1, 2013</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(Successor)</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Arial" w:cs="Arial" w:eastAsia="Arial" w:hAnsi="Arial"/>
                <w:sz w:val="18"/>
                <w:szCs w:val="18"/>
                <w:color w:val="auto"/>
              </w:rPr>
              <w:t>Equity transactions with</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w w:val="94"/>
              </w:rPr>
              <w:t>Other comprehensive income (net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Currency translation</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adjustments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ind w:left="340"/>
              <w:spacing w:after="0" w:line="201" w:lineRule="exact"/>
              <w:rPr>
                <w:sz w:val="20"/>
                <w:szCs w:val="20"/>
                <w:color w:val="auto"/>
              </w:rPr>
            </w:pPr>
            <w:r>
              <w:rPr>
                <w:rFonts w:ascii="Arial" w:cs="Arial" w:eastAsia="Arial" w:hAnsi="Arial"/>
                <w:sz w:val="18"/>
                <w:szCs w:val="18"/>
                <w:color w:val="auto"/>
              </w:rPr>
              <w:t>Pension and other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520"/>
              <w:spacing w:after="0"/>
              <w:rPr>
                <w:sz w:val="20"/>
                <w:szCs w:val="20"/>
                <w:color w:val="auto"/>
              </w:rPr>
            </w:pPr>
            <w:r>
              <w:rPr>
                <w:rFonts w:ascii="Arial" w:cs="Arial" w:eastAsia="Arial" w:hAnsi="Arial"/>
                <w:sz w:val="18"/>
                <w:szCs w:val="18"/>
                <w:color w:val="auto"/>
              </w:rPr>
              <w:t>postretirement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ind w:left="520"/>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tcPr>
          <w:p>
            <w:pPr>
              <w:spacing w:after="0" w:line="201" w:lineRule="exact"/>
              <w:rPr>
                <w:sz w:val="20"/>
                <w:szCs w:val="20"/>
                <w:color w:val="auto"/>
              </w:rPr>
            </w:pPr>
            <w:r>
              <w:rPr>
                <w:rFonts w:ascii="Arial" w:cs="Arial" w:eastAsia="Arial" w:hAnsi="Arial"/>
                <w:sz w:val="18"/>
                <w:szCs w:val="18"/>
                <w:color w:val="auto"/>
              </w:rPr>
              <w:t>Purchases of treasury stock, net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Pr>
          <w:p>
            <w:pPr>
              <w:ind w:left="160"/>
              <w:spacing w:after="0"/>
              <w:rPr>
                <w:sz w:val="20"/>
                <w:szCs w:val="20"/>
                <w:color w:val="auto"/>
              </w:rPr>
            </w:pPr>
            <w:r>
              <w:rPr>
                <w:rFonts w:ascii="Arial" w:cs="Arial" w:eastAsia="Arial" w:hAnsi="Arial"/>
                <w:sz w:val="18"/>
                <w:szCs w:val="18"/>
                <w:color w:val="auto"/>
              </w:rPr>
              <w:t xml:space="preserve">(152,746 shares) </w:t>
            </w:r>
            <w:r>
              <w:rPr>
                <w:rFonts w:ascii="Arial" w:cs="Arial" w:eastAsia="Arial" w:hAnsi="Arial"/>
                <w:sz w:val="15"/>
                <w:szCs w:val="15"/>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as of December 31, 2013</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(Successor)</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613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9"/>
          </w:tcPr>
          <w:p>
            <w:pPr>
              <w:ind w:left="800"/>
              <w:spacing w:after="0"/>
              <w:rPr>
                <w:sz w:val="20"/>
                <w:szCs w:val="20"/>
                <w:color w:val="auto"/>
              </w:rPr>
            </w:pPr>
            <w:r>
              <w:rPr>
                <w:rFonts w:ascii="Arial" w:cs="Arial" w:eastAsia="Arial" w:hAnsi="Arial"/>
                <w:sz w:val="14"/>
                <w:szCs w:val="14"/>
                <w:b w:val="1"/>
                <w:bCs w:val="1"/>
                <w:color w:val="auto"/>
              </w:rPr>
              <w:t>Eastman Kodak Company Shareholders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 xml:space="preserve">Stock </w:t>
            </w:r>
            <w:r>
              <w:rPr>
                <w:rFonts w:ascii="Arial" w:cs="Arial" w:eastAsia="Arial" w:hAnsi="Arial"/>
                <w:sz w:val="12"/>
                <w:szCs w:val="12"/>
                <w:b w:val="1"/>
                <w:bCs w:val="1"/>
                <w:color w:val="auto"/>
                <w:w w:val="91"/>
              </w:rPr>
              <w:t>(2)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Income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Stock</w:t>
            </w: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Interests</w:t>
            </w: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Equity as of December 31, 2013</w:t>
            </w:r>
          </w:p>
        </w:tc>
        <w:tc>
          <w:tcPr>
            <w:tcW w:w="2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(Successor)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$ 648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Equity transactions with noncontrolling</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Other comprehensive income (net of tax):</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Pension and other postretirement</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liability adjustments</w:t>
            </w: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line="203" w:lineRule="exact"/>
              <w:rPr>
                <w:sz w:val="20"/>
                <w:szCs w:val="20"/>
                <w:color w:val="auto"/>
              </w:rPr>
            </w:pPr>
            <w:r>
              <w:rPr>
                <w:rFonts w:ascii="Arial" w:cs="Arial" w:eastAsia="Arial" w:hAnsi="Arial"/>
                <w:sz w:val="18"/>
                <w:szCs w:val="18"/>
                <w:color w:val="auto"/>
                <w:w w:val="92"/>
              </w:rPr>
              <w:t>Purchases of treasury stock, (44,911 shares)</w:t>
            </w:r>
          </w:p>
        </w:tc>
        <w:tc>
          <w:tcPr>
            <w:tcW w:w="200" w:type="dxa"/>
            <w:vAlign w:val="bottom"/>
          </w:tcPr>
          <w:p>
            <w:pPr>
              <w:spacing w:after="0"/>
              <w:rPr>
                <w:sz w:val="17"/>
                <w:szCs w:val="17"/>
                <w:color w:val="auto"/>
              </w:rPr>
            </w:pPr>
          </w:p>
        </w:tc>
        <w:tc>
          <w:tcPr>
            <w:tcW w:w="3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restart"/>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ind w:left="3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3340" w:type="dxa"/>
            <w:vAlign w:val="bottom"/>
            <w:gridSpan w:val="2"/>
          </w:tcPr>
          <w:p>
            <w:pPr>
              <w:ind w:left="180"/>
              <w:spacing w:after="0"/>
              <w:rPr>
                <w:sz w:val="20"/>
                <w:szCs w:val="20"/>
                <w:color w:val="auto"/>
              </w:rPr>
            </w:pPr>
            <w:r>
              <w:rPr>
                <w:rFonts w:ascii="Arial" w:cs="Arial" w:eastAsia="Arial" w:hAnsi="Arial"/>
                <w:sz w:val="15"/>
                <w:szCs w:val="15"/>
                <w:color w:val="auto"/>
              </w:rPr>
              <w:t>(3)</w:t>
            </w: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(deficit) as of December 31, 2014</w:t>
            </w: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(Successor)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277</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rPr>
              <w:t>Equity transactions with noncontrolling</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Other comprehensive income (net of tax):</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translation adjustments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340"/>
              <w:spacing w:after="0" w:line="201" w:lineRule="exact"/>
              <w:rPr>
                <w:sz w:val="20"/>
                <w:szCs w:val="20"/>
                <w:color w:val="auto"/>
              </w:rPr>
            </w:pPr>
            <w:r>
              <w:rPr>
                <w:rFonts w:ascii="Arial" w:cs="Arial" w:eastAsia="Arial" w:hAnsi="Arial"/>
                <w:sz w:val="18"/>
                <w:szCs w:val="18"/>
                <w:color w:val="auto"/>
              </w:rPr>
              <w:t>Reclassification of realized losses on</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520"/>
              <w:spacing w:after="0"/>
              <w:rPr>
                <w:sz w:val="20"/>
                <w:szCs w:val="20"/>
                <w:color w:val="auto"/>
              </w:rPr>
            </w:pPr>
            <w:r>
              <w:rPr>
                <w:rFonts w:ascii="Arial" w:cs="Arial" w:eastAsia="Arial" w:hAnsi="Arial"/>
                <w:sz w:val="18"/>
                <w:szCs w:val="18"/>
                <w:color w:val="auto"/>
              </w:rPr>
              <w:t>included in net earnings, net of tax</w:t>
            </w:r>
          </w:p>
        </w:tc>
        <w:tc>
          <w:tcPr>
            <w:tcW w:w="200" w:type="dxa"/>
            <w:vAlign w:val="bottom"/>
          </w:tcPr>
          <w:p>
            <w:pPr>
              <w:spacing w:after="0"/>
              <w:rPr>
                <w:sz w:val="20"/>
                <w:szCs w:val="20"/>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Pension and other postretirement</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liability adjustments</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79"/>
              </w:rPr>
              <w:t>12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of treasury stock, (84,678</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xml:space="preserve">shares) </w:t>
            </w:r>
            <w:r>
              <w:rPr>
                <w:rFonts w:ascii="Arial" w:cs="Arial" w:eastAsia="Arial" w:hAnsi="Arial"/>
                <w:sz w:val="15"/>
                <w:szCs w:val="15"/>
                <w:color w:val="auto"/>
              </w:rPr>
              <w:t>(3)</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340" w:type="dxa"/>
            <w:vAlign w:val="bottom"/>
            <w:gridSpan w:val="2"/>
          </w:tcPr>
          <w:p>
            <w:pPr>
              <w:spacing w:after="0"/>
              <w:rPr>
                <w:sz w:val="20"/>
                <w:szCs w:val="20"/>
                <w:color w:val="auto"/>
              </w:rPr>
            </w:pPr>
            <w:r>
              <w:rPr>
                <w:rFonts w:ascii="Arial" w:cs="Arial" w:eastAsia="Arial" w:hAnsi="Arial"/>
                <w:sz w:val="18"/>
                <w:szCs w:val="18"/>
                <w:color w:val="auto"/>
              </w:rPr>
              <w:t>Equity (deficit) as of December 31, 2015</w:t>
            </w: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(Successor)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$ 103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Includes stock awards issued, offset by shares surrendered for taxes.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There are 60 million shares of no par value preferred stock authorized, none of which have been issued.</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Represents purchases of common stock and/ or warrants to satisfy tax withholding obligations.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116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Pr>
          <w:p>
            <w:pPr>
              <w:spacing w:after="0"/>
              <w:rPr>
                <w:sz w:val="10"/>
                <w:szCs w:val="10"/>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60" w:type="dxa"/>
            <w:vAlign w:val="bottom"/>
          </w:tcPr>
          <w:p>
            <w:pPr>
              <w:spacing w:after="0"/>
              <w:rPr>
                <w:sz w:val="10"/>
                <w:szCs w:val="10"/>
                <w:color w:val="auto"/>
              </w:rPr>
            </w:pPr>
          </w:p>
        </w:tc>
        <w:tc>
          <w:tcPr>
            <w:tcW w:w="178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Four Months Ended</w:t>
            </w:r>
          </w:p>
        </w:tc>
        <w:tc>
          <w:tcPr>
            <w:tcW w:w="46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Borders>
              <w:right w:val="single" w:sz="8" w:color="auto"/>
            </w:tcBorders>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Borders>
              <w:right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(loss) earnings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5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(income) expense</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Change in U.S. vacation benefits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gains on sales of businesses/assets</w:t>
            </w: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Gain on assets acquired for no monetary consideration</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w w:val="95"/>
              </w:rPr>
              <w:t>Foreign exchange loss from remeasurement of Venezuela monetary assets</w:t>
            </w:r>
          </w:p>
        </w:tc>
        <w:tc>
          <w:tcPr>
            <w:tcW w:w="1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Non-cash restructuring costs, asset impairments and other charges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Non-cash reorganization gain</w:t>
            </w:r>
          </w:p>
        </w:tc>
        <w:tc>
          <w:tcPr>
            <w:tcW w:w="1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claims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40"/>
              <w:spacing w:after="0"/>
              <w:rPr>
                <w:sz w:val="20"/>
                <w:szCs w:val="20"/>
                <w:color w:val="auto"/>
              </w:rPr>
            </w:pPr>
            <w:r>
              <w:rPr>
                <w:rFonts w:ascii="Arial" w:cs="Arial" w:eastAsia="Arial" w:hAnsi="Arial"/>
                <w:sz w:val="18"/>
                <w:szCs w:val="18"/>
                <w:color w:val="auto"/>
              </w:rPr>
              <w:t>Fresh start adjustments, net</w:t>
            </w:r>
          </w:p>
        </w:tc>
        <w:tc>
          <w:tcPr>
            <w:tcW w:w="1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reorganization items,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Provision (benefit) for deferred income taxes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receivables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Decrease (increase) in inventories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Decrease in liabilities excluding borrowings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items,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adjustments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52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Additions to properties</w:t>
            </w: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sales of businesses/assets , net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(Funding) use of restricted cash</w:t>
            </w: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 sales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Marketable securities – purchases</w:t>
            </w: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331"/>
        </w:trPr>
        <w:tc>
          <w:tcPr>
            <w:tcW w:w="5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Repayment of emergence credit facilities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proceeds of other borrowings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Equity transactions of noncontrolling interests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Treasury stock purchases</w:t>
            </w:r>
          </w:p>
        </w:tc>
        <w:tc>
          <w:tcPr>
            <w:tcW w:w="18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Emergence credit facilities</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Proceeds from Senior and Junior DIP Credit Agreements</w:t>
            </w:r>
          </w:p>
        </w:tc>
        <w:tc>
          <w:tcPr>
            <w:tcW w:w="1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Repayment of other borrowings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Repayment of term loans under Original Senior DIP Credit Agreement</w:t>
            </w:r>
          </w:p>
        </w:tc>
        <w:tc>
          <w:tcPr>
            <w:tcW w:w="1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Repayment of term loans under Junior DIP Credit Agreement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Proceeds from Rights Offerings</w:t>
            </w:r>
          </w:p>
        </w:tc>
        <w:tc>
          <w:tcPr>
            <w:tcW w:w="18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received with sale of business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9"/>
                <w:szCs w:val="19"/>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c>
          <w:tcPr>
            <w:tcW w:w="52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52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898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52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70"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6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0"/>
              </w:rPr>
              <w:t>Successor</w:t>
            </w: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340" w:type="dxa"/>
            <w:vAlign w:val="bottom"/>
          </w:tcPr>
          <w:p>
            <w:pPr>
              <w:spacing w:after="0"/>
              <w:rPr>
                <w:sz w:val="10"/>
                <w:szCs w:val="10"/>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0"/>
                <w:szCs w:val="10"/>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Year Ended</w:t>
            </w:r>
          </w:p>
        </w:tc>
        <w:tc>
          <w:tcPr>
            <w:tcW w:w="1600" w:type="dxa"/>
            <w:vAlign w:val="bottom"/>
            <w:tcBorders>
              <w:right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2"/>
              </w:rPr>
              <w:t>Four Months Ended</w:t>
            </w:r>
          </w:p>
        </w:tc>
        <w:tc>
          <w:tcPr>
            <w:tcW w:w="30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0" w:type="dxa"/>
            <w:vAlign w:val="bottom"/>
            <w:tcBorders>
              <w:right w:val="single" w:sz="8" w:color="auto"/>
            </w:tcBorders>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10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2"/>
                <w:szCs w:val="12"/>
                <w:color w:val="auto"/>
              </w:rPr>
            </w:pPr>
          </w:p>
        </w:tc>
        <w:tc>
          <w:tcPr>
            <w:tcW w:w="146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August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right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for interest and income taxes was: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6340" w:type="dxa"/>
            <w:vAlign w:val="bottom"/>
          </w:tcPr>
          <w:p>
            <w:pPr>
              <w:spacing w:after="0"/>
              <w:rPr>
                <w:sz w:val="20"/>
                <w:szCs w:val="20"/>
                <w:color w:val="auto"/>
              </w:rPr>
            </w:pPr>
            <w:r>
              <w:rPr>
                <w:rFonts w:ascii="Arial" w:cs="Arial" w:eastAsia="Arial" w:hAnsi="Arial"/>
                <w:sz w:val="18"/>
                <w:szCs w:val="18"/>
                <w:color w:val="auto"/>
              </w:rPr>
              <w:t>Interest, net of portion capitalized of $2 as of December 31, 2015, $3 as of</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December 31, 2014 and $0 as of December 31, 2013 and August 31, 2013.</w:t>
            </w:r>
          </w:p>
        </w:tc>
        <w:tc>
          <w:tcPr>
            <w:tcW w:w="180" w:type="dxa"/>
            <w:vAlign w:val="bottom"/>
          </w:tcPr>
          <w:p>
            <w:pPr>
              <w:jc w:val="right"/>
              <w:ind w:right="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Income taxes (net of refunds)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4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KODAK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9" w:lineRule="exact"/>
        <w:rPr>
          <w:sz w:val="20"/>
          <w:szCs w:val="20"/>
          <w:color w:val="auto"/>
        </w:rPr>
      </w:pPr>
    </w:p>
    <w:p>
      <w:pPr>
        <w:ind w:right="4500"/>
        <w:spacing w:after="0" w:line="378" w:lineRule="auto"/>
        <w:rPr>
          <w:sz w:val="20"/>
          <w:szCs w:val="20"/>
          <w:color w:val="auto"/>
        </w:rPr>
      </w:pPr>
      <w:r>
        <w:rPr>
          <w:rFonts w:ascii="Arial" w:cs="Arial" w:eastAsia="Arial" w:hAnsi="Arial"/>
          <w:sz w:val="18"/>
          <w:szCs w:val="18"/>
          <w:b w:val="1"/>
          <w:bCs w:val="1"/>
          <w:color w:val="auto"/>
        </w:rPr>
        <w:t>NOTE 1: BASIS OF PRESENTATION AND SIGNIFICANT ACCOUNTING POLICIES BASIS OF PRESENTATION</w:t>
      </w:r>
    </w:p>
    <w:p>
      <w:pPr>
        <w:ind w:right="100"/>
        <w:spacing w:after="0" w:line="293" w:lineRule="auto"/>
        <w:rPr>
          <w:sz w:val="20"/>
          <w:szCs w:val="20"/>
          <w:color w:val="auto"/>
        </w:rPr>
      </w:pPr>
      <w:r>
        <w:rPr>
          <w:rFonts w:ascii="Arial" w:cs="Arial" w:eastAsia="Arial" w:hAnsi="Arial"/>
          <w:sz w:val="16"/>
          <w:szCs w:val="16"/>
          <w:color w:val="auto"/>
        </w:rPr>
        <w:t>On January 19, 2012 (the “Petition Date”), Eastman Kodak Company (“EKC” or the “Company”) and its U.S. subsidiaries (collectively, the “Debtors”) filed voluntary petitions for relief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were not part of the Chapter 11 Cases, and continued to operate in the ordinary course of business.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emergence from bankruptcy on September 3, 2013, Kodak adopted fresh-start accounting which resulted in Kodak becoming a new entity for financial reporting purposes. Kodak applied fresh start accounting as of September 1, 2013. Accordingly, the consolidated financial statements on or after September 1, 2013 are not comparable to the consolidated financial statements prior to that date. Refer to Note 25, “Fresh Start Accounting” for additional information.</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Subsequent to the Petition Date, all expenses, gains and losses directly associated with the reorganization proceedings are reported as Reorganization items, net in the accompanying Consolidated Statement of Operations. In addition, Liabilities subject to compromise during the chapter 11 proceedings were distinguished from liabilities of the Company’s foreign subsidiaries that were not part of the Chapter 11 Cases, fully-secured liabilities that were not expected to be compromised and from post-petition liabilities in the accompanying Consolidated Statement of Financial Position.</w:t>
      </w:r>
    </w:p>
    <w:p>
      <w:pPr>
        <w:spacing w:after="0" w:line="15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References to “Successor” or “Successor Company” relate to the reorganized Kodak subsequent to September 3, 2013. References to “Predecessor” or “Predecessor Company” relate to Kodak prior to September 3,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due to Kodak’s new organization structure as of January 1, 2015 and for a change in the segment measure of profitability. In addition to the changes in segment reporting under the new organization structure, tenant rental income for Eastman Business Park previously reported in Cost of Revenues is reported in Revenues. Refer to Note 23, “Segment Information” for more information about these changes.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consolidated financial statements and accompanying notes are prepared in accordance with accounting principles generally accepted in the United States of America (“U.S. GAAP”). The following is a description of the significant accounting policies of Kodak.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consolidated financial statements include the accounts of EKC and all companies directly or indirectly controlled by EKC, either through majority ownership or otherwise (collectively “Kodak”). Kodak consolidates variable interest entities if Kodak has a controlling financial interest and is determined to be the primary beneficiary of the entity.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Kodak is the primary beneficiary of a utilities variable interest entity, RED-Rochester, LLC (“RED”). Therefore, Kodak consolidates RED’s assets, liabilities and results of operations. Consolidated assets and liabilities of RED are $69 million and $13 million, respectively, as of December 31, 2015 and $77 million and $11 million, respectively, as of December 31, 2014. RED’s equity in those net assets as of December 31, 2015 and 2014 is $25 million and $21 million, respectively. RED’s results of operations are reflected in net income attributable to noncontrolling interest in the accompanying Consolidated Statement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preparation of financial statements in conformity with U.S. GAAP accounting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FOREIGN CURRENCY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income in the accompanying Consolidated Statement of Financial Position. Translation adjustments related to investments that are permanent in nature are not tax-effected.</w:t>
      </w:r>
    </w:p>
    <w:p>
      <w:pPr>
        <w:spacing w:after="0" w:line="1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(charges) income, net in the accompanying Consolidated Statement of Operations.</w:t>
      </w:r>
    </w:p>
    <w:p>
      <w:pPr>
        <w:spacing w:after="0" w:line="19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effects of foreign currency transactions, including related hedging activities, are included in Other (charges) income, net, in the accompanying Consolidated Statement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Venezuela Currency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Kodak has accounted for the Venezuelan economy as highly inflationary since 2010. Accordingly, Kodak’s Venezuelan subsidiary uses the U.S. dollar as its functional currency, and monetary assets and liabilities denominated in BsF generate income or expense for changes in value associated with foreign currency exchange rate fluctuations against the U.S. dollar. Kodak’s Venezuelan subsidiary does not have ongoing trading activity.</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Venezuelan government has maintained currency controls and a fixed official exchange rate since 2003. The official exchange rate at December 31, 2015 and 2014 was 6.3 Venezuelan Bolivars Fuertes (“BsF”) to the U.S. dollar. In 2013, the Venezuelan government announced the creation of a complementary currency exchange system, referred to as “SICAD 1.” SICAD 1 was determined by an auction process restricted to invited entities for designated uses. At December 31, 2014, the SICAD 1 exchange rate was 12.0 BsF to the U.S. Dollar. In 2014, the Venezuelan government created another currency exchange system known as “SICAD 2,” indicating that all industry sectors and companies would be eligible to participate in SICAD 2. Transactions in SICAD 2 were regulated by the Venezuelan Central Bank. Entities were required to submit applications to convert BsF to U.S. dollars under SICAD 2. The SICAD 2 exchange rate as of December 31, 2014 was 49.99 BsF to the U.S. dollar.</w:t>
      </w:r>
    </w:p>
    <w:p>
      <w:pPr>
        <w:spacing w:after="0" w:line="17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Given increased uncertainty in Venezuela, Kodak adopted the SICAD 2 rate to remeasure BsF denominated monetary assets and liabilities of its Venezuelan subsidiary to the U.S. dollar as of December 31, 2014. As a result of this change from the official exchange rate, Kodak recorded a charge of $16 million in other (charges), income net in the fourth quarter of 2014.</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2015, the Venezuelan government merged the SICAD 1 and SICAD 2 exchange mechanisms into a single mechanism called SICAD and introduced a new open market system, “SIMADI.” The SIMADI market is intended to have a floating exchange rate determined by market participants. Kodak adopted the SIMADI rate to remeasure BsF denominated monetary assets and liabilities of its Venezuelan subsidiary to the U.S. dollar as of March 31, 2015. The SIMADI exchange rate at March 31, 2015 was 191.97 BsF to the U.S. dollar. As a result of the change from the SICAD 2 rate, Kodak recorded a charge of $2 million in other (charges), income net in the first quarter of 2015. The SIMADI exchange rate as of December 31, 2015 was 198.7 BsF to the U.S. dollar.</w:t>
      </w:r>
    </w:p>
    <w:p>
      <w:pPr>
        <w:spacing w:after="0" w:line="15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December 31, 2015 and December 31, 2014, Kodak’s Venezuelan subsidiary had approximately $1 million and $2 million, respectively, of BsF denominated net monetary assets, composed primarily of cash and cash equivalents.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Financial instruments that potentially subject Kodak to significant concentrations of credit risk consist principally of cash and cash equivalents, receivables, and derivative instruments. Kodak places its cash and cash equivalents with high-quality financial institutions and limits the amount of credit exposure to any one institution. With respect to receivables, such receivables arise from sales to numerous customers in a variety of industries, markets, and geographies around the world. Receivables arising from these sales are generally not collateralized. Kodak performs ongoing credit evaluations of its customers’ financial conditions,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14" w:name="page15"/>
    <w:bookmarkEnd w:id="14"/>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maintains reserves for potential credit losses and such losses, in the aggregate, have not exceeded management’s expectations. Counterparties to the derivative instrument contracts are major financial institutions. Kodak has not experienced non-performance by any of its derivative instruments counterparties.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highly liquid investments with a remaining maturity of three months or less at date of purchase are considered to be cash equivalents.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Inventories are stated at the lower of cost or market. The cost of all of Kodak’s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Property, plant and equipment are recorded at cost, net of accumulated depreciation with the exception of property, plant and equipment owned as of the application of fresh start accounting.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 In connection with fresh start accounting, property, plant and equipment were adjusted to their estimated fair value and depreciable lives were revised as of September 1, 2013. Refer to Note 25, “Fresh Start Accounting.”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Kodak calculates depreciation expense using the straight-line method over the assets’ estimated useful lives, which are as follows:</w:t>
      </w:r>
    </w:p>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700" w:type="dxa"/>
            <w:vAlign w:val="bottom"/>
          </w:tcPr>
          <w:p>
            <w:pPr>
              <w:ind w:left="1720"/>
              <w:spacing w:after="0"/>
              <w:rPr>
                <w:sz w:val="20"/>
                <w:szCs w:val="20"/>
                <w:color w:val="auto"/>
              </w:rPr>
            </w:pPr>
            <w:r>
              <w:rPr>
                <w:rFonts w:ascii="Arial" w:cs="Arial" w:eastAsia="Arial" w:hAnsi="Arial"/>
                <w:sz w:val="14"/>
                <w:szCs w:val="14"/>
                <w:b w:val="1"/>
                <w:bCs w:val="1"/>
                <w:color w:val="auto"/>
              </w:rPr>
              <w:t>Successor</w:t>
            </w:r>
          </w:p>
        </w:tc>
        <w:tc>
          <w:tcPr>
            <w:tcW w:w="1540" w:type="dxa"/>
            <w:vAlign w:val="bottom"/>
          </w:tcPr>
          <w:p>
            <w:pPr>
              <w:ind w:left="380"/>
              <w:spacing w:after="0"/>
              <w:rPr>
                <w:sz w:val="20"/>
                <w:szCs w:val="20"/>
                <w:color w:val="auto"/>
              </w:rPr>
            </w:pPr>
            <w:r>
              <w:rPr>
                <w:rFonts w:ascii="Arial" w:cs="Arial" w:eastAsia="Arial" w:hAnsi="Arial"/>
                <w:sz w:val="14"/>
                <w:szCs w:val="14"/>
                <w:b w:val="1"/>
                <w:bCs w:val="1"/>
                <w:color w:val="auto"/>
                <w:w w:val="89"/>
              </w:rPr>
              <w:t>As of September 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700" w:type="dxa"/>
            <w:vAlign w:val="bottom"/>
          </w:tcPr>
          <w:p>
            <w:pPr>
              <w:ind w:left="1720"/>
              <w:spacing w:after="0"/>
              <w:rPr>
                <w:sz w:val="20"/>
                <w:szCs w:val="20"/>
                <w:color w:val="auto"/>
              </w:rPr>
            </w:pPr>
            <w:r>
              <w:rPr>
                <w:rFonts w:ascii="Arial" w:cs="Arial" w:eastAsia="Arial" w:hAnsi="Arial"/>
                <w:sz w:val="14"/>
                <w:szCs w:val="14"/>
                <w:b w:val="1"/>
                <w:bCs w:val="1"/>
                <w:color w:val="auto"/>
              </w:rPr>
              <w:t>Company</w:t>
            </w:r>
          </w:p>
        </w:tc>
        <w:tc>
          <w:tcPr>
            <w:tcW w:w="1540" w:type="dxa"/>
            <w:vAlign w:val="bottom"/>
          </w:tcPr>
          <w:p>
            <w:pPr>
              <w:jc w:val="center"/>
              <w:ind w:left="27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2700" w:type="dxa"/>
            <w:vAlign w:val="bottom"/>
            <w:shd w:val="clear" w:color="auto" w:fill="CCEEFF"/>
          </w:tcPr>
          <w:p>
            <w:pPr>
              <w:jc w:val="center"/>
              <w:ind w:left="1254"/>
              <w:spacing w:after="0"/>
              <w:rPr>
                <w:sz w:val="20"/>
                <w:szCs w:val="20"/>
                <w:color w:val="auto"/>
              </w:rPr>
            </w:pPr>
            <w:r>
              <w:rPr>
                <w:rFonts w:ascii="Arial" w:cs="Arial" w:eastAsia="Arial" w:hAnsi="Arial"/>
                <w:sz w:val="18"/>
                <w:szCs w:val="18"/>
                <w:color w:val="auto"/>
                <w:w w:val="88"/>
              </w:rPr>
              <w:t>5-40</w:t>
            </w:r>
          </w:p>
        </w:tc>
        <w:tc>
          <w:tcPr>
            <w:tcW w:w="154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4"/>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Land improvements</w:t>
            </w:r>
          </w:p>
        </w:tc>
        <w:tc>
          <w:tcPr>
            <w:tcW w:w="2700" w:type="dxa"/>
            <w:vAlign w:val="bottom"/>
          </w:tcPr>
          <w:p>
            <w:pPr>
              <w:jc w:val="center"/>
              <w:ind w:left="1274"/>
              <w:spacing w:after="0"/>
              <w:rPr>
                <w:sz w:val="20"/>
                <w:szCs w:val="20"/>
                <w:color w:val="auto"/>
              </w:rPr>
            </w:pPr>
            <w:r>
              <w:rPr>
                <w:rFonts w:ascii="Arial" w:cs="Arial" w:eastAsia="Arial" w:hAnsi="Arial"/>
                <w:sz w:val="18"/>
                <w:szCs w:val="18"/>
                <w:color w:val="auto"/>
                <w:w w:val="89"/>
              </w:rPr>
              <w:t>20</w:t>
            </w:r>
          </w:p>
        </w:tc>
        <w:tc>
          <w:tcPr>
            <w:tcW w:w="1540" w:type="dxa"/>
            <w:vAlign w:val="bottom"/>
          </w:tcPr>
          <w:p>
            <w:pPr>
              <w:jc w:val="center"/>
              <w:ind w:left="274"/>
              <w:spacing w:after="0"/>
              <w:rPr>
                <w:sz w:val="20"/>
                <w:szCs w:val="20"/>
                <w:color w:val="auto"/>
              </w:rPr>
            </w:pPr>
            <w:r>
              <w:rPr>
                <w:rFonts w:ascii="Arial" w:cs="Arial" w:eastAsia="Arial" w:hAnsi="Arial"/>
                <w:sz w:val="18"/>
                <w:szCs w:val="18"/>
                <w:color w:val="auto"/>
                <w:w w:val="94"/>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00" w:type="dxa"/>
            <w:vAlign w:val="bottom"/>
            <w:shd w:val="clear" w:color="auto" w:fill="CCEEFF"/>
          </w:tcPr>
          <w:p>
            <w:pPr>
              <w:jc w:val="center"/>
              <w:ind w:left="1254"/>
              <w:spacing w:after="0"/>
              <w:rPr>
                <w:sz w:val="20"/>
                <w:szCs w:val="20"/>
                <w:color w:val="auto"/>
              </w:rPr>
            </w:pPr>
            <w:r>
              <w:rPr>
                <w:rFonts w:ascii="Arial" w:cs="Arial" w:eastAsia="Arial" w:hAnsi="Arial"/>
                <w:sz w:val="18"/>
                <w:szCs w:val="18"/>
                <w:color w:val="auto"/>
                <w:w w:val="88"/>
              </w:rPr>
              <w:t>3-20</w:t>
            </w:r>
          </w:p>
        </w:tc>
        <w:tc>
          <w:tcPr>
            <w:tcW w:w="1540" w:type="dxa"/>
            <w:vAlign w:val="bottom"/>
            <w:shd w:val="clear" w:color="auto" w:fill="CCEEFF"/>
          </w:tcPr>
          <w:p>
            <w:pPr>
              <w:jc w:val="center"/>
              <w:ind w:left="274"/>
              <w:spacing w:after="0"/>
              <w:rPr>
                <w:sz w:val="20"/>
                <w:szCs w:val="20"/>
                <w:color w:val="auto"/>
              </w:rPr>
            </w:pPr>
            <w:r>
              <w:rPr>
                <w:rFonts w:ascii="Arial" w:cs="Arial" w:eastAsia="Arial" w:hAnsi="Arial"/>
                <w:sz w:val="18"/>
                <w:szCs w:val="18"/>
                <w:color w:val="auto"/>
                <w:w w:val="94"/>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Equipment</w:t>
            </w:r>
          </w:p>
        </w:tc>
        <w:tc>
          <w:tcPr>
            <w:tcW w:w="2700" w:type="dxa"/>
            <w:vAlign w:val="bottom"/>
          </w:tcPr>
          <w:p>
            <w:pPr>
              <w:jc w:val="center"/>
              <w:ind w:left="1254"/>
              <w:spacing w:after="0"/>
              <w:rPr>
                <w:sz w:val="20"/>
                <w:szCs w:val="20"/>
                <w:color w:val="auto"/>
              </w:rPr>
            </w:pPr>
            <w:r>
              <w:rPr>
                <w:rFonts w:ascii="Arial" w:cs="Arial" w:eastAsia="Arial" w:hAnsi="Arial"/>
                <w:sz w:val="18"/>
                <w:szCs w:val="18"/>
                <w:color w:val="auto"/>
                <w:w w:val="88"/>
              </w:rPr>
              <w:t>3-15</w:t>
            </w:r>
          </w:p>
        </w:tc>
        <w:tc>
          <w:tcPr>
            <w:tcW w:w="1540" w:type="dxa"/>
            <w:vAlign w:val="bottom"/>
          </w:tcPr>
          <w:p>
            <w:pPr>
              <w:jc w:val="center"/>
              <w:ind w:left="274"/>
              <w:spacing w:after="0"/>
              <w:rPr>
                <w:sz w:val="20"/>
                <w:szCs w:val="20"/>
                <w:color w:val="auto"/>
              </w:rPr>
            </w:pPr>
            <w:r>
              <w:rPr>
                <w:rFonts w:ascii="Arial" w:cs="Arial" w:eastAsia="Arial" w:hAnsi="Arial"/>
                <w:sz w:val="18"/>
                <w:szCs w:val="18"/>
                <w:color w:val="auto"/>
                <w:w w:val="94"/>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Tooling</w:t>
            </w:r>
          </w:p>
        </w:tc>
        <w:tc>
          <w:tcPr>
            <w:tcW w:w="2700" w:type="dxa"/>
            <w:vAlign w:val="bottom"/>
            <w:shd w:val="clear" w:color="auto" w:fill="CCEEFF"/>
          </w:tcPr>
          <w:p>
            <w:pPr>
              <w:jc w:val="center"/>
              <w:ind w:left="1254"/>
              <w:spacing w:after="0"/>
              <w:rPr>
                <w:sz w:val="20"/>
                <w:szCs w:val="20"/>
                <w:color w:val="auto"/>
              </w:rPr>
            </w:pPr>
            <w:r>
              <w:rPr>
                <w:rFonts w:ascii="Arial" w:cs="Arial" w:eastAsia="Arial" w:hAnsi="Arial"/>
                <w:sz w:val="18"/>
                <w:szCs w:val="18"/>
                <w:color w:val="auto"/>
                <w:w w:val="92"/>
              </w:rPr>
              <w:t>1-3</w:t>
            </w:r>
          </w:p>
        </w:tc>
        <w:tc>
          <w:tcPr>
            <w:tcW w:w="154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700" w:type="dxa"/>
            <w:vAlign w:val="bottom"/>
          </w:tcPr>
          <w:p>
            <w:pPr>
              <w:jc w:val="center"/>
              <w:ind w:left="1254"/>
              <w:spacing w:after="0"/>
              <w:rPr>
                <w:sz w:val="20"/>
                <w:szCs w:val="20"/>
                <w:color w:val="auto"/>
              </w:rPr>
            </w:pPr>
            <w:r>
              <w:rPr>
                <w:rFonts w:ascii="Arial" w:cs="Arial" w:eastAsia="Arial" w:hAnsi="Arial"/>
                <w:sz w:val="18"/>
                <w:szCs w:val="18"/>
                <w:color w:val="auto"/>
                <w:w w:val="88"/>
              </w:rPr>
              <w:t>5-10</w:t>
            </w:r>
          </w:p>
        </w:tc>
        <w:tc>
          <w:tcPr>
            <w:tcW w:w="1540" w:type="dxa"/>
            <w:vAlign w:val="bottom"/>
          </w:tcPr>
          <w:p>
            <w:pPr>
              <w:jc w:val="center"/>
              <w:ind w:left="274"/>
              <w:spacing w:after="0"/>
              <w:rPr>
                <w:sz w:val="20"/>
                <w:szCs w:val="20"/>
                <w:color w:val="auto"/>
              </w:rPr>
            </w:pPr>
            <w:r>
              <w:rPr>
                <w:rFonts w:ascii="Arial" w:cs="Arial" w:eastAsia="Arial" w:hAnsi="Arial"/>
                <w:sz w:val="18"/>
                <w:szCs w:val="18"/>
                <w:color w:val="auto"/>
                <w:w w:val="94"/>
              </w:rPr>
              <w:t>1-10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Kodak depreciates leasehold improvements over the shorter of the lease term or the asset’s estimated useful life.</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Equipment subject to operating leases is included in Property, plant and equipment, net in the Consolidated Statement of Financial Position. Equipment subject to operating leases consists of equipment rented to customers and is depreciated to estimated salvage value over its expected useful life. Equipment operating lease terms and depreciable lives generally vary from 3 to 7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Goodwill reported in the Successor period represents the reorganizational value of assets in excess of amounts allocated to identified tangible and intangible assets. Refer to Note 25, “Fresh Start Accounting.” Goodwill is not amortized, but is required to be assessed for impairment at least annually and whenever events or changes in circumstances occur that would more likely than not reduce the fair value of the reporting unit below its carrying amount. Kodak performed the annual test of impairment as of October 1, 2015 for all its reporting units and updated its analysis as of December 31, 2015 due to the change in the annual goodwill impairment test date from October 1 to December 31.</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5" w:name="page16"/>
    <w:bookmarkEnd w:id="15"/>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reporting units, then a two-step goodwill impairment test is performed to test for a potential impairment of goodwill (step 1) and if potential losses are identified, to measure the impairment loss (step 2). Determining the fair value of a reporting unit involves the use of significant estimates and assumptions. Refer to Note 5, “Goodwill and Other Intangible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WORKERS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Kodak self 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Amounts recoverable from insurance companies or third parties are estimated using historical experience and estimates of future recoveries. Estimated recoveries are not offset against the related accrual.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Kodak recognizes revenue when realized or realizable and earned, which is when the following criteria are met: (1) persuasive evidence of an arrangement exists; (2) delivery has occurred; (3) the sales price is fixed or determinable; and (4) collectability is reasonably assured. At the time revenue is recognized, Kodak provides for the estimated costs of customer incentive programs, warranties and estimated returns and reduces revenue accordingly. For those incentives that require the estimation of sales volumes or redemption rates, such as for volume rebates, Kodak uses historical experience and internal and customer data to estimate the sales incentive at the time revenue is recognized. Kodak accrues the estimated cost of post-sale obligations, including basic product warranties, based on historical experience at the time Kodak recognizes revenue.</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product sales, the revenue recognition criteria are generally met when title and risk of loss have transferred from Kodak to the buyer, which may be upon shipment or upon delivery to the customer site, based on contract terms or legal requirements in certain jurisdictions.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equipment sales, the recognition criteria are generally met when the equipment is delivered and installed at the customer site. Revenue is recognized for equipment upon delivery as opposed to upon installation when the equipment has stand-alone value to the customer, and the amount of revenue allocable to the equipment is not legally contingent upon the completion of the installation. In instances in which the agreement with the customer contains a customer acceptance clause, revenue is deferred until customer acceptance is obtained, provided the customer acceptance clause is considered to be substantive. For certain agreements, Kodak does not consider these customer acceptance clauses to be substantive because Kodak can and does replicate the customer acceptance test environment and performs the agreed upon product testing prior to shipment. In these instances, revenue is recognized upon installation of the equipment.</w:t>
      </w:r>
    </w:p>
    <w:p>
      <w:pPr>
        <w:spacing w:after="0" w:line="18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Revenue from the sale of software licenses is recognized when (1) Kodak enters into a legally binding arrangement with a customer for the license of software; (2) Kodak delivers the software; (3) customer payment is deemed fixed or determinable and free of contingencies or significant uncertainties; and</w:t>
      </w:r>
    </w:p>
    <w:p>
      <w:pPr>
        <w:ind w:right="54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collection from the customer is probable. Software maintenance and support revenue is recognized ratably over the term of the related maintenance contract.</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includes extended warranty, customer support and maintenance agreements, consulting, business process services, training and education. Service revenue is recognized over the contractual period or as services are performed. In service arrangements where final acceptance of a system or solution by the customer is required, revenue is deferred until all acceptance criteria have been met.</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timing and the amount of revenue recognized from the licensing of intellectual property depend upon a variety of factors, including the specific terms of each agreement and the nature of the deliverables and obligations. Revenue is only recognized after all of the following criteria are met: (1) Kodak enters into a legally binding arrangement with a licensee of Kodak’s intellectual property, (2) Kodak delivers the technology or intellectual property rights, (3) licensee payment is deemed fixed or determinable and free of contingencies or significant uncertainties, and (4) collection from the licensee is reasonably assured.</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Most of Kodak’s equipment has both software and non-software components that function together to deliver the equipment’s essential functionality and therefore they are accounted for together as non-software deliverables. Non-essential software sold in connection with Kodak’s equipment sales is accounted for as separate deliverables or elements. In most cases, these software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products sold as part of a multiple element arrangement include software maintenance agreements as well as unspecified upgrades or enhancements on a when-and-if-available basis. In multiple element arrangements where non-essential software deliverables are included, revenue is allocated to non-software and to software deliverables each as a group based on relative selling prices of each of the deliverables in the arrangement. Revenue allocated to software licenses is recognized when all revenue recognition criteria have been met. Revenue generated from maintenance and unspecified upgrades or updates on a when-and-if-available basis is recognized over the contract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Research and development (“R&amp;D”)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Advertising costs are expensed as incurred and are included in Selling, general and administrative expenses in the accompanying Consolidated Statement of Operations. Advertising expenses amounted to $8 million, $13 million, $6 million and $14 million for the years ended December 31, 2015 and December 31, 2014, four months ended December 31, 2013, and for the eight months ended August 31, 2013,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Amounts charged to customers and costs incurred by Kodak related to shipping and handling are included in net sales and cost of sales, respectively.</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carrying values of long-lived assets, other than goodwill and intangible assets with indefinite useful lives, are reviewed for impairment whenever events or changes in circumstances indicate that the carrying values may not be recoverable. In connection with fresh start accounting, the carrying values of long-lived assets were adjusted to estimated fair value as of September 1, 2013 and Kodak revised its estimates of the remaining useful lives of all long-lived assets. Refer to Note 25, “Fresh Start Accounting.”</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recoverability of the carrying values of long-lived assets is assessed by first grouping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 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carrying values of indefinite-lived intangible assets are evaluated for potential impairment annually or whenever events or changes in circumstances indicate that it is more likely than not that the asset is impaired. Refer to Note 5, “Goodwill and Other Intangible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2015 and 2014, see Note 14, “Income Taxes.”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undistributed earnings of Kodak’s foreign subsidiaries are not considered permanently reinvested. Kodak has recognized a deferred tax liability (net of related foreign tax credits) on the foreign subsidiaries’ undistributed earnings.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April 2015, the Financial Accounting Standards Board (“FASB”) issued Accounting Standards Update (“ASU”) 2015-07, Fair Value Measurement (Topic 820): Disclosures for Investments in Certain Entities That Calculate Net Asset Value per Share (or Its Equivalent). ASU 2015-07 removes the requirement to categorize within the fair value hierarchy all investments for which fair value is measured using the net asset value per share expedient. The ASU is effective for fiscal years, and interim periods within those years, beginning after December 15, 2015 (January 1, 2016 for Kodak) with retrospective application to all periods presented. Kodak early adopted ASU 2015-07 effective December 31, 2015. The retrospective adoption resulted in a reduction in Level 3 assets for the U.S. plans of $1,837 million and $1,721 million at December 31, 2014 and January 1, 2014, respectively, and a reduction in Level 3 assets for the non-U.S. plans of $106 million at both December 31, 2014 and January 1, 2014. In addition, Level 2 assets for the U.S. and non-U.S. plans decreased by $1,761 million and $251 million, respectively, at December 31, 2014. Refer to Note 16, “Retirement Plans.”</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April 2014, the FASB issued ASU 2014-08, “Presentation of Financial Statements (Topic 205) and Property, Plant, and Equipment (Topic 360).” ASU 2014-08 defines a discontinued operation as a disposal of a component (or group of components) of an entity that was disposed of or is classified as held for sale and represents a strategic shift that has (or will have) a major effect on an entity’s operations and financial results. ASU 2014-08 expands the disclosures when an entity retains a significant continuing involvement with a discontinued operation as well as for disposals of individually material components that do not qualify as discontinued operations. The amendments in the update were effective prospectively for fiscal years, and interim periods within those years, beginning after December 15, 2014 (January 1, 2015 for Kodak) to new disposals and new disposal groups classified as held for sale after the effective date. The adoption of this guidance did not have a material impact on Kodak’s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most leases on their balance sheets as lease liabilities with corresponding right-of-use assets and eliminates certain real estate-specific provisions. The new leasing standard is effective for fiscal years, and for interim periods within those fiscal years, beginning after December 15, 2018 (January 1, 2019 for Kodak). Early adoption is permitted. Kodak is currently evaluating the impact of this ASU.</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January 2016, the FASB issued ASU 2016-01, Financial Instruments–Overall: Recognition and Measurement of Financial Assets and Financial Liabilities. ASU 2016-01 primarily affects the accounting for equity investments, financial liabilities under the fair value option, and the presentation and disclosure requirements for financial instruments. Under the ASU all equity investments in unconsolidated entities (other than those accounted for using the equity method of accounting) will generally be measured at fair value through earnings. In addition, the FASB clarified guidance related to the valuation allowance assessment when recognizing deferred tax assets resulting from unrealized losses on available-for-sale debt securities. The classification and measurement guidance will be effective for Kodak beginning January 1, 2018, including interim periods within those fiscal years. Kodak is currently evaluating the impact of this ASU.</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ASU 2015-17 amends the accounting for income taxes and requires all deferred tax assets and liabilities to be classified as non-current on the consolidated balance sheet. ASU 2015-17 is effective for fiscal years and interim reporting periods within those years beginning after December 15, 2016 (January 1, 2017 for Kodak), with early adoption permitted in any annual or interim period. ASU 2015-17 may be adopted either prospectively or retrospectively. Kodak is currently evaluating the method of adoption and expects ASU 2015-17 will have an impact on the consolidated balance sheet. The current deferred tax assets in excess of valuation allowance were $22 million as of December 31, 2015.</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2015, the FASB issued ASU 2015-03, Imputation of Interest (Sub-Topic 835.30): Simplifying the Presentation of Debt Issuance Costs. ASU 2015-03 requires debt issuance costs related to a recognized debt liability be presented in the balance sheet as a direct deduction from the carrying amount of that debt liability, consistent with debt discounts. In August 2015, the FASB issued ASU 2015-15 clarifying the application of this guidance to line of credit arrangements. The amendments in the ASUs are effective retrospectively for fiscal years, and for interim periods within those fiscal years, beginning after December 15, 2015 (January 1, 2016 for Kodak). Early adoption is permitted for financial statements not previously issued. Kodak does not expect the adoption of this guidance to have a material impact on its Consolidated Financial Statements.</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February 2015, the FASB issued ASU 2015-02, “Consolidation (Topic 810): Amendments to the Consolidation Analysis”. The amendments in ASU 2015-02 change the analysis that a reporting entity must perform to determine whether it should consolidate certain types of legal entities. The amendments in this ASU are effective for fiscal years, and for interim periods within those fiscal years,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8" w:name="page19"/>
    <w:bookmarkEnd w:id="1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after December 15, 2015 (January 1, 2016 for Kodak). Early adoption is permitted, including adoption in an interim period. A reporting entity may apply the amendments in this ASU either retrospectively or use a modified retrospective approach by recording a cumulative-effect adjustment to equity as of the beginning of the fiscal year of adoption. Kodak does not expect the adoption of this guidance to have a material impact on its Consolidated Financial Statements.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2014, the FASB issued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In July 2015, the FASB deferred the effective date of ASU 2014-09. The new revenue standard is effective for fiscal years, and interim periods within those years, beginning after December 15, 2017 (January 1, 2018 for Kodak) and allows either a full retrospective adoption to all periods presented or a modified retrospective adoption approach with the cumulative effect of initial application of the revised guidance recognized at the date of initial application. Kodak is currently evaluating the adoption alternatives and impact of this ASU.</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NOTE 2:</w:t>
            </w:r>
          </w:p>
        </w:tc>
        <w:tc>
          <w:tcPr>
            <w:tcW w:w="73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RECEIVABLES, NET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880" w:type="dxa"/>
            <w:vAlign w:val="bottom"/>
          </w:tcPr>
          <w:p>
            <w:pPr>
              <w:spacing w:after="0"/>
              <w:rPr>
                <w:sz w:val="14"/>
                <w:szCs w:val="14"/>
                <w:color w:val="auto"/>
              </w:rPr>
            </w:pPr>
          </w:p>
        </w:tc>
        <w:tc>
          <w:tcPr>
            <w:tcW w:w="7300" w:type="dxa"/>
            <w:vAlign w:val="bottom"/>
            <w:gridSpan w:val="2"/>
          </w:tcPr>
          <w:p>
            <w:pPr>
              <w:ind w:left="500"/>
              <w:spacing w:after="0"/>
              <w:rPr>
                <w:sz w:val="20"/>
                <w:szCs w:val="20"/>
                <w:color w:val="auto"/>
              </w:rPr>
            </w:pPr>
            <w:r>
              <w:rPr>
                <w:rFonts w:ascii="Arial" w:cs="Arial" w:eastAsia="Arial" w:hAnsi="Arial"/>
                <w:sz w:val="14"/>
                <w:szCs w:val="14"/>
                <w:color w:val="auto"/>
              </w:rPr>
              <w:t>(in millions)</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Miscellaneous receivables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r>
      <w:tr>
        <w:trPr>
          <w:trHeight w:val="202"/>
        </w:trPr>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Total (net of allowances of $10 and $11 as of December 31, 2015 and December 31, 2014,</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Approximately $28 million and $31 million of the total trade receivable amounts as of December 31, 2015 and 2014,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INVENTORIES, NET</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100" w:type="dxa"/>
            <w:vAlign w:val="bottom"/>
          </w:tcPr>
          <w:p>
            <w:pPr>
              <w:spacing w:after="0"/>
              <w:rPr>
                <w:sz w:val="20"/>
                <w:szCs w:val="20"/>
                <w:color w:val="auto"/>
              </w:rPr>
            </w:pPr>
            <w:r>
              <w:rPr>
                <w:rFonts w:ascii="Arial" w:cs="Arial" w:eastAsia="Arial" w:hAnsi="Arial"/>
                <w:sz w:val="14"/>
                <w:szCs w:val="14"/>
                <w:color w:val="auto"/>
              </w:rPr>
              <w:t>(in millions)</w:t>
            </w: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5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PROPERTY, PLANT AND EQUIPMENT, NET AND EQUIPMENT SUBJECT TO OPERATING LEASES, NET</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As of December 31,</w:t>
            </w:r>
          </w:p>
        </w:tc>
      </w:tr>
      <w:tr>
        <w:trPr>
          <w:trHeight w:val="171"/>
        </w:trPr>
        <w:tc>
          <w:tcPr>
            <w:tcW w:w="4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(330)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Depreciation expense was $120 million, $174 million, $67 million and $87 million for the years ended December 31, 2015 and December 31, 2014, four months ended December 31, 2013, and eight months ended August 31, 2013, respectively, of which approximately $8 million, $2 million, $0 million and $4 million, respectively, represented accelerated depreciation in connection with restructuring actions.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Equipment subject to operating leases and the related accumulated depreciation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460" w:type="dxa"/>
            <w:vAlign w:val="bottom"/>
            <w:gridSpan w:val="3"/>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subject to operating leases, net</w:t>
            </w:r>
          </w:p>
        </w:tc>
        <w:tc>
          <w:tcPr>
            <w:tcW w:w="2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Equipment subject to operating leases, net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rental revenues on operating leases with original terms of one year or longer are not significant to Kodak.</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changes in the carrying value of goodwill by reportable segment. The Enterprise Inkjet Systems and Eastman Business Park segments do not have goodwill and are therefore not presented.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Print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Micro 3D</w:t>
            </w:r>
          </w:p>
        </w:tc>
        <w:tc>
          <w:tcPr>
            <w:tcW w:w="20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Software and</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Consumer</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Intellectual</w:t>
            </w:r>
          </w:p>
        </w:tc>
        <w:tc>
          <w:tcPr>
            <w:tcW w:w="22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Printing and</w:t>
            </w:r>
          </w:p>
        </w:tc>
        <w:tc>
          <w:tcPr>
            <w:tcW w:w="2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Systems</w:t>
            </w:r>
          </w:p>
        </w:tc>
        <w:tc>
          <w:tcPr>
            <w:tcW w:w="24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Packaging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Solutions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and Film</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w w:val="71"/>
              </w:rPr>
              <w:t>6</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Fresh start accounting adjustment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the first quarter of 2014, Kodak increased the value of goodwill determined as part of fresh start accounting by $8 million to correct for a liability that should have been recorded at emergence.</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result of the change in segments that became effective as of January 1, 2015, Kodak’s goodwill reporting units changed. Refer to Note 23, “Segment Information” for additional information on the change to Kodak’s organizational structure. The Print Systems segment has two goodwill reporting units: Prepress Solutions and Electrophotographic Printing Solutions. The Micro 3D Printing and Packaging segment has two goodwill reporting units: Packaging and Micro 3D Printing. The Software and Solutions segment has two goodwill reporting units: Kodak Technology Solutions and Unified Workflow Solutions. The Consumer and Film segment has three goodwill reporting units: Consumer Inkjet Solutions, Motion Picture, Industrial Chemicals and Films and Consumer Products. The Enterprise Inkjet Systems segment has two goodwill reporting units: Commercial Inkjet Printing Solutions and Digital Front-End Controllers. The Intellectual Property Solutions segment and the Eastman Business Park segment each have one goodwill reporting unit.</w:t>
      </w:r>
    </w:p>
    <w:p>
      <w:pPr>
        <w:spacing w:after="0" w:line="16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As of December 31, 2014, the goodwill balance of $96 million under the prior year segment reporting structure was comprised of $67 million for the Graphics, Entertainment and Commercial Films segment and $29 million for the Digital Printing and Enterprise segment. The goodwill in the Graphics, Entertainment and Commercial Films segment was reported in the Graphics and Intellectual Property and Brand Licensing reporting units. The goodwill in the Digital Printing and Enterprise segment was reported in the Packaging and Functional Printing and Consumer Inkjet Systems reporting units.</w:t>
      </w:r>
    </w:p>
    <w:p>
      <w:pPr>
        <w:spacing w:after="0" w:line="15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Goodwill previously reported in the Graphics goodwill reporting unit was transferred to the Prepress Solutions goodwill reporting unit and the Unified Workflow Solutions goodwill reporting unit. The goodwill previously reported in the Packaging and Functional Printing goodwill reporting unit was transferred to the Packaging goodwill reporting unit and the Micro 3D Printing goodwill reporting unit. The goodwill previously reported in the Intellectual Property and Brand Licensing goodwill reporting unit was transferred to the Intellectual Property Solutions goodwill reporting unit and the Consumer Products goodwill reporting unit. Goodwill was reassigned to affected reporting units using a relative fair value allocation.</w:t>
      </w:r>
    </w:p>
    <w:p>
      <w:pPr>
        <w:spacing w:after="0" w:line="17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Due to the change in Kodak’s reporting units and the delay in commercializing new technologies in the Micro 3D Printing reporting unit, Kodak concluded that the carrying value of the Micro 3D Printing reporting unit exceeded its implied fair value. The fair value of the Micro 3D Printing reporting unit was estimated using the discounted cash flow method in which the future cash flows, including a terminal value at the end of the projection period, were discounted to present value. Kodak recorded a pre-tax impairment charge of $6 million in the first quarter of 2015 that is included in Other operating (income) expense, net in the Consolidated Statement of Operations representing the entire amount of goodwill for this reporting unit.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0" w:name="page21"/>
    <w:bookmarkEnd w:id="20"/>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upon the results of Kodak’s October 1, 2015 analysis, Kodak concluded that the carrying value of the Intellectual Property Solutions reporting unit exceeded its implied fair value and recorded a pre-tax impairment charge of $2 million in the fourth quarter of 2015 that is included in Other operating expense (income), net in the Consolidated Statement of Operations representing the entire amount of goodwill for this reporting unit. No impairment of goodwill was indicated for any other reporting units as of October 1 or December 31 valuation dates</w:t>
      </w:r>
      <w:r>
        <w:rPr>
          <w:rFonts w:ascii="Arial" w:cs="Arial" w:eastAsia="Arial" w:hAnsi="Arial"/>
          <w:sz w:val="17"/>
          <w:szCs w:val="17"/>
          <w:b w:val="1"/>
          <w:b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gross carrying amount and accumulated amortization by major intangible asset category as of December 31, 2015 and 2014 were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2015</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0" w:type="dxa"/>
            <w:vAlign w:val="bottom"/>
          </w:tcPr>
          <w:p>
            <w:pPr>
              <w:spacing w:after="0"/>
              <w:rPr>
                <w:sz w:val="1"/>
                <w:szCs w:val="1"/>
                <w:color w:val="auto"/>
              </w:rPr>
            </w:pPr>
          </w:p>
        </w:tc>
      </w:tr>
      <w:tr>
        <w:trPr>
          <w:trHeight w:val="171"/>
        </w:trPr>
        <w:tc>
          <w:tcPr>
            <w:tcW w:w="5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3"/>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Kodak trade name</w:t>
            </w: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6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158</w:t>
            </w: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2014</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Weighted-Average</w:t>
            </w:r>
          </w:p>
        </w:tc>
        <w:tc>
          <w:tcPr>
            <w:tcW w:w="0" w:type="dxa"/>
            <w:vAlign w:val="bottom"/>
          </w:tcPr>
          <w:p>
            <w:pPr>
              <w:spacing w:after="0"/>
              <w:rPr>
                <w:sz w:val="1"/>
                <w:szCs w:val="1"/>
                <w:color w:val="auto"/>
              </w:rPr>
            </w:pPr>
          </w:p>
        </w:tc>
      </w:tr>
      <w:tr>
        <w:trPr>
          <w:trHeight w:val="171"/>
        </w:trPr>
        <w:tc>
          <w:tcPr>
            <w:tcW w:w="5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3"/>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Amortization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w:t>
            </w:r>
          </w:p>
        </w:tc>
        <w:tc>
          <w:tcPr>
            <w:tcW w:w="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Kodak trade name</w:t>
            </w: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Indefinite life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21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6"/>
              </w:rPr>
              <w:t>182</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upon the results of Kodak’s October 1, 2015 and December 31, 2015 impairment tests, no impairment of the Kodak trade name was indicated. In the fourth quarter of 2013, Kodak concluded that the carrying value of the Kodak trade name, estimated as part of fresh start accounting, exceeded its fair value and Kodak recorded a pre-tax impairment charge of $8 million that is included in Other operating expense (income), net in the Consolidated Statement of Operations.</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Amortization expense related to intangible assets was $25 million, $25 million, $8 million and $10 million for the years ended December 31, 2015 and December 31, 2014, four months ended December 31, 2013, and eight months ended August 31,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related to intangible assets that are currently being amortized as of December 31, 2015 was as follows:</w:t>
      </w:r>
    </w:p>
    <w:p>
      <w:pPr>
        <w:spacing w:after="0" w:line="259" w:lineRule="exact"/>
        <w:rPr>
          <w:sz w:val="20"/>
          <w:szCs w:val="20"/>
          <w:color w:val="auto"/>
        </w:rPr>
      </w:pPr>
    </w:p>
    <w:tbl>
      <w:tblPr>
        <w:tblLayout w:type="fixed"/>
        <w:tblInd w:w="1840" w:type="dxa"/>
        <w:tblCellMar>
          <w:top w:w="0" w:type="dxa"/>
          <w:left w:w="0" w:type="dxa"/>
          <w:bottom w:w="0" w:type="dxa"/>
          <w:right w:w="0" w:type="dxa"/>
        </w:tblCellMar>
      </w:tblPr>
      <w:tr>
        <w:trPr>
          <w:trHeight w:val="182"/>
        </w:trPr>
        <w:tc>
          <w:tcPr>
            <w:tcW w:w="2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2580" w:type="dxa"/>
            <w:vAlign w:val="bottom"/>
          </w:tcPr>
          <w:p>
            <w:pPr>
              <w:spacing w:after="0"/>
              <w:rPr>
                <w:sz w:val="8"/>
                <w:szCs w:val="8"/>
                <w:color w:val="auto"/>
              </w:rPr>
            </w:pPr>
          </w:p>
        </w:tc>
        <w:tc>
          <w:tcPr>
            <w:tcW w:w="4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2017</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2019</w:t>
            </w: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2021 and thereafter</w:t>
            </w:r>
          </w:p>
        </w:tc>
        <w:tc>
          <w:tcPr>
            <w:tcW w:w="4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700" w:type="dxa"/>
            <w:vAlign w:val="bottom"/>
            <w:vMerge w:val="restart"/>
          </w:tcPr>
          <w:p>
            <w:pPr>
              <w:jc w:val="right"/>
              <w:ind w:right="3250"/>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274" w:right="41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574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LIABILITIES</w:t>
            </w: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880" w:type="dxa"/>
            <w:vAlign w:val="bottom"/>
          </w:tcPr>
          <w:p>
            <w:pPr>
              <w:spacing w:after="0"/>
              <w:rPr>
                <w:sz w:val="14"/>
                <w:szCs w:val="14"/>
                <w:color w:val="auto"/>
              </w:rPr>
            </w:pPr>
          </w:p>
        </w:tc>
        <w:tc>
          <w:tcPr>
            <w:tcW w:w="5740" w:type="dxa"/>
            <w:vAlign w:val="bottom"/>
            <w:gridSpan w:val="2"/>
          </w:tcPr>
          <w:p>
            <w:pPr>
              <w:ind w:left="500"/>
              <w:spacing w:after="0"/>
              <w:rPr>
                <w:sz w:val="20"/>
                <w:szCs w:val="20"/>
                <w:color w:val="auto"/>
              </w:rPr>
            </w:pPr>
            <w:r>
              <w:rPr>
                <w:rFonts w:ascii="Arial" w:cs="Arial" w:eastAsia="Arial" w:hAnsi="Arial"/>
                <w:sz w:val="14"/>
                <w:szCs w:val="14"/>
                <w:color w:val="auto"/>
              </w:rPr>
              <w:t>(in millions)</w:t>
            </w: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employment-related liabilities</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Accrued customer rebates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Accrued restructuring liabilities</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 on disposed businesses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536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880" w:type="dxa"/>
            <w:vAlign w:val="bottom"/>
          </w:tcPr>
          <w:p>
            <w:pPr>
              <w:spacing w:after="0"/>
              <w:rPr>
                <w:sz w:val="14"/>
                <w:szCs w:val="14"/>
                <w:color w:val="auto"/>
              </w:rPr>
            </w:pPr>
          </w:p>
        </w:tc>
        <w:tc>
          <w:tcPr>
            <w:tcW w:w="5360" w:type="dxa"/>
            <w:vAlign w:val="bottom"/>
            <w:gridSpan w:val="2"/>
          </w:tcPr>
          <w:p>
            <w:pPr>
              <w:ind w:left="500"/>
              <w:spacing w:after="0"/>
              <w:rPr>
                <w:sz w:val="20"/>
                <w:szCs w:val="20"/>
                <w:color w:val="auto"/>
              </w:rPr>
            </w:pPr>
            <w:r>
              <w:rPr>
                <w:rFonts w:ascii="Arial" w:cs="Arial" w:eastAsia="Arial" w:hAnsi="Arial"/>
                <w:sz w:val="14"/>
                <w:szCs w:val="14"/>
                <w:color w:val="auto"/>
              </w:rPr>
              <w:t>(in millions)</w:t>
            </w:r>
          </w:p>
        </w:tc>
        <w:tc>
          <w:tcPr>
            <w:tcW w:w="2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Workers compensation</w:t>
            </w:r>
          </w:p>
        </w:tc>
        <w:tc>
          <w:tcPr>
            <w:tcW w:w="2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270" w:right="3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8:</w:t>
      </w:r>
      <w:r>
        <w:rPr>
          <w:sz w:val="20"/>
          <w:szCs w:val="20"/>
          <w:color w:val="auto"/>
        </w:rPr>
        <w:tab/>
      </w:r>
      <w:r>
        <w:rPr>
          <w:rFonts w:ascii="Arial" w:cs="Arial" w:eastAsia="Arial" w:hAnsi="Arial"/>
          <w:sz w:val="18"/>
          <w:szCs w:val="18"/>
          <w:b w:val="1"/>
          <w:bCs w:val="1"/>
          <w:color w:val="auto"/>
        </w:rPr>
        <w:t>SHORT-TERM BORROWINGS AND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Debt and related maturities and interest rates were as follows at December 31,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60"/>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gridSpan w:val="5"/>
          </w:tcPr>
          <w:p>
            <w:pPr>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jc w:val="center"/>
              <w:ind w:left="35"/>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3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Type</w:t>
            </w: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Maturity</w:t>
            </w: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1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Effective Interest Rate</w:t>
            </w:r>
          </w:p>
        </w:tc>
        <w:tc>
          <w:tcPr>
            <w:tcW w:w="1420" w:type="dxa"/>
            <w:vAlign w:val="bottom"/>
            <w:gridSpan w:val="6"/>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3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272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Term note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360" w:type="dxa"/>
            <w:vAlign w:val="bottom"/>
          </w:tcPr>
          <w:p>
            <w:pPr>
              <w:spacing w:after="0"/>
              <w:rPr>
                <w:sz w:val="18"/>
                <w:szCs w:val="18"/>
                <w:color w:val="auto"/>
              </w:rPr>
            </w:pPr>
          </w:p>
        </w:tc>
        <w:tc>
          <w:tcPr>
            <w:tcW w:w="980" w:type="dxa"/>
            <w:vAlign w:val="bottom"/>
          </w:tcPr>
          <w:p>
            <w:pPr>
              <w:jc w:val="center"/>
              <w:ind w:left="335"/>
              <w:spacing w:after="0"/>
              <w:rPr>
                <w:sz w:val="20"/>
                <w:szCs w:val="20"/>
                <w:color w:val="auto"/>
              </w:rPr>
            </w:pPr>
            <w:r>
              <w:rPr>
                <w:rFonts w:ascii="Arial" w:cs="Arial" w:eastAsia="Arial" w:hAnsi="Arial"/>
                <w:sz w:val="18"/>
                <w:szCs w:val="18"/>
                <w:color w:val="auto"/>
                <w:w w:val="93"/>
              </w:rPr>
              <w:t>7.56%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3"/>
              </w:rPr>
              <w:t>Credit line</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3"/>
              </w:rPr>
              <w:t>2.42%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360" w:type="dxa"/>
            <w:vAlign w:val="bottom"/>
          </w:tcPr>
          <w:p>
            <w:pPr>
              <w:spacing w:after="0"/>
              <w:rPr>
                <w:sz w:val="18"/>
                <w:szCs w:val="18"/>
                <w:color w:val="auto"/>
              </w:rPr>
            </w:pPr>
          </w:p>
        </w:tc>
        <w:tc>
          <w:tcPr>
            <w:tcW w:w="1280" w:type="dxa"/>
            <w:vAlign w:val="bottom"/>
            <w:gridSpan w:val="2"/>
          </w:tcPr>
          <w:p>
            <w:pPr>
              <w:jc w:val="center"/>
              <w:ind w:left="35"/>
              <w:spacing w:after="0"/>
              <w:rPr>
                <w:sz w:val="20"/>
                <w:szCs w:val="20"/>
                <w:color w:val="auto"/>
              </w:rPr>
            </w:pPr>
            <w:r>
              <w:rPr>
                <w:rFonts w:ascii="Arial" w:cs="Arial" w:eastAsia="Arial" w:hAnsi="Arial"/>
                <w:sz w:val="18"/>
                <w:szCs w:val="18"/>
                <w:color w:val="auto"/>
                <w:w w:val="91"/>
              </w:rPr>
              <w:t>3.12% - 6.07%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280" w:type="dxa"/>
            <w:vAlign w:val="bottom"/>
            <w:gridSpan w:val="5"/>
          </w:tcPr>
          <w:p>
            <w:pPr>
              <w:spacing w:after="0"/>
              <w:rPr>
                <w:sz w:val="20"/>
                <w:szCs w:val="20"/>
                <w:color w:val="auto"/>
              </w:rPr>
            </w:pPr>
            <w:r>
              <w:rPr>
                <w:rFonts w:ascii="Arial" w:cs="Arial" w:eastAsia="Arial" w:hAnsi="Arial"/>
                <w:sz w:val="18"/>
                <w:szCs w:val="18"/>
                <w:color w:val="auto"/>
              </w:rPr>
              <w:t>Non-current portion:</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0"/>
              </w:rPr>
              <w:t>Term note</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3"/>
              </w:rPr>
              <w:t>7.56%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Term note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360" w:type="dxa"/>
            <w:vAlign w:val="bottom"/>
          </w:tcPr>
          <w:p>
            <w:pPr>
              <w:spacing w:after="0"/>
              <w:rPr>
                <w:sz w:val="18"/>
                <w:szCs w:val="18"/>
                <w:color w:val="auto"/>
              </w:rPr>
            </w:pPr>
          </w:p>
        </w:tc>
        <w:tc>
          <w:tcPr>
            <w:tcW w:w="980" w:type="dxa"/>
            <w:vAlign w:val="bottom"/>
          </w:tcPr>
          <w:p>
            <w:pPr>
              <w:jc w:val="center"/>
              <w:ind w:left="335"/>
              <w:spacing w:after="0"/>
              <w:rPr>
                <w:sz w:val="20"/>
                <w:szCs w:val="20"/>
                <w:color w:val="auto"/>
              </w:rPr>
            </w:pPr>
            <w:r>
              <w:rPr>
                <w:rFonts w:ascii="Arial" w:cs="Arial" w:eastAsia="Arial" w:hAnsi="Arial"/>
                <w:sz w:val="18"/>
                <w:szCs w:val="18"/>
                <w:color w:val="auto"/>
                <w:w w:val="91"/>
              </w:rPr>
              <w:t>11.04%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3"/>
              </w:rPr>
              <w:t>Other</w:t>
            </w:r>
          </w:p>
        </w:tc>
        <w:tc>
          <w:tcPr>
            <w:tcW w:w="9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1"/>
              </w:rPr>
              <w:t>Various</w:t>
            </w:r>
          </w:p>
        </w:tc>
        <w:tc>
          <w:tcPr>
            <w:tcW w:w="128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1"/>
              </w:rPr>
              <w:t>3.12% - 6.07%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79"/>
              </w:rPr>
              <w:t>675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677</w:t>
            </w:r>
          </w:p>
        </w:tc>
        <w:tc>
          <w:tcPr>
            <w:tcW w:w="0" w:type="dxa"/>
            <w:vAlign w:val="bottom"/>
          </w:tcPr>
          <w:p>
            <w:pPr>
              <w:spacing w:after="0"/>
              <w:rPr>
                <w:sz w:val="1"/>
                <w:szCs w:val="1"/>
                <w:color w:val="auto"/>
              </w:rPr>
            </w:pPr>
          </w:p>
        </w:tc>
      </w:tr>
      <w:tr>
        <w:trPr>
          <w:trHeight w:val="20"/>
        </w:trPr>
        <w:tc>
          <w:tcPr>
            <w:tcW w:w="6280" w:type="dxa"/>
            <w:vAlign w:val="bottom"/>
            <w:gridSpan w:val="5"/>
            <w:vMerge w:val="restart"/>
          </w:tcPr>
          <w:p>
            <w:pPr>
              <w:spacing w:after="0"/>
              <w:rPr>
                <w:sz w:val="20"/>
                <w:szCs w:val="20"/>
                <w:color w:val="auto"/>
              </w:rPr>
            </w:pPr>
            <w:r>
              <w:rPr>
                <w:rFonts w:ascii="Arial" w:cs="Arial" w:eastAsia="Arial" w:hAnsi="Arial"/>
                <w:sz w:val="18"/>
                <w:szCs w:val="18"/>
                <w:color w:val="auto"/>
              </w:rPr>
              <w:t>Annual maturities of debt outstanding at December 31, 2015, were as follows:</w:t>
            </w: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80" w:type="dxa"/>
            <w:vAlign w:val="bottom"/>
            <w:gridSpan w:val="5"/>
            <w:vMerge w:val="continue"/>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gridSpan w:val="5"/>
          </w:tcPr>
          <w:p>
            <w:pPr>
              <w:jc w:val="center"/>
              <w:ind w:left="695"/>
              <w:spacing w:after="0"/>
              <w:rPr>
                <w:sz w:val="20"/>
                <w:szCs w:val="20"/>
                <w:color w:val="auto"/>
              </w:rPr>
            </w:pPr>
            <w:r>
              <w:rPr>
                <w:rFonts w:ascii="Arial" w:cs="Arial" w:eastAsia="Arial" w:hAnsi="Arial"/>
                <w:sz w:val="14"/>
                <w:szCs w:val="14"/>
                <w:b w:val="1"/>
                <w:bCs w:val="1"/>
                <w:color w:val="auto"/>
                <w:w w:val="97"/>
              </w:rPr>
              <w:t>Carrying</w:t>
            </w:r>
          </w:p>
        </w:tc>
        <w:tc>
          <w:tcPr>
            <w:tcW w:w="1420" w:type="dxa"/>
            <w:vAlign w:val="bottom"/>
            <w:gridSpan w:val="6"/>
          </w:tcPr>
          <w:p>
            <w:pPr>
              <w:jc w:val="center"/>
              <w:spacing w:after="0"/>
              <w:rPr>
                <w:sz w:val="20"/>
                <w:szCs w:val="20"/>
                <w:color w:val="auto"/>
              </w:rPr>
            </w:pPr>
            <w:r>
              <w:rPr>
                <w:rFonts w:ascii="Arial" w:cs="Arial" w:eastAsia="Arial" w:hAnsi="Arial"/>
                <w:sz w:val="14"/>
                <w:szCs w:val="14"/>
                <w:b w:val="1"/>
                <w:bCs w:val="1"/>
                <w:color w:val="auto"/>
              </w:rPr>
              <w:t>Maturity</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gridSpan w:val="4"/>
          </w:tcPr>
          <w:p>
            <w:pPr>
              <w:ind w:left="136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7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2017</w:t>
            </w:r>
          </w:p>
        </w:tc>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2019</w:t>
            </w:r>
          </w:p>
        </w:tc>
        <w:tc>
          <w:tcPr>
            <w:tcW w:w="2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392</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271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color w:val="auto"/>
              </w:rPr>
              <w:t>2021 and thereafter</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680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On September 3, 2013, the Company entered into (i) a Senior Secured First Lien Term Credit Agreement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 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ABL Lenders will make available asset-based revolving loans in an amount of up to $200 million (the “ABL Loans”). The maturity date of the loans made under the Term Credit Agreements is the earlier to occur of (i) September 3, 2019 (in case of First Lien Loans) or September 3, 2020 (in case of Second Lien Loans) and (ii) the acceleration of such loans due to an event of default (as defined in the Term Credit Agreements). The maturity date of the loans made under the ABL Credit Agreement is the earlier to occur of (i) September 3, 2018 and (ii) the date of termination of the commitments in accordance with the terms of the ABL Credit Agreement. The ABL Credit Agreement also provides for the issuance of letters of credit of up to a sublimit of $150 million. The Company has issued approximately $118 million of letters of credit under the ABL Credit Agreement as of December 31,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23" w:name="page24"/>
    <w:bookmarkEnd w:id="23"/>
    <w:p>
      <w:pPr>
        <w:jc w:val="both"/>
        <w:ind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2015. Under the ABL Loan’s borrowing base calculation, the Company had approximately $16 million and $29 million Borrowing Base Availability (as defined in the ABL Credit Agreement) under the revolving credit facility as of December 31, 2015 and December 31, 2014, respectively. Availability is subject to the borrowing base calculation, reserves and other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Agreements limit, among other things, the Company’s and the Subsidiary Guarantors’ ability to (i) incur indebtedness, (ii) incur or create liens,</w:t>
      </w:r>
    </w:p>
    <w:p>
      <w:pPr>
        <w:spacing w:after="0" w:line="46" w:lineRule="exact"/>
        <w:rPr>
          <w:sz w:val="20"/>
          <w:szCs w:val="20"/>
          <w:color w:val="auto"/>
        </w:rPr>
      </w:pPr>
    </w:p>
    <w:p>
      <w:pPr>
        <w:ind w:right="120" w:firstLine="8"/>
        <w:spacing w:after="0" w:line="295" w:lineRule="auto"/>
        <w:tabs>
          <w:tab w:leader="none" w:pos="315"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dispose of assets, (iv) make restricted payments (including dividend payments, et al.) and (v) make investments. 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the ABL Credit Agreement, Kodak is required to maintain a minimum Fixed Charge Coverage Ratio (as defined in the ABL Credit Agreement) of 1.00 to 1.00 when Excess Availability is less than 15% of lender commitments (springing covenant). As of December 31, 2015 15% of lender commitments and Excess Availability were $30 million and $31 million, respectively. Excess Availability is equal to the sum of (i) 85% of the amount of the Eligible Receivables less a Dilution Reserve, (ii) the lesser of 85% of Net Orderly Liquidation Value or 75% of the Eligible Inventory (iii) Eligible Equipment</w:t>
      </w:r>
    </w:p>
    <w:p>
      <w:pPr>
        <w:spacing w:after="0" w:line="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Eligible Cash and (v) Qualified Cash (not to exceed $15 million) less (i) Rent and Charges Reserves, (ii) Principal Outstanding, (iii) Letters of Credit and</w:t>
      </w:r>
    </w:p>
    <w:p>
      <w:pPr>
        <w:spacing w:after="0" w:line="32" w:lineRule="exact"/>
        <w:rPr>
          <w:rFonts w:ascii="Arial" w:cs="Arial" w:eastAsia="Arial" w:hAnsi="Arial"/>
          <w:sz w:val="16"/>
          <w:szCs w:val="16"/>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Availability Block (each item as defined in the ABL Credit Agreement).</w:t>
      </w:r>
    </w:p>
    <w:p>
      <w:pPr>
        <w:spacing w:after="0" w:line="2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December 31, 2015 and 2014, Kodak had funded $30 million and $20 million, respectively, to the Eligible Cash account, held with the ABL Credit Agreement Administrative Agent, which is classified as Restricted cash in the Consolidated Statement of Financial Position, and an additional $15 million of Qualified Cash as of December 31, 2015 and 2014 in an unrestricted cash account, supporting the Excess Availability amount. If Excess Availability falls below 15% of lender commitments ($30 million as of both December 31, 2015 and 2014), Kodak may, in addition to the requirement to be in compliance with the minimum Fixed Charge Coverage Ratio, become subject to cash dominion control. Since Excess Availability was greater than 15% of lender commitments at both December 31, 2015 and 2014, Kodak is not required to have a minimum Fixed Charges Coverage Ratio of 1.0 to 1.0. As of December 31, 2015 Kodak was in compliance with all the covenants under the ABL Credit Agreement and had Kodak been required to have Fixed Charge Coverage Ratio of 1.0 to 1.0 EBITDA, as defined in the ABL Credit agreement, exceeded Fixed Charges by approximately $17 million.</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First Lien Loans bear interest at the rate of LIBOR plus 6.25% per annum, with a LIBOR floor of 1% or Alternate Base Rate (as defined in the First Lien Term Credit Agreement) plus 5.25%. The Second Lien Loans bear interest at the rate of LIBOR plus 9.5% per annum, with a LIBOR floor of 1.25% or Alternate Base Rate (as defined in the Second Lien Term Credit Agreement) plus 8.5%. The ABL Loans (other than initial borrowings) bear interest at the rate of LIBOR plus 2.75%-3.25% per annum or Base Rate (as defined in the ABL Credit Agreement) plus 1.75%-2.25% per annum, based on Excess Availability (as defined in the ABL Credit Agreement).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and the Second Lien Term Credit Agreement are secured by: (i) a first lien and a second lien, respectively, on all assets of the Company and the Subsidiary Guarantors, other than the ABL Collateral (as defined below), including a first and a second lien, respectively, on 100% of the stock of material domestic subsidiaries and 65% of the stock of material first-tier foreign subsidiaries (collectively the “Term Collateral”) and (ii) a second lien and a third lien, respectively, on the ABL Collateral. Obligations under the ABL Credit Agreement are secured by: (i) a first lien on cash, accounts receivable, inventory, machinery and equipment (the “ABL Collateral”) and (ii) a third lien on the Term Collateral. The aggregate carrying value of the Term Collateral and ABL Collateral as of December 31, 2015 and 2014 was $1,873 million and $1,964 million, respectively.</w:t>
      </w:r>
    </w:p>
    <w:p>
      <w:pPr>
        <w:spacing w:after="0" w:line="18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may voluntarily prepay the First Lien Loan. The Company may prepay the Second Lien Loan after the second anniversary and prior to the third anniversary of the closing date. A prepayment premium of 1% of the principal amount prepaid is required with respect to the Second Lien Loan.</w:t>
      </w:r>
    </w:p>
    <w:p>
      <w:pPr>
        <w:spacing w:after="0" w:line="1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defined in each of the Term Credit Agreements,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On an annual basis, starting with the fiscal year ending on December 31, 2014, the Company will prepay on June 30 of the following fiscal year loans in an amount equal to a percentage of Excess Cash Flow (“ECF”) as defined in each of the Term Credit Agreements, provided no such prepayment is required if such prepayment would cause U.S. liquidity (as defined in each of the Term Credit Agreements) to be less than $100 million. For the years ended December 31, 2015 and 2014, ECF was a negative amount, therefore, no prepayment is required in 2016 and no prepayment was required in 2015. Any mandatory prepayments as described above shall be reduced by any mandatory prepayments of the First Lien Loan.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4" w:name="page25"/>
    <w:bookmarkEnd w:id="2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Term Credit Agreements, the Company is required to maintain minimum U.S. Liquidity (as defined therein) through 2014 and starting December 31, 2014, a Secured Leverage Ratio (as defined therein) not to exceed specified levels. The Secured Leverage Ratio under the Term Credit Agreements is tested at the end of each quarter based on the prior four quarters, The maximum Secured Leverage Ratio permitted under the First Lien Term Credit Agreement (which is more restrictive than the corresponding ratio permitted under the Second Lien Term Credit Agreement) declined on June 30, 2015 from 3.75:1 to 3.25:1 and further declined on December 31, 2015 from 3.25:1 to 2.75:1, with no further adjustments for the remainder of the agreement. As of December 31, 2015, Kodak was in compliance with all covenants under the Term Credit Agreements. Kodak’s EBITDA, as calculated under the Term Credit Agreements, exceeded the EBITDA necessary to satisfy the Secured Leverage Ratio by $33 million.</w:t>
      </w:r>
    </w:p>
    <w:p>
      <w:pPr>
        <w:spacing w:after="0" w:line="3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Kodak’s undiscounted accrued liabilities for future environmental investigation, remediation and monitoring costs are composed of the following items: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04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2015</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operating sites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Sites associated with former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Sites associated with the non-imaging health businesses sold in 1994</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These amounts are reported in Other long-term liabilities and Current liabilities held for sale in the accompanying Consolidated Statement of Financial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expenditures for pollution prevention and waste treatment for Kodak’s current facilities were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87"/>
              </w:rPr>
              <w:t>Successor</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For the Year</w:t>
            </w:r>
          </w:p>
        </w:tc>
        <w:tc>
          <w:tcPr>
            <w:tcW w:w="3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For the Year</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Four</w:t>
            </w:r>
          </w:p>
        </w:tc>
        <w:tc>
          <w:tcPr>
            <w:tcW w:w="3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Eight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640" w:type="dxa"/>
            <w:vAlign w:val="bottom"/>
          </w:tcPr>
          <w:p>
            <w:pPr>
              <w:jc w:val="center"/>
              <w:ind w:left="125"/>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Borders>
              <w:right w:val="single" w:sz="8" w:color="auto"/>
            </w:tcBorders>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8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300" w:type="dxa"/>
            <w:vAlign w:val="bottom"/>
            <w:tcBorders>
              <w:right w:val="single" w:sz="8" w:color="auto"/>
            </w:tcBorders>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Pr>
          <w:p>
            <w:pPr>
              <w:spacing w:after="0"/>
              <w:rPr>
                <w:sz w:val="14"/>
                <w:szCs w:val="14"/>
                <w:color w:val="auto"/>
              </w:rPr>
            </w:pPr>
          </w:p>
        </w:tc>
        <w:tc>
          <w:tcPr>
            <w:tcW w:w="1000" w:type="dxa"/>
            <w:vAlign w:val="bottom"/>
            <w:gridSpan w:val="2"/>
          </w:tcPr>
          <w:p>
            <w:pPr>
              <w:jc w:val="center"/>
              <w:ind w:left="502"/>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Recurring costs for pollution prevention and waste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treatment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2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9"/>
              </w:rPr>
              <w:t>Capital expenditures for pollution prevention and waste</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treatment</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Environmental expenditures that relate to an existing condition caused by past operations and that do not provide future benefits are expensed as incurred. Costs that are capital in nature and that provide future benefits are capitalized. Liabilities are recorded when environmental assessments are made or the requirement for remedial efforts is probable, and the costs can be reasonably estimated. The timing of accruing for these remediation liabilities is generally no later than the completion of feasibility studies. Kodak has an ongoing monitoring and identification process to assess how the activities, with respect to the known exposures, are progressing against the accrued cost estimates.</w:t>
      </w:r>
    </w:p>
    <w:p>
      <w:pPr>
        <w:spacing w:after="0" w:line="18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Cash expenditures for the aforementioned investigation, remediation and monitoring activities are expected to be incurred over the next thirty years for most of the sites. For these known environmental liabilities, the accrual reflects Kodak’s best estimate of the amount it will incur under the agreed-upon or proposed work plans. Kodak’s cost estimates were determined using the ASTM Standard E 2137-06, “Standard Guide for Estimating Monetary Costs and Liabilities for Environmental Matters,” and have not been reduced by possible recoveries from third parties. The overall method includes the use of a probabilistic model which forecasts a range of cost estimates for the remediation required at individual sites. The projects are closely monitored and the models are reviewed as significant events occur or at least once per year. Kodak’s estimate includes investigations, equipment and operating costs for remediation and long-term monitoring of the sites.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provided an indemnity as part of the 1994 sale of Sterling Corporation (now “STWB”), which covered a number of environmental sites including the Lower Passaic River Study Area (“LPRSA”) portion of the Diamond Alkali Superfund Site. STWB, now owned by Bayer Corporation, is a potentially responsible party at the LPRSA site based on alleged releases from facilities formerly owned by subsidiaries of Sterling. On February 29, 2012, the Company notified STWB and Bayer that, under the voluntary petition for bankruptcy by the Company and its U.S. subsidiaries, it elected to discontinue funding and participation in remedial investigations of the LPRSA. STWB and its parent, Bayer, filed proofs of claim against the Company and its U.S. subsidiaries. These claims have been discharged pursuant to the First Amended Joint Chapter 11 Plan of Reorganization. Environmental matters at three sites owned by the Company and one site for which the Company was not the owner but was responsible for the remediation were not resolved by the discharge. On March 17, 2015, the Company entered into an agreement with STWB related to these four sites. The agreement calls for the Company to retain ownership and environmental responsibility of one of the sites. Ownership and environmental responsibility for one site and environmental responsibility for the unowned site transferred to STWB in the second quarter of 2015. Ownership of the remaining site is expected to pass to an unrelated party by 2018 at which point the Company’s environmental responsibility will pass to STWB. If the ownership for the fourth site does not transfer to that unrelated party prior to January 1, 2020, the Company and STWB will share approximately equally in the ongoing costs of the site. As a result of this agreement, the Company reduced its environmental liabilities by approximately $5 million and recognized a gain in the first quarter of 2015 of the same amount.</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January 14, 2015, the Company sold its property in Middleway, West Virginia and transferred the related environmental liability to Commercial Liability Partners WV, LLC (CLP). As part of the transaction, the Company withdrew from its Voluntary Remediation Agreement with the West Virginia Department of Environmental Protection, received an indemnity from CLP regarding any environmental obligations, and was named insured in an environmental insurance policy for a period of ten years in the case of breach by CLP. As of December 31, 2014, the $2 million net book value of the Middleway property was classified in Current assets held for sale and the environmental liability of approximately $9 million was classified as Current liabilities held for sale. The Company released the environmental liability associated with the site and recognized a gain of approximately $5 million on the transaction in 2015.</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Estimates of the amount and timing of future costs of environmental remediation requirements are by their nature imprecise because of the continuing evolution of environmental laws and regulatory requirements, the availability and application of technology, the identification of presently unknown remediation sites and the allocation of costs among the potentially responsible parties. Based on information presently available, Kodak does not believe it is reasonably possible that losses for known exposures could exceed current accruals by material amounts, although costs could be material to a particular quarter or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asset retirement obligation activity:</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w w:val="97"/>
              </w:rPr>
              <w:t>For the Year Ended 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Retirement Obligations at start of period</w:t>
            </w:r>
          </w:p>
        </w:tc>
        <w:tc>
          <w:tcPr>
            <w:tcW w:w="2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Liabilities incurred in the current period</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Liabilities settled in the current period</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Accretion expense</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Revision in estimated cash flows</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exchange impact</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 at end of period</w:t>
            </w:r>
          </w:p>
        </w:tc>
        <w:tc>
          <w:tcPr>
            <w:tcW w:w="2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60" w:type="dxa"/>
            <w:vAlign w:val="bottom"/>
            <w:vMerge w:val="restart"/>
          </w:tcPr>
          <w:p>
            <w:pPr>
              <w:jc w:val="right"/>
              <w:ind w:right="1350"/>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Commitments and Contingencies</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and its subsidiaries have entered into operating leases for various real estate and equipment needs. Rental expense, net of minor sublease income, amounted to $30 million, $38 million, $15 million and $36 million in the years ended December 31, 2015 and December 31, 2014, four months ending December 31, 2013, and eight months ending August 31, 2013, respectively.</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of December 31, 2015, the Company had outstanding letters of credit of $118 million issued under the ABL Credit Agreement as well as bank guarantees and letters of credit of $4 million, surety bonds in the amount of $17 million, and restricted cash and deposits of $58 million, primarily to support compliance with the Excess Availability threshold under the ABL Credit Agreement, to ensure the payment of possible casualty and workers compensation claims, environmental liabilities, legal contingencies, rental payments, and to support various customs, hedging, tax and trade activities. The restricted cash and deposits are recorded in Restricted cash, Other current assets and Other long-term assets in the Consolidated Statement of Financial Position.</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Based on the opinion of legal counsel and current reserves already recorded for those matters deemed probable of loss, management does not believe that the ultimate resolution of these matters will materially impact Kodak’s results of operations or financial position. Kodak routinely assesses all these matters as to the probability of ultimately incurring a liability in its Brazilian operations and records its best estimate of the ultimate loss in situations where it assesses the likelihood of loss as probable. As of December 31, 2015, the unreserved portion of these contingencies, inclusive of any related interest and penalties, for which there was at least a reasonable possibility that a loss may be incurred, amounted to approximately $49 million.</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assessments in Brazil, local regulations may require Kodak to post security for a portion of the amounts in dispute. As of December 31, 2015, Kodak has posted security composed of $6 million of pledged cash reported within Restricted cash in the Consolidated Statement of Financial Position and liens on certain Brazilian assets with a net book value of approximately $62 million. Generally, any encumbrances on the Brazilian assets would be removed to the extent the matter is resolved in Kodak’s favor.</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Kodak is involved in various lawsuits, claims, investigations, remediation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GUARANTEES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EKC guarantees obligations to third parties for some of its consolidated subsidiaries. The maximum amount guaranteed is $17 million and the outstanding amount for those guarantees is $6 million.</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connection with the settlement of certain of the Company’s historical environmental liabilities at EBP and in accordance with the terms of the Amended EBP Settlement Agreement, in the event the historical EBP liabilities exceed $99 million, the Company will become liable for 50% of the portion above $99 million with no limitation to the maximum potential future payments. There is no liability recorded related to this guarantee.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Kodak issues indemnifications in certain instances when it sells businesses and real estate, and in the ordinary course of business with its customers, suppliers, service providers and business partners. Further, Kodak indemnifies officers and directors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2015 was not material to Kodak’s financial position, results of operations or cash flows.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Warranty Costs</w:t>
      </w:r>
    </w:p>
    <w:p>
      <w:pPr>
        <w:spacing w:after="0" w:line="121"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Kodak has warranty obligations in connection with the sale of its products and equipment. The original warranty period is generally one year or less. The costs incurred to provide for these warranty obligations are estimated and recorded as an accrued liability at the time of sale. Kodak estimates its warranty cost at the point of sale for a given product based on historical failure rates and related costs to repair. The change in Kodak’s accrued warranty obligations balance, which is reflected in Other current liabilities in the accompanying Consolidated Statement of Financial Position, was as follows: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82"/>
        </w:trPr>
        <w:tc>
          <w:tcPr>
            <w:tcW w:w="56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as of 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Actual warranty experience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Warranty provisions</w:t>
            </w:r>
          </w:p>
        </w:tc>
        <w:tc>
          <w:tcPr>
            <w:tcW w:w="1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Accrued warranty obligations as of December 31, 2014</w:t>
            </w: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Actual warranty experience</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Warranty provisions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as of December 31, 2015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Kodak also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82"/>
        </w:trPr>
        <w:tc>
          <w:tcPr>
            <w:tcW w:w="62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warranties as of December 31, 2013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New extended warranty and maintenance arrangements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extended warranty and maintenance arrangement revenue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(197)</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Deferred revenue on extended warranties as of December 31, 2014</w:t>
            </w:r>
          </w:p>
        </w:tc>
        <w:tc>
          <w:tcPr>
            <w:tcW w:w="9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New extended warranty and maintenance arrangements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Recognition of extended warranty and maintenance arrangement revenue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warranties as of December 31, 2015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Costs incurred under these extended warranty and maintenance arrangements for the years ended December 31, 2015 and December 31, 2014 amounted to $135 million and $158 million, respectively.</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11:</w:t>
        <w:tab/>
        <w:t>FINANCIAL INSTRUMENTS</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as well as forecasted foreign currency denominated intercompany assets. Kodak’s exposure to changes in interest rates results from its investing and borrowing activities used to meet its liquidity needs. Kodak does not utilize financial instruments for trading or other speculative purposes.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(loss) earnings at the same time that the exposed assets and liabilities are re-measured through net (loss) earnings (both in Other (charges) income, net in the Consolidated Statement of Operations). The notional amount of such contracts open at December 31, 2015 and 2014 was approximately $384 million and $334 million, respectively. The majority of the contracts of this type held by Kodak are denominated in Euros, British pounds, and Chinese renminbi. The net effect of foreign currency forward contracts in the results of operations is shown in the following table: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as Hedging Instruments, Foreign Exchange Contracts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w w:val="90"/>
              </w:rPr>
              <w:t>Successor</w:t>
            </w: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120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For the Year</w:t>
            </w:r>
          </w:p>
        </w:tc>
        <w:tc>
          <w:tcPr>
            <w:tcW w:w="3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Year</w:t>
            </w:r>
          </w:p>
        </w:tc>
        <w:tc>
          <w:tcPr>
            <w:tcW w:w="4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Four</w:t>
            </w:r>
          </w:p>
        </w:tc>
        <w:tc>
          <w:tcPr>
            <w:tcW w:w="4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Eight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640" w:type="dxa"/>
            <w:vAlign w:val="bottom"/>
          </w:tcPr>
          <w:p>
            <w:pPr>
              <w:jc w:val="center"/>
              <w:ind w:left="130"/>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8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2"/>
                <w:szCs w:val="12"/>
                <w:color w:val="auto"/>
              </w:rPr>
            </w:pPr>
          </w:p>
        </w:tc>
        <w:tc>
          <w:tcPr>
            <w:tcW w:w="130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800" w:type="dxa"/>
            <w:vAlign w:val="bottom"/>
          </w:tcPr>
          <w:p>
            <w:pPr>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68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Pr>
          <w:p>
            <w:pPr>
              <w:spacing w:after="0"/>
              <w:rPr>
                <w:sz w:val="14"/>
                <w:szCs w:val="14"/>
                <w:color w:val="auto"/>
              </w:rPr>
            </w:pPr>
          </w:p>
        </w:tc>
        <w:tc>
          <w:tcPr>
            <w:tcW w:w="1020" w:type="dxa"/>
            <w:vAlign w:val="bottom"/>
            <w:gridSpan w:val="2"/>
          </w:tcPr>
          <w:p>
            <w:pPr>
              <w:jc w:val="center"/>
              <w:ind w:left="502"/>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2013</w:t>
            </w:r>
          </w:p>
        </w:tc>
        <w:tc>
          <w:tcPr>
            <w:tcW w:w="4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4"/>
              <w:spacing w:after="0"/>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gain (loss) from derivatives not designated as</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right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65"/>
        </w:trPr>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219"/>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8" w:name="page29"/>
    <w:bookmarkEnd w:id="28"/>
    <w:p>
      <w:pPr>
        <w:ind w:right="9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Kodak had no derivatives designated as hedging instruments for the years ended December 31, 2015 and December 31, 2014, four months ended December 31, 2013 or eight months ended August 31, 2013.</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2015 was not significant to Kodak.</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of a default under the Company’s Term Credit Agreements,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the foreign currency forward contracts was not material as of December 31, 2015 and 2014.</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Transfers between levels of the fair value hierarchy are recognized based on the actual date of the event or change in circumstances that caused the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of the fair value hierarchy during the year ended December 31, 2015.</w:t>
      </w:r>
    </w:p>
    <w:p>
      <w:pPr>
        <w:spacing w:after="0" w:line="211"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The fair value of long-term borrowings is measured on a nonrecurring basis. Fair values of long-term borrowings (Level 2 fair value measurements) are determined by reference to quoted market prices, if available, or by pricing models based on the value of related cash flows discounted at current market interest rates. The fair values of long-term borrowings were $588 million and $681 million at December 31, 2015 and December 31, 2014, respectively.</w:t>
      </w:r>
    </w:p>
    <w:p>
      <w:pPr>
        <w:spacing w:after="0" w:line="147" w:lineRule="exact"/>
        <w:rPr>
          <w:sz w:val="20"/>
          <w:szCs w:val="20"/>
          <w:color w:val="auto"/>
        </w:rPr>
      </w:pPr>
    </w:p>
    <w:p>
      <w:pPr>
        <w:jc w:val="both"/>
        <w:ind w:right="400"/>
        <w:spacing w:after="0" w:line="277" w:lineRule="auto"/>
        <w:rPr>
          <w:sz w:val="20"/>
          <w:szCs w:val="20"/>
          <w:color w:val="auto"/>
        </w:rPr>
      </w:pPr>
      <w:r>
        <w:rPr>
          <w:rFonts w:ascii="Arial" w:cs="Arial" w:eastAsia="Arial" w:hAnsi="Arial"/>
          <w:sz w:val="18"/>
          <w:szCs w:val="18"/>
          <w:color w:val="auto"/>
        </w:rPr>
        <w:t>The carrying values of cash and cash equivalents, restricted cash, and short-term borrowings and current portion of long-term debt approximate their fair values.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12:</w:t>
        <w:tab/>
        <w:t>OTHER OPERATING EXPENSE (INCOME), NET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0"/>
              </w:rPr>
              <w:t>Successor</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140" w:type="dxa"/>
            <w:vAlign w:val="bottom"/>
          </w:tcPr>
          <w:p>
            <w:pPr>
              <w:spacing w:after="0"/>
              <w:rPr>
                <w:sz w:val="10"/>
                <w:szCs w:val="10"/>
                <w:color w:val="auto"/>
              </w:rPr>
            </w:pPr>
          </w:p>
        </w:tc>
        <w:tc>
          <w:tcPr>
            <w:tcW w:w="10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Year Ended</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Four Months</w:t>
            </w:r>
          </w:p>
        </w:tc>
        <w:tc>
          <w:tcPr>
            <w:tcW w:w="2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August 31,</w:t>
            </w:r>
          </w:p>
        </w:tc>
        <w:tc>
          <w:tcPr>
            <w:tcW w:w="0" w:type="dxa"/>
            <w:vAlign w:val="bottom"/>
          </w:tcPr>
          <w:p>
            <w:pPr>
              <w:spacing w:after="0"/>
              <w:rPr>
                <w:sz w:val="1"/>
                <w:szCs w:val="1"/>
                <w:color w:val="auto"/>
              </w:rPr>
            </w:pPr>
          </w:p>
        </w:tc>
      </w:tr>
      <w:tr>
        <w:trPr>
          <w:trHeight w:val="171"/>
        </w:trPr>
        <w:tc>
          <w:tcPr>
            <w:tcW w:w="6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Expense (income) :</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 xml:space="preserve">Gain on sale of digital imaging patent portfolio </w:t>
            </w:r>
            <w:r>
              <w:rPr>
                <w:rFonts w:ascii="Arial" w:cs="Arial" w:eastAsia="Arial" w:hAnsi="Arial"/>
                <w:sz w:val="15"/>
                <w:szCs w:val="15"/>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Goodwill and intangible asset impairments </w:t>
            </w:r>
            <w:r>
              <w:rPr>
                <w:rFonts w:ascii="Arial" w:cs="Arial" w:eastAsia="Arial" w:hAnsi="Arial"/>
                <w:sz w:val="15"/>
                <w:szCs w:val="15"/>
                <w:color w:val="auto"/>
              </w:rPr>
              <w:t>(2) (3) (4) (5) (6)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Gains related to the sales of assets and businesses</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Gain recognized on assets acquired for no monetary consideration </w:t>
            </w:r>
            <w:r>
              <w:rPr>
                <w:rFonts w:ascii="Arial" w:cs="Arial" w:eastAsia="Arial" w:hAnsi="Arial"/>
                <w:sz w:val="15"/>
                <w:szCs w:val="15"/>
                <w:color w:val="auto"/>
              </w:rPr>
              <w:t>(7)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Refer to Note 24, “Emergence from Voluntary Reorganization under Chapter 11 Proceedings.”</w:t>
      </w:r>
    </w:p>
    <w:p>
      <w:pPr>
        <w:spacing w:after="0" w:line="23"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fourth quarter of 2015, Kodak recorded a goodwill impairment charge of $2 million related to the Intellectual Property Solutions reporting unit. Refer to Note 5, “Goodwill and Other Intangible Assets.”</w:t>
      </w:r>
    </w:p>
    <w:p>
      <w:pPr>
        <w:ind w:left="460" w:hanging="452"/>
        <w:spacing w:after="0" w:line="25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first quarter of 2015, Kodak recorded a goodwill impairment charge of $6 million related to the Micro 3D Printing reporting unit. Refer to Note 5, “Goodwill and Other Intangible Assets.”</w:t>
      </w:r>
    </w:p>
    <w:p>
      <w:pPr>
        <w:ind w:left="460" w:right="100" w:hanging="452"/>
        <w:spacing w:after="0" w:line="25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fourth quarter of 2014, Kodak recorded an impairment charge of $9 million related to an in-process research and development intangible asset established as part of fresh start accounting.</w:t>
      </w:r>
    </w:p>
    <w:p>
      <w:pPr>
        <w:ind w:left="460" w:right="200" w:hanging="452"/>
        <w:spacing w:after="0" w:line="25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fourth quarter of 2013, Kodak recorded an impairment charge of $8 million related to the Kodak trade name. Refer to Note 5, “Goodwill and Other Intangible Assets.”</w:t>
      </w:r>
    </w:p>
    <w:p>
      <w:pPr>
        <w:ind w:left="460" w:right="100" w:hanging="452"/>
        <w:spacing w:after="0" w:line="25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first quarter of 2013, Kodak recorded a goodwill impairment charge of $77 million related to the Intellectual Property and Consumer Products reporting unit.</w:t>
      </w:r>
    </w:p>
    <w:p>
      <w:pPr>
        <w:ind w:left="460" w:right="180" w:hanging="452"/>
        <w:spacing w:after="0" w:line="261"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Refer to Note 23, “Segment Information”, footnote 5 to the table entitled “Segment Operational EBITDA from Consolidated Loss from Continuing Operations Before Income Taxes.”</w:t>
      </w:r>
    </w:p>
    <w:p>
      <w:pPr>
        <w:spacing w:after="0" w:line="3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13:</w:t>
        <w:tab/>
        <w:t>OTHER (CHARGES) INCOME, NET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120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Year Ended</w:t>
            </w:r>
          </w:p>
        </w:tc>
        <w:tc>
          <w:tcPr>
            <w:tcW w:w="110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Year Ended</w:t>
            </w:r>
          </w:p>
        </w:tc>
        <w:tc>
          <w:tcPr>
            <w:tcW w:w="12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Four Months Ended</w:t>
            </w: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 Ended</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300" w:type="dxa"/>
            <w:vAlign w:val="bottom"/>
            <w:tcBorders>
              <w:right w:val="single" w:sz="8" w:color="auto"/>
            </w:tcBorders>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right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2013</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(charges):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Loss on foreign exchange transactions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460" w:hanging="452"/>
        <w:spacing w:after="0" w:line="342" w:lineRule="auto"/>
        <w:tabs>
          <w:tab w:leader="none" w:pos="460" w:val="left"/>
        </w:tabs>
        <w:numPr>
          <w:ilvl w:val="0"/>
          <w:numId w:val="9"/>
        </w:numPr>
        <w:rPr>
          <w:rFonts w:ascii="Arial" w:cs="Arial" w:eastAsia="Arial" w:hAnsi="Arial"/>
          <w:sz w:val="14"/>
          <w:szCs w:val="14"/>
          <w:color w:val="auto"/>
        </w:rPr>
      </w:pPr>
      <w:r>
        <w:rPr>
          <w:rFonts w:ascii="Arial" w:cs="Arial" w:eastAsia="Arial" w:hAnsi="Arial"/>
          <w:sz w:val="16"/>
          <w:szCs w:val="16"/>
          <w:color w:val="auto"/>
        </w:rPr>
        <w:t>In 2015 and 2014 Kodak recorded a charges of $2 million and $16 million, respectively, from the remeasurement of its Venezuelan subsidiary’s monetary assets and liabilities. Refer to Note 1, “Basis of Presentations and Significant Accounting Matters”, “Foreign Currency” section.</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270" w:right="399" w:bottom="1440" w:gutter="0" w:footer="0" w:header="0"/>
        </w:sectPr>
      </w:pPr>
    </w:p>
    <w:bookmarkStart w:id="30" w:name="page31"/>
    <w:bookmarkEnd w:id="3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14:</w:t>
        <w:tab/>
        <w:t>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components of (loss) earnings from continuing operations before income taxes and the related provision (benefit) for U.S. and other income taxes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Successor</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18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Four Months</w:t>
            </w:r>
          </w:p>
        </w:tc>
        <w:tc>
          <w:tcPr>
            <w:tcW w:w="3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Eight Months</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20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51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Borders>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(Loss) earnings from continuing operations before income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taxes: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tcBorders>
              <w:right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180" w:type="dxa"/>
            <w:vAlign w:val="bottom"/>
            <w:gridSpan w:val="2"/>
          </w:tcPr>
          <w:p>
            <w:pPr>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(169)</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Outside the U.S.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Current provision (benefit)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provision (benefit)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Income taxes outside the U.S.: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provision (benefit)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Deferred provision (benefit)</w:t>
            </w: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 and other income taxes: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Current provision</w:t>
            </w: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provision</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Total provision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differences between income taxes computed using the U.S. federal income tax rate and the provision for income taxes for continuing operations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2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Four Months</w:t>
            </w: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50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Amount computed using the statutory rate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32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Increase (reduction) in taxes resulting from:</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other income taxes, net of federal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Unremitted foreign earnings</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Impact of goodwill and intangible impairments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Operations outside the U.S.</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Legislative rate changes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settlements and adjustments, including interest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Arial" w:cs="Arial" w:eastAsia="Arial" w:hAnsi="Arial"/>
                <w:sz w:val="18"/>
                <w:szCs w:val="18"/>
                <w:color w:val="auto"/>
              </w:rPr>
              <w:t>Discharge of debt and other reorganization related items</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line="20" w:lineRule="exact"/>
              <w:rPr>
                <w:sz w:val="1"/>
                <w:szCs w:val="1"/>
                <w:color w:val="auto"/>
              </w:rPr>
            </w:pPr>
          </w:p>
        </w:tc>
        <w:tc>
          <w:tcPr>
            <w:tcW w:w="1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60" w:type="dxa"/>
            <w:vAlign w:val="bottom"/>
            <w:gridSpan w:val="2"/>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471"/>
              <w:spacing w:after="0"/>
              <w:rPr>
                <w:sz w:val="20"/>
                <w:szCs w:val="20"/>
                <w:color w:val="auto"/>
              </w:rPr>
            </w:pPr>
            <w:r>
              <w:rPr>
                <w:rFonts w:ascii="Arial" w:cs="Arial" w:eastAsia="Arial" w:hAnsi="Arial"/>
                <w:sz w:val="18"/>
                <w:szCs w:val="18"/>
                <w:color w:val="auto"/>
                <w:w w:val="79"/>
              </w:rPr>
              <w:t>31</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31" w:name="page32"/>
    <w:bookmarkEnd w:id="3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During 2013, a substantial portion of the Company’s pre-petition debt securities, revolving credit facility and other obligations were extinguished. Absent an exception, a debtor recognizes cancellation of indebtedness income (“CODI”) upon discharge of its outstanding indebtedness for an amount of consideration that is less than its adjusted issue price. The Internal Revenue Code of 1986, as amended (“IRC”), provides that a debtor in a bankruptcy case may exclude CODI from taxable income but must reduce certain of its tax attributes by the amount of any CODI realized as a result of the consummation of a plan of reorganization. The amount of CODI realized by a taxpayer is the adjusted issue price of any indebtedness discharged less the sum of (i) the amount of cash paid, (ii) the issue price of any new indebtedness issued and (iii) the fair market value of any other consideration, including equity, issued. As a result of the market value of equity upon emergence from chapter 11 bankruptcy proceedings, the estimated amount of U.S. CODI was approximately $705 million, which reduced the value of Kodak’s U.S. net operating losses that had a value of $2,495 million. The actual reduction in tax attributes occurred on the first day of the Company’s tax year subsequent to the date of emergence, or January 1, 2014.</w:t>
      </w:r>
    </w:p>
    <w:p>
      <w:pPr>
        <w:spacing w:after="0" w:line="182"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IRC Sections 382 and 383 provide an annual limitation with respect to the ability of a corporation to utilize its tax attributes, as well as certain built-in-losses, against future U.S. taxable income in the event of a change in ownership. The Debtors’ emergence from chapter 11 bankruptcy proceedings was considered a change in ownership for purposes of IRC Section 382. The limitation under the IRC is based on the value of the corporation as of the emergence date.</w:t>
      </w:r>
    </w:p>
    <w:p>
      <w:pPr>
        <w:ind w:right="80"/>
        <w:spacing w:after="0" w:line="277" w:lineRule="auto"/>
        <w:rPr>
          <w:sz w:val="20"/>
          <w:szCs w:val="20"/>
          <w:color w:val="auto"/>
        </w:rPr>
      </w:pPr>
      <w:r>
        <w:rPr>
          <w:rFonts w:ascii="Arial" w:cs="Arial" w:eastAsia="Arial" w:hAnsi="Arial"/>
          <w:sz w:val="17"/>
          <w:szCs w:val="17"/>
          <w:color w:val="auto"/>
        </w:rPr>
        <w:t>However, the ownership changes and resulting annual limitation will result in the expiration of approximately $711 million of net operating losses, $567 million of foreign tax credits and $21 million of research and expenditure credits generated prior to the emergence date. The expiration of these tax attributes was fully offset by a corresponding decrease in Kodak’s U.S. valuation allowance, which results in no net tax provision.</w:t>
      </w:r>
    </w:p>
    <w:p>
      <w:pPr>
        <w:spacing w:after="0" w:line="17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During 2013, the KPP Global Settlement provided for the acquisition by the KPP of certain assets, and the assumption by the KPP of certain liabilities of Kodak’s Personalized Imaging and Document Imaging businesses (the “Business”). The underfunded position of the U.K. Pension Plan was approximately $1.5 billion. Kodak Limited held a deferred tax asset related to the pension liability of $329 million. As a result of the KPP Global Settlement in the period ended December 31, 2013 and the release from the pension liability to the KPP, Kodak Limited reversed the corresponding deferred tax asset.</w:t>
      </w:r>
    </w:p>
    <w:p>
      <w:pPr>
        <w:spacing w:after="0" w:line="15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During the eight months ended August 31, 2013, Kodak determined that it was more likely than not that a portion of its deferred tax assets outside the U.S. would not be realized due to changes in the business resulting from the KPP Global Settlement and the related sale of the Business. As a result, Kodak recorded a tax provision of $100 million associated with the establishment of a valuation allowance on those deferred tax assets.</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Additionally, during the eight months ended August 31, 2013, Kodak determined that it was more likely than not that a portion of the deferred tax assets outside the U.S. would not be realized due to the change in Kodak’s business as a result of restructuring associated with the emergence from bankruptcy and accordingly, recorded a tax provision of $46 million associated with the establishment of a valuation allowance on those deferred tax assets.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2" w:name="page33"/>
    <w:bookmarkEnd w:id="32"/>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53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Pension and postretirement obligations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programs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Foreign tax credit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Investment tax credit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deferred compensation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costs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Tax loss carryforwards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deferred 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38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Leasing</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Goodwill/Intangibles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Unremitted foreign earnings</w:t>
            </w:r>
          </w:p>
        </w:tc>
        <w:tc>
          <w:tcPr>
            <w:tcW w:w="1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before valuation allowance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Valuation allowance</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1,201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Deferred tax assets (liabilities) are reported in the following components within the Consolidated Statement of Financial Position:</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71"/>
        </w:trPr>
        <w:tc>
          <w:tcPr>
            <w:tcW w:w="4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2015</w:t>
            </w:r>
          </w:p>
        </w:tc>
        <w:tc>
          <w:tcPr>
            <w:tcW w:w="32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2015, Kodak had available domestic and foreign net operating loss carry-forwards for income tax purposes of approximately $1,565 million, of which approximately $481 million have an indefinite carry-forward period. The remaining $1,084 million expire between the years 2016 and 2035. As of December 31, 2015, Kodak had unused foreign tax credits and investment tax credits of $314 million and $80 million, respectively, with various expiration dates through 2030. Utilization of post-emergence net operating losses and tax credits may be subject to limitations in the event of significant changes in stock ownership of the Company in the future.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253" w:right="359" w:bottom="1440" w:gutter="0" w:footer="0" w:header="0"/>
        </w:sectPr>
      </w:pPr>
    </w:p>
    <w:bookmarkStart w:id="33" w:name="page34"/>
    <w:bookmarkEnd w:id="33"/>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undistributed earnings of Kodak’s foreign subsidiaries are not considered permanently reinvested. Kodak has a deferred tax liability (net of related foreign tax credits) of $102 million and $159 million on the foreign subsidiaries’ undistributed earnings as of December 31, 2015 and 2014, respectively. Kodak has recorded a deferred tax liability of $19 million and $17 million for the potential foreign withholding taxes on the undistributed earnings as of December 31, 2015 and 2014, respectively.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Kodak’s valuation allowance as of December 31, 2015 was $1,201 million. Of this amount, $266 million was attributable to Kodak’s net deferred tax assets outside the U.S. of $344 million, and $935 million related to Kodak’s net deferred tax assets in the U.S. of $884 million, for which Kodak believes it is not more likely than not that the assets will be realized.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Kodak’s valuation allowance as of December 31, 2014 was $1,127 million. Of this amount, $315 million was attributable to Kodak’s net deferred tax assets outside the U.S. of $400 million, and $812 million related to Kodak’s net deferred tax assets in the U.S. of $769 million, for which Kodak believes it is not more likely than not that the assets will be realized.</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net deferred tax assets in excess of the valuation allowance of approximately $27 million and $42 million as of December 31, 2015 and December 31, 2014, respectively, relate primarily to net operating loss carry-forwards, certain tax credits, and pension related tax benefits for which Kodak believes it is more likely than not that the assets will be realized.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274"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Kodak’s liability for income taxes associated with unrecognized tax benefits is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Borders>
              <w:top w:val="single" w:sz="8" w:color="auto"/>
            </w:tcBorders>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6"/>
              </w:rPr>
              <w:t>Year Ended</w:t>
            </w:r>
          </w:p>
        </w:tc>
        <w:tc>
          <w:tcPr>
            <w:tcW w:w="3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Four Months</w:t>
            </w:r>
          </w:p>
        </w:tc>
        <w:tc>
          <w:tcPr>
            <w:tcW w:w="3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right w:val="single" w:sz="8" w:color="auto"/>
            </w:tcBorders>
            <w:gridSpan w:val="2"/>
          </w:tcPr>
          <w:p>
            <w:pPr>
              <w:ind w:left="80"/>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1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107</w:t>
            </w:r>
          </w:p>
        </w:tc>
        <w:tc>
          <w:tcPr>
            <w:tcW w:w="34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Tax positions related to the current year: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Tax Positions related to prior years: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Reductions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taxing jurisdictions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Lapses in Statute of limitations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4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106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Kodak’s policy regarding interest and/or penalties related to income tax matters is to recognize such items as a component of income tax (benefit) expense. Kodak had approximately $21 and $18 million of interest and penalties associated with uncertain tax benefits accrued as of December 31, 2015 and 2014, respectively.</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If the unrecognized tax benefits were recognized, they would favorably affect the effective income tax rate in the period recognized.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to $10 million based on current estimates. Audit outcomes and the timing of audit settlements are subject to significant uncertainty. 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19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During 2014, Kodak reached a settlement outside of the U.S. and settled an audit for calendar year 2003. Kodak originally recorded liabilities for uncertain tax positions (“UTPs”) totaling $8 million (plus interest of approximately $2 million). The settlement resulted in a reduction in Other current liabilities and the recognition of a $10 million tax benefit.</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During 2013, Kodak paid $2 million associated with the resolution of $17 million of various state and local tax claims that were agreed upon through the bankruptcy process. In addition, Kodak established a $64 million liability for unrecognized tax benefits associated with the Company’s adoption of the Plan of Reorganization.</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Kodak is subject to taxation and files income tax returns in the U.S. federal jurisdiction and in many state and foreign jurisdictions. Kodak has substantially concluded all U.S. federal and state income tax matters for years through 2011 with respective tax authorities. With respect to countries outside the U.S., Kodak has substantially concluded all material foreign income tax matters through 2008 with respective foreign tax jurisdiction authorities.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35" w:name="page36"/>
    <w:bookmarkEnd w:id="3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15:</w:t>
      </w:r>
      <w:r>
        <w:rPr>
          <w:sz w:val="20"/>
          <w:szCs w:val="20"/>
          <w:color w:val="auto"/>
        </w:rPr>
        <w:tab/>
      </w:r>
      <w:r>
        <w:rPr>
          <w:rFonts w:ascii="Arial" w:cs="Arial" w:eastAsia="Arial" w:hAnsi="Arial"/>
          <w:sz w:val="17"/>
          <w:szCs w:val="17"/>
          <w:b w:val="1"/>
          <w:bCs w:val="1"/>
          <w:color w:val="auto"/>
        </w:rPr>
        <w:t>RESTRUCTURING COSTS AND OTHER</w:t>
      </w:r>
    </w:p>
    <w:p>
      <w:pPr>
        <w:spacing w:after="0" w:line="12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activity in the accrued balances and the non-cash charges and credits incurred in relation to restructuring programs during the three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Long-lived Asset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Exit Costs</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Impairments and</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Accelerated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Inventory Write-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Reserve </w:t>
            </w:r>
            <w:r>
              <w:rPr>
                <w:rFonts w:ascii="Arial" w:cs="Arial" w:eastAsia="Arial" w:hAnsi="Arial"/>
                <w:sz w:val="12"/>
                <w:szCs w:val="12"/>
                <w:b w:val="1"/>
                <w:bCs w:val="1"/>
                <w:color w:val="auto"/>
              </w:rPr>
              <w:t>(5)</w:t>
            </w:r>
          </w:p>
        </w:tc>
        <w:tc>
          <w:tcPr>
            <w:tcW w:w="18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Reserve </w:t>
            </w:r>
            <w:r>
              <w:rPr>
                <w:rFonts w:ascii="Arial" w:cs="Arial" w:eastAsia="Arial" w:hAnsi="Arial"/>
                <w:sz w:val="12"/>
                <w:szCs w:val="12"/>
                <w:b w:val="1"/>
                <w:bCs w:val="1"/>
                <w:color w:val="auto"/>
              </w:rPr>
              <w:t>(5)</w:t>
            </w:r>
          </w:p>
        </w:tc>
        <w:tc>
          <w:tcPr>
            <w:tcW w:w="160" w:type="dxa"/>
            <w:vAlign w:val="bottom"/>
          </w:tcPr>
          <w:p>
            <w:pPr>
              <w:spacing w:after="0"/>
              <w:rPr>
                <w:sz w:val="14"/>
                <w:szCs w:val="1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 xml:space="preserve">downs </w:t>
            </w:r>
            <w:r>
              <w:rPr>
                <w:rFonts w:ascii="Arial" w:cs="Arial" w:eastAsia="Arial" w:hAnsi="Arial"/>
                <w:sz w:val="12"/>
                <w:szCs w:val="12"/>
                <w:b w:val="1"/>
                <w:bCs w:val="1"/>
                <w:color w:val="auto"/>
              </w:rPr>
              <w:t>(5)</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Depreciation </w:t>
            </w:r>
            <w:r>
              <w:rPr>
                <w:rFonts w:ascii="Arial" w:cs="Arial" w:eastAsia="Arial" w:hAnsi="Arial"/>
                <w:sz w:val="12"/>
                <w:szCs w:val="12"/>
                <w:b w:val="1"/>
                <w:bCs w:val="1"/>
                <w:color w:val="auto"/>
              </w:rPr>
              <w:t>(5)</w:t>
            </w:r>
          </w:p>
        </w:tc>
        <w:tc>
          <w:tcPr>
            <w:tcW w:w="2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840" w:type="dxa"/>
            <w:vAlign w:val="bottom"/>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 (Predecessor):</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Eight months charges - continuing operations</w:t>
            </w:r>
          </w:p>
        </w:tc>
        <w:tc>
          <w:tcPr>
            <w:tcW w:w="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Eight months charges - discontinued operations</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Eight months utilization/cash payments</w:t>
            </w:r>
          </w:p>
        </w:tc>
        <w:tc>
          <w:tcPr>
            <w:tcW w:w="26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Eight months other adjustments &amp; reclasses </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Balance as of August 31, 2013 (Predecessor):</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Four months charges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Four months utilization/cash payments</w:t>
            </w:r>
          </w:p>
        </w:tc>
        <w:tc>
          <w:tcPr>
            <w:tcW w:w="26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Four months other adjustments &amp; reclasses </w:t>
            </w:r>
            <w:r>
              <w:rPr>
                <w:rFonts w:ascii="Arial" w:cs="Arial" w:eastAsia="Arial" w:hAnsi="Arial"/>
                <w:sz w:val="15"/>
                <w:szCs w:val="15"/>
                <w:color w:val="auto"/>
              </w:rPr>
              <w:t>(2)</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2013 (Successor):</w:t>
            </w: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2014 charges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2014 utilization/cash payments</w:t>
            </w:r>
          </w:p>
        </w:tc>
        <w:tc>
          <w:tcPr>
            <w:tcW w:w="26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2014 other adjustments &amp; reclasses </w:t>
            </w:r>
            <w:r>
              <w:rPr>
                <w:rFonts w:ascii="Arial" w:cs="Arial" w:eastAsia="Arial" w:hAnsi="Arial"/>
                <w:sz w:val="15"/>
                <w:szCs w:val="15"/>
                <w:color w:val="auto"/>
              </w:rPr>
              <w:t>(3)</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2014 (Successor):</w:t>
            </w:r>
          </w:p>
        </w:tc>
        <w:tc>
          <w:tcPr>
            <w:tcW w:w="2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2015 charges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2015 utilization/cash payments</w:t>
            </w:r>
          </w:p>
        </w:tc>
        <w:tc>
          <w:tcPr>
            <w:tcW w:w="26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2015 other adjustments &amp; reclasses </w:t>
            </w:r>
            <w:r>
              <w:rPr>
                <w:rFonts w:ascii="Arial" w:cs="Arial" w:eastAsia="Arial" w:hAnsi="Arial"/>
                <w:sz w:val="15"/>
                <w:szCs w:val="15"/>
                <w:color w:val="auto"/>
              </w:rPr>
              <w:t>(4)</w:t>
            </w: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Balance as of December 31, 2015 (Successor):</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right="380" w:hanging="452"/>
        <w:spacing w:after="0" w:line="256"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$(12) million includes $(5) million for amounts reclassified as Liabilities subject to compromise, $(4) million of severance-related charges for pension plan curtailments, which were reclassified to Pension and other postretirement liabilities and $(3) million of reserve adjustments due to the application of fresh start accounting, which were recorded in Reorganization items.</w:t>
      </w: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$1 million represents foreign currency translation adjustments.</w:t>
      </w:r>
    </w:p>
    <w:p>
      <w:pPr>
        <w:spacing w:after="0" w:line="9" w:lineRule="exact"/>
        <w:rPr>
          <w:rFonts w:ascii="Arial" w:cs="Arial" w:eastAsia="Arial" w:hAnsi="Arial"/>
          <w:sz w:val="15"/>
          <w:szCs w:val="15"/>
          <w:color w:val="auto"/>
        </w:rPr>
      </w:pPr>
    </w:p>
    <w:p>
      <w:pPr>
        <w:ind w:left="460" w:right="220" w:hanging="452"/>
        <w:spacing w:after="0" w:line="25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$(11) million includes $(8) million of severance related charges for pension plan special termination benefits, which were reclassified to Pension and other postretirement liabilities and $(3) million of foreign currency translation adjustments.</w:t>
      </w:r>
    </w:p>
    <w:p>
      <w:pPr>
        <w:ind w:left="460" w:right="220" w:hanging="452"/>
        <w:spacing w:after="0" w:line="25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$(12) million includes $(9) million of severance related charges for pension plan special termination benefits, which were reclassified to Pension and other postretirement liabilities and $(3) million of foreign currency translation adjustments.</w:t>
      </w:r>
    </w:p>
    <w:p>
      <w:pPr>
        <w:ind w:left="460" w:right="440" w:hanging="452"/>
        <w:spacing w:after="0" w:line="261"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severance and exit costs reserves require the outlay of cash, while long-lived asset impairments, accelerated depreciation and inventory write-downs represent non-cash items.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Activity</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$17 million of charges for the four months ended December 31, 2013 were reported as Restructuring costs and other in the accompanying Consolidated Statement of Operations. The $52 million of charges for the eight months ended August 31, 2013 includes $4 million for accelerated depreciation and $2 million for inventory write-downs which were reported in Cost of revenues, $43 million reported as Restructuring costs and other and $3 million which were reported as Earnings (loss) from discontinued operations in the accompanying Consolidated Statement of Operations.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36" w:name="page37"/>
    <w:bookmarkEnd w:id="36"/>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2013 severance costs related to the elimination of approximately 825 positions, including approximately 500 manufacturing/service, 300 administrative and 25 research and development positions. The geographic composition of these positions included approximately 375 in the U.S. and Canada, and 450 throughout the rest of the world.</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Severance payments for these initiatives were substantially completed in 2015. Certain exit costs, such as long-term lease payments, will continue beyond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Activity</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$61 million of charges for the year ended December 31, 2014 includes $2 million for accelerated depreciation which was reported in Cost of revenues and $59 million which was reported as Restructuring costs and other in the accompanying Consolidated Statement of Operations.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2014 severance costs related to the elimination of approximately 775 positions, including approximately 325 manufacturing/service, 350 administrative and 100 research and development positions. The geographic composition of these positions included approximately 425 in the U.S. and Canada, and 350 throughout the rest of the world.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Severance payments for these initiatives will continue through 2016 since, in many instances, the employees whose positions were eliminated can elect or are required to receive their payments over an extended period of time. In addition, certain exit costs, such as long-term lease payments, will continue beyond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Activity</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Restructuring actions taken in 2015 were initiated to reduce Kodak’s cost structure as part of its commitment to drive sustainable profitability and included continued progress toward the Leeds plate manufacturing facility exit, a Kodak Technology Center workforce reduction, and various targeted reductions in service, sales, research and development and other administrative functions.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a result of these actions, for the year ended December 31, 2015 Kodak recorded $46 million of charges, including $8 million for accelerated depreciation which was reported in Cost of revenues and $38 million which was reported as Restructuring costs and other in the accompanying Consolidated Statement of Operations.</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2015 severance costs related to the elimination of approximately 600 positions, including approximately 250 manufacturing/service, 250 administrative and 100 research and development positions. The geographic composition of these positions included approximately 275 in the U.S. and Canada, and 325 throughout the rest of the world.</w:t>
      </w:r>
    </w:p>
    <w:p>
      <w:pPr>
        <w:spacing w:after="0" w:line="18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a result of these initiatives, severance payments will continue through 2016 since, in many instances, the employees whose positions were eliminated can elect or are required to receive their payments over an extended period of time. In addition, certain exit costs, such as long-term lease payments, will be paid throughout 2016 and beyond.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Leeds Plate Manufacturing Facility Exit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and phased out production at the site in the third quarter of 2015 and expects to complete the exit of the facility by the second quarter of 2016.</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a result of the decision, Kodak currently expects to incur total charges of $25 to $30 million, including approximately $10 million of charges related to separation benefits, $13 to $15 million of non-cash related charges for accelerated depreciation and asset write-offs, and $2 to $5 million in other cash related charges associated with this action.</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Kodak incurred severance charges of $7 million, long-lived asset impairment charges of $1 million, accelerated depreciation charges of $8 million and other exit costs of $1 million in the year ended December 31, 2015 under this program.</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 cumulative basis as of December 31, 2015, Kodak has recorded severance charges of $10 million, long-lived asset impairment charges of $3 million, accelerated depreciation charges of $10 million, and other exit costs of $1 million.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16:</w:t>
        <w:tab/>
        <w:t>RETIREMENT PLANS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For U.S. employees hired prior to March 1999 KRIP’s benefits were generally based on a formula recognizing length of service and final average earnings. KRIP included a separate cash balance formula for all U.S. employees hired after February 1999, as well as employees hired prior to that date who opted in to the cash balance formula during a special election period. Effective January 1, 2015 the KRIP was amended to provide that all participants accrue benefits under a single, revised cash balance formula (the “Cash Balance Plan”). The Cash Balance Plan credits employees’ hypothetical accounts with an amount equal to 7% of their pay, plus interest based on the 30-year Treasury bond rate.</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on the major funded and unfunded U.S. and Non-U.S. defined benefit pension plans is presented below. The composition of the major plans may vary from year to year. If the major plan composition changes, prior year data is conformed to ensure comparability.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used to determine the pension obligation for all funded and unfunded U.S. and Non-U.S. defined benefit plans is December 31.</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0" w:right="259" w:bottom="1440" w:gutter="0" w:footer="0" w:header="0"/>
        </w:sectPr>
      </w:pPr>
    </w:p>
    <w:bookmarkStart w:id="38" w:name="page39"/>
    <w:bookmarkEnd w:id="38"/>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2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420"/>
              <w:spacing w:after="0"/>
              <w:rPr>
                <w:sz w:val="20"/>
                <w:szCs w:val="20"/>
                <w:color w:val="auto"/>
              </w:rPr>
            </w:pPr>
            <w:r>
              <w:rPr>
                <w:rFonts w:ascii="Arial" w:cs="Arial" w:eastAsia="Arial" w:hAnsi="Arial"/>
                <w:sz w:val="14"/>
                <w:szCs w:val="14"/>
                <w:b w:val="1"/>
                <w:bCs w:val="1"/>
                <w:color w:val="auto"/>
                <w:w w:val="96"/>
              </w:rPr>
              <w:t>Year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8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Pr>
          <w:p>
            <w:pPr>
              <w:spacing w:after="0"/>
              <w:rPr>
                <w:sz w:val="14"/>
                <w:szCs w:val="14"/>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Non-U.S.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color w:val="auto"/>
              </w:rPr>
              <w:t>Projected benefit obligation at beginning of period</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$4,438</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918</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$4,361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Service cost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cost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Plan amendments</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payments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Actuarial (gain) loss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Settlements</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Special termination benefits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Currency adjustments</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Projected benefit obligation at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4,438</w:t>
            </w: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Arial" w:cs="Arial" w:eastAsia="Arial" w:hAnsi="Arial"/>
                <w:sz w:val="18"/>
                <w:szCs w:val="18"/>
                <w:color w:val="auto"/>
              </w:rPr>
              <w:t>Fair value of plan assets at beginning of period</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$4,160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795</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$4,184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Gain on plan assets</w:t>
            </w: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 contributions</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Settlements</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payments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Currency adjustments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period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3,793</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4,160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68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0" w:type="dxa"/>
            <w:vAlign w:val="bottom"/>
            <w:gridSpan w:val="2"/>
          </w:tcPr>
          <w:p>
            <w:pPr>
              <w:spacing w:after="0"/>
              <w:rPr>
                <w:sz w:val="20"/>
                <w:szCs w:val="20"/>
                <w:color w:val="auto"/>
              </w:rPr>
            </w:pPr>
            <w:r>
              <w:rPr>
                <w:rFonts w:ascii="Arial" w:cs="Arial" w:eastAsia="Arial" w:hAnsi="Arial"/>
                <w:sz w:val="18"/>
                <w:szCs w:val="18"/>
                <w:color w:val="auto"/>
              </w:rPr>
              <w:t>Under Funded Status at end of period</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 (306)</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 (278)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 at end of period</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4,098</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792</w:t>
            </w:r>
          </w:p>
        </w:tc>
        <w:tc>
          <w:tcPr>
            <w:tcW w:w="12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The Non-US transfers of $31 million of projected benefit obligation and $9 million of assets for the year ended December 31, 2014 relate to a plan split for a subset of participants into a non-major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amount of $292 million for the U.S. for the year ended December 31, 2014 was a result of lump sum payments from KRIP.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253" w:right="359" w:bottom="1440" w:gutter="0" w:footer="0" w:header="0"/>
        </w:sectPr>
      </w:pPr>
    </w:p>
    <w:bookmarkStart w:id="39" w:name="page40"/>
    <w:bookmarkEnd w:id="39"/>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recognized in the Consolidated Statement of Financial Position for all major funded and unfunded U.S. and Non-U.S. defined benefit plans are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53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2015</w:t>
            </w:r>
          </w:p>
        </w:tc>
        <w:tc>
          <w:tcPr>
            <w:tcW w:w="13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3"/>
              </w:rPr>
              <w:t>As of December 31,</w:t>
            </w:r>
          </w:p>
        </w:tc>
        <w:tc>
          <w:tcPr>
            <w:tcW w:w="46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w w:val="96"/>
              </w:rPr>
              <w:t>2014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320" w:type="dxa"/>
            <w:vAlign w:val="bottom"/>
            <w:gridSpan w:val="2"/>
            <w:vMerge w:val="continue"/>
          </w:tcPr>
          <w:p>
            <w:pPr>
              <w:spacing w:after="0"/>
              <w:rPr>
                <w:sz w:val="11"/>
                <w:szCs w:val="11"/>
                <w:color w:val="auto"/>
              </w:rPr>
            </w:pPr>
          </w:p>
        </w:tc>
        <w:tc>
          <w:tcPr>
            <w:tcW w:w="18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Non-U.S.</w:t>
            </w:r>
          </w:p>
        </w:tc>
        <w:tc>
          <w:tcPr>
            <w:tcW w:w="400" w:type="dxa"/>
            <w:vAlign w:val="bottom"/>
          </w:tcPr>
          <w:p>
            <w:pPr>
              <w:spacing w:after="0"/>
              <w:rPr>
                <w:sz w:val="12"/>
                <w:szCs w:val="12"/>
                <w:color w:val="auto"/>
              </w:rPr>
            </w:pPr>
          </w:p>
        </w:tc>
        <w:tc>
          <w:tcPr>
            <w:tcW w:w="5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assets</w:t>
            </w:r>
          </w:p>
        </w:tc>
        <w:tc>
          <w:tcPr>
            <w:tcW w:w="2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Pension and other postretirement liabilities</w:t>
            </w:r>
          </w:p>
        </w:tc>
        <w:tc>
          <w:tcPr>
            <w:tcW w:w="18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(278)</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with respect to the major funded and unfunded U.S. and Non-U.S. defined benefit plans with an accumulated benefit obligation in excess of plan assets is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40" w:type="dxa"/>
            <w:vAlign w:val="bottom"/>
          </w:tcPr>
          <w:p>
            <w:pPr>
              <w:spacing w:after="0"/>
              <w:rPr>
                <w:sz w:val="20"/>
                <w:szCs w:val="20"/>
                <w:color w:val="auto"/>
              </w:rPr>
            </w:pPr>
            <w:r>
              <w:rPr>
                <w:rFonts w:ascii="Arial" w:cs="Arial" w:eastAsia="Arial" w:hAnsi="Arial"/>
                <w:sz w:val="14"/>
                <w:szCs w:val="14"/>
                <w:color w:val="auto"/>
              </w:rPr>
              <w:t>(in millions)</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5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Non-U.S.</w:t>
            </w:r>
          </w:p>
        </w:tc>
        <w:tc>
          <w:tcPr>
            <w:tcW w:w="380" w:type="dxa"/>
            <w:vAlign w:val="bottom"/>
          </w:tcPr>
          <w:p>
            <w:pPr>
              <w:spacing w:after="0"/>
              <w:rPr>
                <w:sz w:val="12"/>
                <w:szCs w:val="12"/>
                <w:color w:val="auto"/>
              </w:rPr>
            </w:pPr>
          </w:p>
        </w:tc>
        <w:tc>
          <w:tcPr>
            <w:tcW w:w="5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U.S.</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$4,099</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524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$4,438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623</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540" w:type="dxa"/>
            <w:vAlign w:val="bottom"/>
          </w:tcPr>
          <w:p>
            <w:pPr>
              <w:jc w:val="right"/>
              <w:spacing w:after="0"/>
              <w:rPr>
                <w:sz w:val="20"/>
                <w:szCs w:val="20"/>
                <w:color w:val="auto"/>
              </w:rPr>
            </w:pPr>
            <w:r>
              <w:rPr>
                <w:rFonts w:ascii="Arial" w:cs="Arial" w:eastAsia="Arial" w:hAnsi="Arial"/>
                <w:sz w:val="18"/>
                <w:szCs w:val="18"/>
                <w:color w:val="auto"/>
              </w:rPr>
              <w:t>4,098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516</w:t>
            </w:r>
          </w:p>
        </w:tc>
        <w:tc>
          <w:tcPr>
            <w:tcW w:w="540" w:type="dxa"/>
            <w:vAlign w:val="bottom"/>
          </w:tcPr>
          <w:p>
            <w:pPr>
              <w:jc w:val="right"/>
              <w:spacing w:after="0"/>
              <w:rPr>
                <w:sz w:val="20"/>
                <w:szCs w:val="20"/>
                <w:color w:val="auto"/>
              </w:rPr>
            </w:pPr>
            <w:r>
              <w:rPr>
                <w:rFonts w:ascii="Arial" w:cs="Arial" w:eastAsia="Arial" w:hAnsi="Arial"/>
                <w:sz w:val="18"/>
                <w:szCs w:val="18"/>
                <w:color w:val="auto"/>
              </w:rPr>
              <w:t>4,436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Amounts recognized in accumulated other comprehensive (loss) income for all major funded and unfunded U.S. and Non-U.S. defined benefit plans consist of:</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4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w w:val="96"/>
              </w:rPr>
              <w:t>2015</w:t>
            </w:r>
          </w:p>
        </w:tc>
        <w:tc>
          <w:tcPr>
            <w:tcW w:w="13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As of December 31,</w:t>
            </w:r>
          </w:p>
        </w:tc>
        <w:tc>
          <w:tcPr>
            <w:tcW w:w="520" w:type="dxa"/>
            <w:vAlign w:val="bottom"/>
            <w:gridSpan w:val="2"/>
            <w:vMerge w:val="restart"/>
          </w:tcPr>
          <w:p>
            <w:pPr>
              <w:jc w:val="right"/>
              <w:ind w:right="128"/>
              <w:spacing w:after="0"/>
              <w:rPr>
                <w:sz w:val="20"/>
                <w:szCs w:val="20"/>
                <w:color w:val="auto"/>
              </w:rPr>
            </w:pPr>
            <w:r>
              <w:rPr>
                <w:rFonts w:ascii="Arial" w:cs="Arial" w:eastAsia="Arial" w:hAnsi="Arial"/>
                <w:sz w:val="14"/>
                <w:szCs w:val="14"/>
                <w:b w:val="1"/>
                <w:bCs w:val="1"/>
                <w:color w:val="auto"/>
                <w:w w:val="96"/>
              </w:rPr>
              <w:t>2014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300" w:type="dxa"/>
            <w:vAlign w:val="bottom"/>
            <w:vMerge w:val="continue"/>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2"/>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7"/>
              </w:rPr>
              <w:t>U.S.</w:t>
            </w:r>
          </w:p>
        </w:tc>
        <w:tc>
          <w:tcPr>
            <w:tcW w:w="3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80"/>
              </w:rPr>
              <w:t>U.S.</w:t>
            </w:r>
          </w:p>
        </w:tc>
        <w:tc>
          <w:tcPr>
            <w:tcW w:w="3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Net actuarial loss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(159)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(101)</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plan assets and benefit obligations recognized in Other comprehensive income (expense)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vMerge w:val="restart"/>
          </w:tcPr>
          <w:p>
            <w:pPr>
              <w:jc w:val="center"/>
              <w:ind w:left="256"/>
              <w:spacing w:after="0"/>
              <w:rPr>
                <w:sz w:val="20"/>
                <w:szCs w:val="20"/>
                <w:color w:val="auto"/>
              </w:rPr>
            </w:pPr>
            <w:r>
              <w:rPr>
                <w:rFonts w:ascii="Arial" w:cs="Arial" w:eastAsia="Arial" w:hAnsi="Arial"/>
                <w:sz w:val="14"/>
                <w:szCs w:val="14"/>
                <w:b w:val="1"/>
                <w:bCs w:val="1"/>
                <w:color w:val="auto"/>
                <w:w w:val="84"/>
              </w:rPr>
              <w:t>Successor</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7"/>
              </w:rPr>
              <w:t>Year Ended</w:t>
            </w:r>
          </w:p>
        </w:tc>
        <w:tc>
          <w:tcPr>
            <w:tcW w:w="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4"/>
          </w:tcPr>
          <w:p>
            <w:pPr>
              <w:jc w:val="center"/>
              <w:ind w:left="216"/>
              <w:spacing w:after="0" w:line="119" w:lineRule="exact"/>
              <w:rPr>
                <w:sz w:val="20"/>
                <w:szCs w:val="20"/>
                <w:color w:val="auto"/>
              </w:rPr>
            </w:pPr>
            <w:r>
              <w:rPr>
                <w:rFonts w:ascii="Arial" w:cs="Arial" w:eastAsia="Arial" w:hAnsi="Arial"/>
                <w:sz w:val="13"/>
                <w:szCs w:val="13"/>
                <w:b w:val="1"/>
                <w:bCs w:val="1"/>
                <w:color w:val="auto"/>
              </w:rPr>
              <w:t>Year Ended</w:t>
            </w:r>
          </w:p>
        </w:tc>
        <w:tc>
          <w:tcPr>
            <w:tcW w:w="2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6"/>
          </w:tcPr>
          <w:p>
            <w:pPr>
              <w:jc w:val="right"/>
              <w:spacing w:after="0" w:line="119" w:lineRule="exact"/>
              <w:rPr>
                <w:sz w:val="20"/>
                <w:szCs w:val="20"/>
                <w:color w:val="auto"/>
              </w:rPr>
            </w:pPr>
            <w:r>
              <w:rPr>
                <w:rFonts w:ascii="Arial" w:cs="Arial" w:eastAsia="Arial" w:hAnsi="Arial"/>
                <w:sz w:val="13"/>
                <w:szCs w:val="13"/>
                <w:b w:val="1"/>
                <w:bCs w:val="1"/>
                <w:color w:val="auto"/>
              </w:rPr>
              <w:t>Four Months Ended</w:t>
            </w:r>
          </w:p>
        </w:tc>
        <w:tc>
          <w:tcPr>
            <w:tcW w:w="1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rPr>
              <w:t>Eight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4"/>
                <w:szCs w:val="14"/>
                <w:color w:val="auto"/>
              </w:rPr>
            </w:pPr>
          </w:p>
        </w:tc>
        <w:tc>
          <w:tcPr>
            <w:tcW w:w="15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December 31, 2015</w:t>
            </w:r>
          </w:p>
        </w:tc>
        <w:tc>
          <w:tcPr>
            <w:tcW w:w="1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right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0"/>
              </w:rPr>
              <w:t>December 31, 2013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August 31, 2013</w:t>
            </w:r>
          </w:p>
        </w:tc>
        <w:tc>
          <w:tcPr>
            <w:tcW w:w="0" w:type="dxa"/>
            <w:vAlign w:val="bottom"/>
          </w:tcPr>
          <w:p>
            <w:pPr>
              <w:spacing w:after="0"/>
              <w:rPr>
                <w:sz w:val="1"/>
                <w:szCs w:val="1"/>
                <w:color w:val="auto"/>
              </w:rPr>
            </w:pPr>
          </w:p>
        </w:tc>
      </w:tr>
      <w:tr>
        <w:trPr>
          <w:trHeight w:val="180"/>
        </w:trPr>
        <w:tc>
          <w:tcPr>
            <w:tcW w:w="48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U.S.</w:t>
            </w: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Non-U.S.</w:t>
            </w:r>
          </w:p>
        </w:tc>
        <w:tc>
          <w:tcPr>
            <w:tcW w:w="280" w:type="dxa"/>
            <w:vAlign w:val="bottom"/>
          </w:tcPr>
          <w:p>
            <w:pPr>
              <w:spacing w:after="0"/>
              <w:rPr>
                <w:sz w:val="15"/>
                <w:szCs w:val="15"/>
                <w:color w:val="auto"/>
              </w:rPr>
            </w:pPr>
          </w:p>
        </w:tc>
        <w:tc>
          <w:tcPr>
            <w:tcW w:w="6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Non-U.S.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Non-U.S.</w:t>
            </w:r>
          </w:p>
        </w:tc>
        <w:tc>
          <w:tcPr>
            <w:tcW w:w="12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5"/>
              </w:rPr>
              <w:t>U.S.</w:t>
            </w: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Non-U.S.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8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Newly established (loss) gain</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$(255)</w:t>
            </w: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3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Newly established prior service credit</w:t>
            </w:r>
          </w:p>
        </w:tc>
        <w:tc>
          <w:tcPr>
            <w:tcW w:w="2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Prior service (credit) cost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actuarial loss</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Prior service cost recognized due to curtailment</w:t>
            </w:r>
          </w:p>
        </w:tc>
        <w:tc>
          <w:tcPr>
            <w:tcW w:w="2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curtailment gain not recognized in expense</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 (gain) recognized in expense due to settlements</w:t>
            </w:r>
          </w:p>
        </w:tc>
        <w:tc>
          <w:tcPr>
            <w:tcW w:w="28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80" w:type="dxa"/>
            <w:vAlign w:val="bottom"/>
            <w:gridSpan w:val="2"/>
          </w:tcPr>
          <w:p>
            <w:pPr>
              <w:spacing w:after="0"/>
              <w:rPr>
                <w:sz w:val="20"/>
                <w:szCs w:val="20"/>
                <w:color w:val="auto"/>
              </w:rPr>
            </w:pPr>
            <w:r>
              <w:rPr>
                <w:rFonts w:ascii="Arial" w:cs="Arial" w:eastAsia="Arial" w:hAnsi="Arial"/>
                <w:sz w:val="18"/>
                <w:szCs w:val="18"/>
                <w:color w:val="auto"/>
                <w:w w:val="96"/>
              </w:rPr>
              <w:t>Total Income (loss) recognized in Other comprehensive income</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before fresh start accounting</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(187)</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86</w:t>
            </w:r>
          </w:p>
        </w:tc>
        <w:tc>
          <w:tcPr>
            <w:tcW w:w="3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Effect of application of fresh start accounting</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1,955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recognize $7 million of prior service credits and $1 million of net actuarial losses as components of net periodic benefit cost over the next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Pension (income) expense for all defined benefit plans included: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1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84"/>
              </w:rPr>
              <w:t>Successor</w:t>
            </w: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4"/>
            <w:vMerge w:val="restart"/>
          </w:tcPr>
          <w:p>
            <w:pPr>
              <w:jc w:val="center"/>
              <w:ind w:left="154"/>
              <w:spacing w:after="0"/>
              <w:rPr>
                <w:sz w:val="20"/>
                <w:szCs w:val="20"/>
                <w:color w:val="auto"/>
              </w:rPr>
            </w:pPr>
            <w:r>
              <w:rPr>
                <w:rFonts w:ascii="Arial" w:cs="Arial" w:eastAsia="Arial" w:hAnsi="Arial"/>
                <w:sz w:val="14"/>
                <w:szCs w:val="14"/>
                <w:b w:val="1"/>
                <w:bCs w:val="1"/>
                <w:color w:val="auto"/>
                <w:w w:val="87"/>
              </w:rPr>
              <w:t>Predecessor</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1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4"/>
          </w:tcPr>
          <w:p>
            <w:pPr>
              <w:jc w:val="center"/>
              <w:ind w:left="113"/>
              <w:spacing w:after="0" w:line="119" w:lineRule="exact"/>
              <w:rPr>
                <w:sz w:val="20"/>
                <w:szCs w:val="20"/>
                <w:color w:val="auto"/>
              </w:rPr>
            </w:pPr>
            <w:r>
              <w:rPr>
                <w:rFonts w:ascii="Arial" w:cs="Arial" w:eastAsia="Arial" w:hAnsi="Arial"/>
                <w:sz w:val="13"/>
                <w:szCs w:val="13"/>
                <w:b w:val="1"/>
                <w:bCs w:val="1"/>
                <w:color w:val="auto"/>
              </w:rPr>
              <w:t>Year Ended</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left="114"/>
              <w:spacing w:after="0" w:line="119" w:lineRule="exact"/>
              <w:rPr>
                <w:sz w:val="20"/>
                <w:szCs w:val="20"/>
                <w:color w:val="auto"/>
              </w:rPr>
            </w:pPr>
            <w:r>
              <w:rPr>
                <w:rFonts w:ascii="Arial" w:cs="Arial" w:eastAsia="Arial" w:hAnsi="Arial"/>
                <w:sz w:val="13"/>
                <w:szCs w:val="13"/>
                <w:b w:val="1"/>
                <w:bCs w:val="1"/>
                <w:color w:val="auto"/>
              </w:rPr>
              <w:t>Year Ended</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6"/>
          </w:tcPr>
          <w:p>
            <w:pPr>
              <w:jc w:val="right"/>
              <w:spacing w:after="0" w:line="119" w:lineRule="exact"/>
              <w:rPr>
                <w:sz w:val="20"/>
                <w:szCs w:val="20"/>
                <w:color w:val="auto"/>
              </w:rPr>
            </w:pPr>
            <w:r>
              <w:rPr>
                <w:rFonts w:ascii="Arial" w:cs="Arial" w:eastAsia="Arial" w:hAnsi="Arial"/>
                <w:sz w:val="13"/>
                <w:szCs w:val="13"/>
                <w:b w:val="1"/>
                <w:bCs w:val="1"/>
                <w:color w:val="auto"/>
              </w:rPr>
              <w:t>Four Months Ended</w:t>
            </w: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6"/>
          </w:tcPr>
          <w:p>
            <w:pPr>
              <w:jc w:val="center"/>
              <w:spacing w:after="0" w:line="119" w:lineRule="exact"/>
              <w:rPr>
                <w:sz w:val="20"/>
                <w:szCs w:val="20"/>
                <w:color w:val="auto"/>
              </w:rPr>
            </w:pPr>
            <w:r>
              <w:rPr>
                <w:rFonts w:ascii="Arial" w:cs="Arial" w:eastAsia="Arial" w:hAnsi="Arial"/>
                <w:sz w:val="13"/>
                <w:szCs w:val="13"/>
                <w:b w:val="1"/>
                <w:bCs w:val="1"/>
                <w:color w:val="auto"/>
              </w:rPr>
              <w:t>Eight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December 31, 2015</w:t>
            </w:r>
          </w:p>
        </w:tc>
        <w:tc>
          <w:tcPr>
            <w:tcW w:w="120" w:type="dxa"/>
            <w:vAlign w:val="bottom"/>
          </w:tcPr>
          <w:p>
            <w:pPr>
              <w:spacing w:after="0"/>
              <w:rPr>
                <w:sz w:val="14"/>
                <w:szCs w:val="14"/>
                <w:color w:val="auto"/>
              </w:rPr>
            </w:pPr>
          </w:p>
        </w:tc>
        <w:tc>
          <w:tcPr>
            <w:tcW w:w="14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right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1"/>
              </w:rPr>
              <w:t>December 31, 2013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August 31, 2013</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87"/>
              </w:rPr>
              <w:t>U.S.</w:t>
            </w: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Non-U.S.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Non-U.S.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Non-U.S.</w:t>
            </w:r>
          </w:p>
        </w:tc>
        <w:tc>
          <w:tcPr>
            <w:tcW w:w="1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7"/>
              </w:rPr>
              <w:t>U.S.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Non-U.S.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Major defined benefit plans: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Service cost</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4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44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(272)</w:t>
            </w:r>
          </w:p>
        </w:tc>
        <w:tc>
          <w:tcPr>
            <w:tcW w:w="3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(295)</w:t>
            </w:r>
          </w:p>
        </w:tc>
        <w:tc>
          <w:tcPr>
            <w:tcW w:w="2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720"/>
              <w:spacing w:after="0"/>
              <w:rPr>
                <w:sz w:val="20"/>
                <w:szCs w:val="20"/>
                <w:color w:val="auto"/>
              </w:rPr>
            </w:pPr>
            <w:r>
              <w:rPr>
                <w:rFonts w:ascii="Arial" w:cs="Arial" w:eastAsia="Arial" w:hAnsi="Arial"/>
                <w:sz w:val="18"/>
                <w:szCs w:val="18"/>
                <w:color w:val="auto"/>
              </w:rPr>
              <w:t>Prior service credit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8"/>
                <w:szCs w:val="18"/>
                <w:color w:val="auto"/>
              </w:rPr>
              <w:t>Pension (income) expense before special termination benefits,</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curtailments and settlements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w w:val="90"/>
              </w:rPr>
              <w:t>(115)</w:t>
            </w:r>
          </w:p>
        </w:tc>
        <w:tc>
          <w:tcPr>
            <w:tcW w:w="3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(104)</w:t>
            </w:r>
          </w:p>
        </w:tc>
        <w:tc>
          <w:tcPr>
            <w:tcW w:w="280" w:type="dxa"/>
            <w:vAlign w:val="bottom"/>
          </w:tcPr>
          <w:p>
            <w:pPr>
              <w:spacing w:after="0"/>
              <w:rPr>
                <w:sz w:val="20"/>
                <w:szCs w:val="20"/>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8"/>
        </w:trPr>
        <w:tc>
          <w:tcPr>
            <w:tcW w:w="5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termination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Curtailment (gains) losses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(gains) losses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360"/>
              <w:spacing w:after="0"/>
              <w:rPr>
                <w:sz w:val="20"/>
                <w:szCs w:val="20"/>
                <w:color w:val="auto"/>
              </w:rPr>
            </w:pPr>
            <w:r>
              <w:rPr>
                <w:rFonts w:ascii="Arial" w:cs="Arial" w:eastAsia="Arial" w:hAnsi="Arial"/>
                <w:sz w:val="18"/>
                <w:szCs w:val="18"/>
                <w:color w:val="auto"/>
                <w:w w:val="96"/>
              </w:rPr>
              <w:t>Net pension (income) expense for major defined benefit plans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(106)</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plans including unfunded plans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pension (income) expense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8"/>
              </w:rPr>
              <w:t>(106</w:t>
            </w:r>
          </w:p>
        </w:tc>
        <w:tc>
          <w:tcPr>
            <w:tcW w:w="280" w:type="dxa"/>
            <w:vAlign w:val="bottom"/>
            <w:gridSpan w:val="2"/>
            <w:vMerge w:val="continue"/>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5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pension (income) expense before special termination benefits, curtailments, and settlements reported above for the eight months ended August 31, 2013 includes $38 million which was reported as (Loss) earnings from discontinued operations.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special termination benefits of $9 million and $8 million for the years ended December 31, 2015 and December 31, 2014, respectively, were incurred as a result of Kodak’s restructuring actions and, therefore, have been included in Restructuring costs and other in the Consolidated Statement of Operations for those periods.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$114 million of settlement losses for the eight months ended August 31, 2013 were incurred as a result of the Global Settlement, and have been included in (Loss) earnings from discontinued operations in the Consolidated Statement of Operations.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weighted-average assumptions used to determine the benefit obligation amounts for all major funded and unfunded U.S. and Non-U.S. defined benefit plans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Successor</w:t>
            </w: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December 31, 2015</w:t>
            </w:r>
          </w:p>
        </w:tc>
        <w:tc>
          <w:tcPr>
            <w:tcW w:w="16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December 31, 2014</w:t>
            </w:r>
          </w:p>
        </w:tc>
        <w:tc>
          <w:tcPr>
            <w:tcW w:w="13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5"/>
              </w:rPr>
              <w:t>December 31, 2013</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August 31, 2013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6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1"/>
              </w:rPr>
              <w:t>Non-U.S.</w:t>
            </w:r>
          </w:p>
        </w:tc>
        <w:tc>
          <w:tcPr>
            <w:tcW w:w="360" w:type="dxa"/>
            <w:vAlign w:val="bottom"/>
          </w:tcPr>
          <w:p>
            <w:pPr>
              <w:spacing w:after="0"/>
              <w:rPr>
                <w:sz w:val="12"/>
                <w:szCs w:val="12"/>
                <w:color w:val="auto"/>
              </w:rPr>
            </w:pPr>
          </w:p>
        </w:tc>
        <w:tc>
          <w:tcPr>
            <w:tcW w:w="6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1"/>
              </w:rPr>
              <w:t>Non-U.S.</w:t>
            </w:r>
          </w:p>
        </w:tc>
        <w:tc>
          <w:tcPr>
            <w:tcW w:w="360" w:type="dxa"/>
            <w:vAlign w:val="bottom"/>
          </w:tcPr>
          <w:p>
            <w:pPr>
              <w:spacing w:after="0"/>
              <w:rPr>
                <w:sz w:val="12"/>
                <w:szCs w:val="12"/>
                <w:color w:val="auto"/>
              </w:rPr>
            </w:pPr>
          </w:p>
        </w:tc>
        <w:tc>
          <w:tcPr>
            <w:tcW w:w="6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66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1"/>
              </w:rPr>
              <w:t>Non-U.S.</w:t>
            </w:r>
          </w:p>
        </w:tc>
        <w:tc>
          <w:tcPr>
            <w:tcW w:w="24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1"/>
              </w:rPr>
              <w:t>Non-U.S.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3.89%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4.50%</w:t>
            </w:r>
          </w:p>
        </w:tc>
        <w:tc>
          <w:tcPr>
            <w:tcW w:w="9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4.25%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Salary increase rate</w:t>
            </w:r>
          </w:p>
        </w:tc>
        <w:tc>
          <w:tcPr>
            <w:tcW w:w="640" w:type="dxa"/>
            <w:vAlign w:val="bottom"/>
          </w:tcPr>
          <w:p>
            <w:pPr>
              <w:ind w:left="80"/>
              <w:spacing w:after="0"/>
              <w:rPr>
                <w:sz w:val="20"/>
                <w:szCs w:val="20"/>
                <w:color w:val="auto"/>
              </w:rPr>
            </w:pPr>
            <w:r>
              <w:rPr>
                <w:rFonts w:ascii="Arial" w:cs="Arial" w:eastAsia="Arial" w:hAnsi="Arial"/>
                <w:sz w:val="18"/>
                <w:szCs w:val="18"/>
                <w:color w:val="auto"/>
              </w:rPr>
              <w:t>3.37%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640" w:type="dxa"/>
            <w:vAlign w:val="bottom"/>
          </w:tcPr>
          <w:p>
            <w:pPr>
              <w:ind w:left="60"/>
              <w:spacing w:after="0"/>
              <w:rPr>
                <w:sz w:val="20"/>
                <w:szCs w:val="20"/>
                <w:color w:val="auto"/>
              </w:rPr>
            </w:pPr>
            <w:r>
              <w:rPr>
                <w:rFonts w:ascii="Arial" w:cs="Arial" w:eastAsia="Arial" w:hAnsi="Arial"/>
                <w:sz w:val="18"/>
                <w:szCs w:val="18"/>
                <w:color w:val="auto"/>
              </w:rPr>
              <w:t>3.34%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640" w:type="dxa"/>
            <w:vAlign w:val="bottom"/>
          </w:tcPr>
          <w:p>
            <w:pPr>
              <w:ind w:left="60"/>
              <w:spacing w:after="0"/>
              <w:rPr>
                <w:sz w:val="20"/>
                <w:szCs w:val="20"/>
                <w:color w:val="auto"/>
              </w:rPr>
            </w:pPr>
            <w:r>
              <w:rPr>
                <w:rFonts w:ascii="Arial" w:cs="Arial" w:eastAsia="Arial" w:hAnsi="Arial"/>
                <w:sz w:val="18"/>
                <w:szCs w:val="18"/>
                <w:color w:val="auto"/>
              </w:rPr>
              <w:t>3.37%</w:t>
            </w:r>
          </w:p>
        </w:tc>
        <w:tc>
          <w:tcPr>
            <w:tcW w:w="9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2.74%</w:t>
            </w:r>
          </w:p>
        </w:tc>
        <w:tc>
          <w:tcPr>
            <w:tcW w:w="14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3.39%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weighted-average assumptions used to determine net pension (income) expense for all the major funded and unfunded U.S. and Non-U.S. defined benefit plans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68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rPr>
              <w:t>Year Ended</w:t>
            </w:r>
          </w:p>
        </w:tc>
        <w:tc>
          <w:tcPr>
            <w:tcW w:w="168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Year Ended</w:t>
            </w:r>
          </w:p>
        </w:tc>
        <w:tc>
          <w:tcPr>
            <w:tcW w:w="136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Four Months Ended</w:t>
            </w:r>
          </w:p>
        </w:tc>
        <w:tc>
          <w:tcPr>
            <w:tcW w:w="2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Eight Months Ended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2015</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2014</w:t>
            </w:r>
          </w:p>
        </w:tc>
        <w:tc>
          <w:tcPr>
            <w:tcW w:w="1580" w:type="dxa"/>
            <w:vAlign w:val="bottom"/>
            <w:tcBorders>
              <w:right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Pr>
          <w:p>
            <w:pPr>
              <w:spacing w:after="0"/>
              <w:rPr>
                <w:sz w:val="14"/>
                <w:szCs w:val="14"/>
                <w:color w:val="auto"/>
              </w:rPr>
            </w:pPr>
          </w:p>
        </w:tc>
        <w:tc>
          <w:tcPr>
            <w:tcW w:w="16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August 31, 2013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U.S.</w:t>
            </w: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w w:val="91"/>
              </w:rPr>
              <w:t>Non-U.S.</w:t>
            </w:r>
          </w:p>
        </w:tc>
        <w:tc>
          <w:tcPr>
            <w:tcW w:w="360" w:type="dxa"/>
            <w:vAlign w:val="bottom"/>
          </w:tcPr>
          <w:p>
            <w:pPr>
              <w:spacing w:after="0"/>
              <w:rPr>
                <w:sz w:val="15"/>
                <w:szCs w:val="15"/>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U.S.</w:t>
            </w:r>
          </w:p>
        </w:tc>
        <w:tc>
          <w:tcPr>
            <w:tcW w:w="68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w w:val="94"/>
              </w:rPr>
              <w:t>Non-U.S.</w:t>
            </w:r>
          </w:p>
        </w:tc>
        <w:tc>
          <w:tcPr>
            <w:tcW w:w="360" w:type="dxa"/>
            <w:vAlign w:val="bottom"/>
          </w:tcPr>
          <w:p>
            <w:pPr>
              <w:spacing w:after="0"/>
              <w:rPr>
                <w:sz w:val="15"/>
                <w:szCs w:val="15"/>
                <w:color w:val="auto"/>
              </w:rPr>
            </w:pPr>
          </w:p>
        </w:tc>
        <w:tc>
          <w:tcPr>
            <w:tcW w:w="66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U.S.</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w w:val="94"/>
              </w:rPr>
              <w:t>Non-U.S.</w:t>
            </w:r>
          </w:p>
        </w:tc>
        <w:tc>
          <w:tcPr>
            <w:tcW w:w="2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U.S.</w:t>
            </w: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Non-U.S.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4.19%</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4.25%</w:t>
            </w: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3.52%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Salary increase rate</w:t>
            </w:r>
          </w:p>
        </w:tc>
        <w:tc>
          <w:tcPr>
            <w:tcW w:w="640" w:type="dxa"/>
            <w:vAlign w:val="bottom"/>
          </w:tcPr>
          <w:p>
            <w:pPr>
              <w:ind w:left="80"/>
              <w:spacing w:after="0"/>
              <w:rPr>
                <w:sz w:val="20"/>
                <w:szCs w:val="20"/>
                <w:color w:val="auto"/>
              </w:rPr>
            </w:pPr>
            <w:r>
              <w:rPr>
                <w:rFonts w:ascii="Arial" w:cs="Arial" w:eastAsia="Arial" w:hAnsi="Arial"/>
                <w:sz w:val="18"/>
                <w:szCs w:val="18"/>
                <w:color w:val="auto"/>
              </w:rPr>
              <w:t>3.34%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640" w:type="dxa"/>
            <w:vAlign w:val="bottom"/>
          </w:tcPr>
          <w:p>
            <w:pPr>
              <w:ind w:left="60"/>
              <w:spacing w:after="0"/>
              <w:rPr>
                <w:sz w:val="20"/>
                <w:szCs w:val="20"/>
                <w:color w:val="auto"/>
              </w:rPr>
            </w:pPr>
            <w:r>
              <w:rPr>
                <w:rFonts w:ascii="Arial" w:cs="Arial" w:eastAsia="Arial" w:hAnsi="Arial"/>
                <w:sz w:val="18"/>
                <w:szCs w:val="18"/>
                <w:color w:val="auto"/>
              </w:rPr>
              <w:t>3.37%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2.62%</w:t>
            </w:r>
          </w:p>
        </w:tc>
        <w:tc>
          <w:tcPr>
            <w:tcW w:w="660" w:type="dxa"/>
            <w:vAlign w:val="bottom"/>
          </w:tcPr>
          <w:p>
            <w:pPr>
              <w:ind w:left="80"/>
              <w:spacing w:after="0"/>
              <w:rPr>
                <w:sz w:val="20"/>
                <w:szCs w:val="20"/>
                <w:color w:val="auto"/>
              </w:rPr>
            </w:pPr>
            <w:r>
              <w:rPr>
                <w:rFonts w:ascii="Arial" w:cs="Arial" w:eastAsia="Arial" w:hAnsi="Arial"/>
                <w:sz w:val="18"/>
                <w:szCs w:val="18"/>
                <w:color w:val="auto"/>
              </w:rPr>
              <w:t>3.39%</w:t>
            </w: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8"/>
                <w:szCs w:val="18"/>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rPr>
              <w:t>3.40%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long-term rate of return on plan assets</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7.40%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7.63%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8.20%</w:t>
            </w: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8.12%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Investment Strategy</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1" w:name="page42"/>
    <w:bookmarkEnd w:id="41"/>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166"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total plan assets attributable to the major U.S. defined benefit plans at December 31, 2015 relate to KRIP. The expected long-term rate of return on plan assets assumption (“EROA”) is based on a combination of formal asset and liability studies that include forward-looking return expectations given the current asset allocation. A review of the EROA as of December 31, 2015, based upon the current asset allocation and forward-looking expected returns for the various asset classes in which KRIP invests, resulted in an EROA of 7.4%.</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with KRIP, the EROA assumptions for certain of Kodak’s other pension plans were reassessed as of December 31, 2015. The annual expected return on plan assets for the major non-U.S. pension plans range from 3.0% to 6.5% based on the plans’ respective asset allocations as of December 31,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 Risk Management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Foreign currency contracts and swaps are used to partially hedge foreign currency risk. Additionally, Kodak’s major defined benefit pension plans invest in government bond futures and long duration investment grade bonds to partially hedge the liability risk of the plans. As of December 31, 2015 and 2014, there were no significant concentrations (defined as greater than 10% of plan assets) of risk in Kodak’s defined benefit plan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weighted-average asset allocations for its major U.S. defined benefit pension plans by asset category,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2015 Target</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 Category</w:t>
            </w:r>
          </w:p>
        </w:tc>
        <w:tc>
          <w:tcPr>
            <w:tcW w:w="2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3780" w:type="dxa"/>
            <w:vAlign w:val="bottom"/>
            <w:gridSpan w:val="3"/>
          </w:tcPr>
          <w:p>
            <w:pPr>
              <w:jc w:val="right"/>
              <w:ind w:right="580"/>
              <w:spacing w:after="0"/>
              <w:rPr>
                <w:sz w:val="20"/>
                <w:szCs w:val="20"/>
                <w:color w:val="auto"/>
              </w:rPr>
            </w:pPr>
            <w:r>
              <w:rPr>
                <w:rFonts w:ascii="Arial" w:cs="Arial" w:eastAsia="Arial" w:hAnsi="Arial"/>
                <w:sz w:val="18"/>
                <w:szCs w:val="18"/>
                <w:color w:val="auto"/>
              </w:rPr>
              <w:t>15%</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3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Real estate</w:t>
            </w:r>
          </w:p>
        </w:tc>
        <w:tc>
          <w:tcPr>
            <w:tcW w:w="3780" w:type="dxa"/>
            <w:vAlign w:val="bottom"/>
            <w:gridSpan w:val="3"/>
          </w:tcPr>
          <w:p>
            <w:pPr>
              <w:jc w:val="right"/>
              <w:ind w:right="58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Global balanced asset allocation funds</w:t>
            </w:r>
          </w:p>
        </w:tc>
        <w:tc>
          <w:tcPr>
            <w:tcW w:w="378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64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2640" w:type="dxa"/>
            <w:vAlign w:val="bottom"/>
            <w:vMerge w:val="continue"/>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40" w:type="dxa"/>
            <w:vAlign w:val="bottom"/>
            <w:vMerge w:val="restart"/>
          </w:tcPr>
          <w:p>
            <w:pPr>
              <w:jc w:val="right"/>
              <w:ind w:right="1413"/>
              <w:spacing w:after="0"/>
              <w:rPr>
                <w:sz w:val="20"/>
                <w:szCs w:val="20"/>
                <w:color w:val="auto"/>
              </w:rPr>
            </w:pPr>
            <w:r>
              <w:rPr>
                <w:rFonts w:ascii="Arial" w:cs="Arial" w:eastAsia="Arial" w:hAnsi="Arial"/>
                <w:sz w:val="18"/>
                <w:szCs w:val="18"/>
                <w:color w:val="auto"/>
              </w:rPr>
              <w:t>42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weighted-average asset allocations for its major Non-U.S. defined benefit pension plans by asset category, are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2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2015 Target</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 Category</w:t>
            </w: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Equity securities</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Real estate</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Global balanced asset allocation funds</w:t>
            </w: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Kodak’s asset allocations by level within the fair value hierarchy at December 31, 2015 and 2014 are presented in the tables below for Kodak’s major defined benefit plans. Kodak’s plan assets are accounted for at fair value and are classified within the fair value hierarchy based on the lowest level of input that is significant to the fair value measurement, with the exception of investments for which fair value is measured using the net asset value per share expedient. Kodak’s assessment of the significance of a particular input to the fair value measurement requires judgment, and may affect the valuation of fair value of assets and their placement within the fair value hierarchy levels.</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Assets not utilizing the net asset value per share expedient are valued as follows: Equity and debt securities traded on an active market are valued using a market approach based on the closing price on the last business day of the year. Real estate investments are valued primarily based on independent appraisals and discounted cash flow models, taking into consideration discount rates and local market conditions. Cash and cash equivalents are valued utilizing cost approach valuation techniques. Other investments are valued using a combination of market, income, and cost approaches, based on the nature of the investment.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 For investments with lagged pricing, Kodak uses the available net asset values, and also considers expected return, subsequent cash flows and relevant material events.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74"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 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w w:val="87"/>
              </w:rPr>
              <w:t>U.S.</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54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Significant</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in Active</w:t>
            </w:r>
          </w:p>
        </w:tc>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Measured at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NAV</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24"/>
                <w:szCs w:val="24"/>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Government Bonds</w:t>
            </w:r>
          </w:p>
        </w:tc>
        <w:tc>
          <w:tcPr>
            <w:tcW w:w="100" w:type="dxa"/>
            <w:vAlign w:val="bottom"/>
          </w:tcPr>
          <w:p>
            <w:pPr>
              <w:spacing w:after="0"/>
              <w:rPr>
                <w:sz w:val="18"/>
                <w:szCs w:val="18"/>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Grade Bonds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00" w:type="dxa"/>
            <w:vAlign w:val="bottom"/>
          </w:tcPr>
          <w:p>
            <w:pPr>
              <w:spacing w:after="0"/>
              <w:rPr>
                <w:sz w:val="24"/>
                <w:szCs w:val="24"/>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Absolute Return</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Private Equity</w:t>
            </w:r>
          </w:p>
        </w:tc>
        <w:tc>
          <w:tcPr>
            <w:tcW w:w="100" w:type="dxa"/>
            <w:vAlign w:val="bottom"/>
          </w:tcPr>
          <w:p>
            <w:pPr>
              <w:spacing w:after="0"/>
              <w:rPr>
                <w:sz w:val="18"/>
                <w:szCs w:val="18"/>
                <w:color w:val="auto"/>
              </w:rPr>
            </w:pP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Derivatives with unrealized gains</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5"/>
                <w:szCs w:val="15"/>
                <w:color w:val="auto"/>
                <w:w w:val="71"/>
              </w:rPr>
              <w:t>7</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382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Major 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U.S.</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46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89"/>
              </w:rPr>
              <w:t>Significant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Identical</w:t>
            </w: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2"/>
                <w:szCs w:val="12"/>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Measured at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5"/>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NAV</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Government Bonds</w:t>
            </w: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Grade Bonds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Absolute Return</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Private Equity</w:t>
            </w:r>
          </w:p>
        </w:tc>
        <w:tc>
          <w:tcPr>
            <w:tcW w:w="14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Derivatives with unrealized gains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442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Kodak’s major U.S. defined benefit pension plans, equity investments are invested broadly in U.S. equity, developed international equity, and emerging markets. Fixed income investments are comprised primarily of long duration U.S. Treasuries and investment-grade corporate bonds. Real estate investments primarily include investments in limited partnerships that invest in office, industrial, retail and apartment properties. Private equity investments are primarily comprised of limited partnerships and fund-of-fund investments that invest in distressed investments, venture capital, leveraged buyouts and special situations. Natural resource investments in oil and gas partnerships and timber funds are also included in this category. Absolute return investments are comprised of a diversified portfolio of hedge funds using equity, debt, commodity, and currency strategies held separate from the derivative-linked hedge funds described later in this footnote.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 Non-U.S.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Non - U.S.</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1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Significant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9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3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Measured 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3"/>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NAV</w:t>
            </w:r>
          </w:p>
        </w:tc>
        <w:tc>
          <w:tcPr>
            <w:tcW w:w="2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Government Bonds</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Inflation-Linked Bonds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Investment Grade Bonds</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High Yield &amp; Emerging Market Debt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Absolute Return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Contracts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Derivatives with unrealized gains</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Derivatives with unrealized losses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407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94"/>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Major Non-U.S.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Non - U.S.</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180" w:type="dxa"/>
            <w:vAlign w:val="bottom"/>
            <w:gridSpan w:val="4"/>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60" w:type="dxa"/>
            <w:vAlign w:val="bottom"/>
          </w:tcPr>
          <w:p>
            <w:pPr>
              <w:spacing w:after="0"/>
              <w:rPr>
                <w:sz w:val="12"/>
                <w:szCs w:val="12"/>
                <w:color w:val="auto"/>
              </w:rPr>
            </w:pPr>
          </w:p>
        </w:tc>
        <w:tc>
          <w:tcPr>
            <w:tcW w:w="9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4"/>
              </w:rPr>
              <w:t>Significant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Significant</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3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Measured at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Inputs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133"/>
              <w:spacing w:after="0" w:line="149" w:lineRule="exact"/>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4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0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73"/>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NAV</w:t>
            </w:r>
          </w:p>
        </w:tc>
        <w:tc>
          <w:tcPr>
            <w:tcW w:w="2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center"/>
              <w:ind w:left="554"/>
              <w:spacing w:after="0"/>
              <w:rPr>
                <w:sz w:val="20"/>
                <w:szCs w:val="20"/>
                <w:color w:val="auto"/>
              </w:rPr>
            </w:pPr>
            <w:r>
              <w:rPr>
                <w:rFonts w:ascii="Arial" w:cs="Arial" w:eastAsia="Arial" w:hAnsi="Arial"/>
                <w:sz w:val="18"/>
                <w:szCs w:val="18"/>
                <w:color w:val="auto"/>
                <w:w w:val="79"/>
              </w:rPr>
              <w:t>4</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20" w:type="dxa"/>
            <w:vAlign w:val="bottom"/>
          </w:tcPr>
          <w:p>
            <w:pPr>
              <w:spacing w:after="0"/>
              <w:rPr>
                <w:sz w:val="24"/>
                <w:szCs w:val="24"/>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Government Bonds</w:t>
            </w:r>
          </w:p>
        </w:tc>
        <w:tc>
          <w:tcPr>
            <w:tcW w:w="12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Inflation-Linked Bonds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Investment Grade Bonds</w:t>
            </w:r>
          </w:p>
        </w:tc>
        <w:tc>
          <w:tcPr>
            <w:tcW w:w="12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Global High Yield &amp; Emerging Market Debt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4"/>
                <w:szCs w:val="24"/>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Global Balanced Asset Allocation Funds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24"/>
        </w:trPr>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Absolute Return</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8"/>
                <w:szCs w:val="18"/>
                <w:color w:val="auto"/>
              </w:rPr>
            </w:pP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Insurance Contracts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Derivatives with unrealized gains</w:t>
            </w:r>
          </w:p>
        </w:tc>
        <w:tc>
          <w:tcPr>
            <w:tcW w:w="120" w:type="dxa"/>
            <w:vAlign w:val="bottom"/>
          </w:tcPr>
          <w:p>
            <w:pPr>
              <w:spacing w:after="0"/>
              <w:rPr>
                <w:sz w:val="18"/>
                <w:szCs w:val="18"/>
                <w:color w:val="auto"/>
              </w:rPr>
            </w:pPr>
          </w:p>
        </w:tc>
        <w:tc>
          <w:tcPr>
            <w:tcW w:w="760" w:type="dxa"/>
            <w:vAlign w:val="bottom"/>
            <w:gridSpan w:val="2"/>
          </w:tcPr>
          <w:p>
            <w:pPr>
              <w:jc w:val="center"/>
              <w:ind w:left="554"/>
              <w:spacing w:after="0"/>
              <w:rPr>
                <w:sz w:val="20"/>
                <w:szCs w:val="20"/>
                <w:color w:val="auto"/>
              </w:rPr>
            </w:pPr>
            <w:r>
              <w:rPr>
                <w:rFonts w:ascii="Arial" w:cs="Arial" w:eastAsia="Arial" w:hAnsi="Arial"/>
                <w:sz w:val="18"/>
                <w:szCs w:val="18"/>
                <w:color w:val="auto"/>
                <w:w w:val="79"/>
              </w:rPr>
              <w:t>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Derivatives with unrealized losses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center"/>
              <w:ind w:left="254"/>
              <w:spacing w:after="0"/>
              <w:rPr>
                <w:sz w:val="20"/>
                <w:szCs w:val="20"/>
                <w:color w:val="auto"/>
              </w:rPr>
            </w:pPr>
            <w:r>
              <w:rPr>
                <w:rFonts w:ascii="Arial" w:cs="Arial" w:eastAsia="Arial" w:hAnsi="Arial"/>
                <w:sz w:val="18"/>
                <w:szCs w:val="18"/>
                <w:color w:val="auto"/>
                <w:w w:val="90"/>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center"/>
              <w:ind w:left="574"/>
              <w:spacing w:after="0"/>
              <w:rPr>
                <w:sz w:val="20"/>
                <w:szCs w:val="20"/>
                <w:color w:val="auto"/>
              </w:rPr>
            </w:pPr>
            <w:r>
              <w:rPr>
                <w:rFonts w:ascii="Arial" w:cs="Arial" w:eastAsia="Arial" w:hAnsi="Arial"/>
                <w:sz w:val="18"/>
                <w:szCs w:val="18"/>
                <w:color w:val="auto"/>
                <w:w w:val="79"/>
              </w:rPr>
              <w:t>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Private equity investments are comprised of limited partnerships and fund-of-fund investments that invest in distressed investments, venture capital and leveraged buyouts. Absolute return investments are comprised of a diversified portfolio of hedge funds using equity, debt, commodity, and currency strategies held separate from the derivative-linked hedge funds described later in this footnote.</w:t>
      </w:r>
    </w:p>
    <w:p>
      <w:pPr>
        <w:spacing w:after="0" w:line="1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Kodak’s major defined benefit pension plans, certain investment managers are authorized to invest in derivatives such as futures, swaps, and currency forward contracts. Investments in derivatives are used to obtain desired exposure to a particular asset, index or bond duration and require only a portion of the total exposure to be invested as cash collateral. In instances where exposures are obtained via derivatives, the majority of the exposure value is available to be invested, and is typically invested, in a diversified portfolio of hedge fund strategies that generate returns in addition to the return generated by the derivatives. Of the December 31, 2015 investments shown in the major U.S. plans table above, 10% of the total pension assets represented equity securities exposure obtained via derivatives and are reported in equity securities, and 24% of the total pension assets represented U.S. government bond exposure, at 18 years target duration, obtained via derivatives and are reported in government bonds. Of the December 31, 2014 major U.S. plans investments, 9% and 25% of the total pension assets represented exposures to equity securities and U.S. government bonds (at 18 years target duration), respectively, obtained from the use of derivatives, and are reported in those respective classes.</w:t>
      </w:r>
    </w:p>
    <w:p>
      <w:pPr>
        <w:spacing w:after="0" w:line="182" w:lineRule="exact"/>
        <w:rPr>
          <w:sz w:val="20"/>
          <w:szCs w:val="20"/>
          <w:color w:val="auto"/>
        </w:rPr>
      </w:pPr>
    </w:p>
    <w:p>
      <w:pPr>
        <w:ind w:right="520"/>
        <w:spacing w:after="0" w:line="302" w:lineRule="auto"/>
        <w:rPr>
          <w:sz w:val="20"/>
          <w:szCs w:val="20"/>
          <w:color w:val="auto"/>
        </w:rPr>
      </w:pPr>
      <w:r>
        <w:rPr>
          <w:rFonts w:ascii="Arial" w:cs="Arial" w:eastAsia="Arial" w:hAnsi="Arial"/>
          <w:sz w:val="16"/>
          <w:szCs w:val="16"/>
          <w:color w:val="auto"/>
        </w:rPr>
        <w:t>Of the December 31, 2015 investments shown in the major Non-U.S. plans table above, 0% and 12% of the total pension assets represented derivatives exposures to equity securities and government bonds (at 13 years target duration), respectively, and are reported in those respective classes. Of the December 31, 2014 major Non-U.S. total pension investments, 1% and 9% of the total pension assets represented exposures to equity securities and government bonds (at 25 years target duration), respectively, obtained from the use of derivatives, and are reported in those respective classes.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reconciliation of the beginning and ending balances of level 3 assets of Kodak’s major U.S. defined benefit pension plans: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(in millions)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Realized and</w:t>
            </w:r>
          </w:p>
        </w:tc>
        <w:tc>
          <w:tcPr>
            <w:tcW w:w="10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10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Transfer</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Into/(Out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January 1, 2015</w:t>
            </w:r>
          </w:p>
        </w:tc>
        <w:tc>
          <w:tcPr>
            <w:tcW w:w="14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and Sales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14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Net Realized and</w:t>
            </w:r>
          </w:p>
        </w:tc>
        <w:tc>
          <w:tcPr>
            <w:tcW w:w="100" w:type="dxa"/>
            <w:vAlign w:val="bottom"/>
          </w:tcPr>
          <w:p>
            <w:pPr>
              <w:spacing w:after="0"/>
              <w:rPr>
                <w:sz w:val="10"/>
                <w:szCs w:val="10"/>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Purchases</w:t>
            </w:r>
          </w:p>
        </w:tc>
        <w:tc>
          <w:tcPr>
            <w:tcW w:w="10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Transfer</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Into/(Out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January 1, 2014</w:t>
            </w:r>
          </w:p>
        </w:tc>
        <w:tc>
          <w:tcPr>
            <w:tcW w:w="140" w:type="dxa"/>
            <w:vAlign w:val="bottom"/>
          </w:tcPr>
          <w:p>
            <w:pPr>
              <w:spacing w:after="0"/>
              <w:rPr>
                <w:sz w:val="14"/>
                <w:szCs w:val="14"/>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and Sales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4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Kodak expects to contribute $4 million in 2016 for the major Non-U.S. defined benefit pension plans and does not expect to make a contribution to KRIP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pension benefit payments, which reflect expected future service, are expected to be paid: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520" w:type="dxa"/>
            <w:vAlign w:val="bottom"/>
          </w:tcPr>
          <w:p>
            <w:pPr>
              <w:spacing w:after="0"/>
              <w:rPr>
                <w:sz w:val="20"/>
                <w:szCs w:val="20"/>
                <w:color w:val="auto"/>
              </w:rPr>
            </w:pPr>
            <w:r>
              <w:rPr>
                <w:rFonts w:ascii="Arial" w:cs="Arial" w:eastAsia="Arial" w:hAnsi="Arial"/>
                <w:sz w:val="14"/>
                <w:szCs w:val="14"/>
                <w:color w:val="auto"/>
              </w:rPr>
              <w:t>(in millions)</w:t>
            </w:r>
          </w:p>
        </w:tc>
        <w:tc>
          <w:tcPr>
            <w:tcW w:w="434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U.S.</w:t>
            </w:r>
          </w:p>
        </w:tc>
        <w:tc>
          <w:tcPr>
            <w:tcW w:w="1320" w:type="dxa"/>
            <w:vAlign w:val="bottom"/>
            <w:gridSpan w:val="4"/>
          </w:tcPr>
          <w:p>
            <w:pPr>
              <w:ind w:left="660"/>
              <w:spacing w:after="0"/>
              <w:rPr>
                <w:sz w:val="20"/>
                <w:szCs w:val="20"/>
                <w:color w:val="auto"/>
              </w:rPr>
            </w:pPr>
            <w:r>
              <w:rPr>
                <w:rFonts w:ascii="Arial" w:cs="Arial" w:eastAsia="Arial" w:hAnsi="Arial"/>
                <w:sz w:val="14"/>
                <w:szCs w:val="14"/>
                <w:b w:val="1"/>
                <w:bCs w:val="1"/>
                <w:color w:val="auto"/>
              </w:rPr>
              <w:t>Non-U.S.</w:t>
            </w:r>
          </w:p>
        </w:tc>
      </w:tr>
      <w:tr>
        <w:trPr>
          <w:trHeight w:val="210"/>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4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357</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2017</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2019</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2021-2025</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1,401</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r>
      <w:tr>
        <w:trPr>
          <w:trHeight w:val="350"/>
        </w:trPr>
        <w:tc>
          <w:tcPr>
            <w:tcW w:w="2520" w:type="dxa"/>
            <w:vAlign w:val="bottom"/>
          </w:tcPr>
          <w:p>
            <w:pPr>
              <w:spacing w:after="0"/>
              <w:rPr>
                <w:sz w:val="24"/>
                <w:szCs w:val="24"/>
                <w:color w:val="auto"/>
              </w:rPr>
            </w:pPr>
          </w:p>
        </w:tc>
        <w:tc>
          <w:tcPr>
            <w:tcW w:w="4340" w:type="dxa"/>
            <w:vAlign w:val="bottom"/>
          </w:tcPr>
          <w:p>
            <w:pPr>
              <w:jc w:val="right"/>
              <w:ind w:right="2350"/>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8" w:name="page49"/>
    <w:bookmarkEnd w:id="4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 17:</w:t>
        <w:tab/>
        <w:t>OTHER POSTRETIREMENT BENEFITS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provided U.S. medical, dental, life insurance, and survivor income benefits to eligible retirees, long-term disability recipients and their spouses, dependents and survivors. Generally, to be eligible for these benefits, former employees leaving the Company prior to January 1, 1996 were required to be 55 years of age with ten years of service or their age plus years of service must have equaled or exceeded 75. For those leaving the Company after December 31, 1995, former employees were required to be 55 years of age with ten years of service or have been eligible as of December 31, 1995. These benefits are paid from the general assets of the Company as they are incurred.</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Company’s subsidiaries in Canada and the U.K. offer similar postretirement benefits. Information on the U.S., Canada and U.K. other postretirement plans is presented below.</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November 7, 2012, the Bankruptcy Court entered an order approving a settlement agreement between the Debtors and the Retiree Committee appointed by the U.S. Trustee which eliminated or reduced certain retiree benefits under the U.S. plan. The Company also eliminated all postretirement benefits for active employees in the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date used to determine the net benefit obligation for Kodak’s other postretirement benefit plans is December 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Kodak’s benefit obligation and funded status were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71"/>
        </w:trPr>
        <w:tc>
          <w:tcPr>
            <w:tcW w:w="65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benefit obligation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Actuarial (gain)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Currency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benefit obligation at end of period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20" w:type="dxa"/>
            <w:vAlign w:val="bottom"/>
            <w:gridSpan w:val="2"/>
          </w:tcPr>
          <w:p>
            <w:pPr>
              <w:spacing w:after="0"/>
              <w:rPr>
                <w:sz w:val="20"/>
                <w:szCs w:val="20"/>
                <w:color w:val="auto"/>
              </w:rPr>
            </w:pPr>
            <w:r>
              <w:rPr>
                <w:rFonts w:ascii="Arial" w:cs="Arial" w:eastAsia="Arial" w:hAnsi="Arial"/>
                <w:sz w:val="18"/>
                <w:szCs w:val="18"/>
                <w:color w:val="auto"/>
              </w:rPr>
              <w:t>Underfunded status at end of period</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Statement of Financial Position consist of:</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7240" w:type="dxa"/>
            <w:vAlign w:val="bottom"/>
            <w:gridSpan w:val="2"/>
          </w:tcPr>
          <w:p>
            <w:pPr>
              <w:ind w:left="138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6"/>
          </w:tcPr>
          <w:p>
            <w:pPr>
              <w:jc w:val="right"/>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86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0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Pension and other postretirement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ind w:left="10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(78)</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Accumulated other comprehensive loss consist of:</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8"/>
          </w:tcPr>
          <w:p>
            <w:pPr>
              <w:jc w:val="right"/>
              <w:ind w:right="28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7240" w:type="dxa"/>
            <w:vAlign w:val="bottom"/>
            <w:gridSpan w:val="2"/>
          </w:tcPr>
          <w:p>
            <w:pPr>
              <w:ind w:left="138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5"/>
          </w:tcPr>
          <w:p>
            <w:pPr>
              <w:ind w:left="50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74"/>
              </w:rPr>
              <w:t>(8</w:t>
            </w:r>
          </w:p>
        </w:tc>
        <w:tc>
          <w:tcPr>
            <w:tcW w:w="1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ind w:left="1380"/>
              <w:spacing w:after="0"/>
              <w:rPr>
                <w:sz w:val="20"/>
                <w:szCs w:val="20"/>
                <w:color w:val="auto"/>
              </w:rPr>
            </w:pPr>
            <w:r>
              <w:rPr>
                <w:rFonts w:ascii="Arial" w:cs="Arial" w:eastAsia="Arial" w:hAnsi="Arial"/>
                <w:sz w:val="18"/>
                <w:szCs w:val="18"/>
                <w:color w:val="auto"/>
              </w:rPr>
              <w:t>Total recorded in Accumulated other comprehensive income</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4"/>
              </w:rPr>
              <w:t>(8</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w w:val="99"/>
              </w:rPr>
              <w:t>Changes in benefit obligations recognized in Other comprehensive (loss) income consist of:</w:t>
            </w: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12"/>
          </w:tcPr>
          <w:p>
            <w:pPr>
              <w:jc w:val="right"/>
              <w:ind w:right="36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71"/>
        </w:trPr>
        <w:tc>
          <w:tcPr>
            <w:tcW w:w="7240" w:type="dxa"/>
            <w:vAlign w:val="bottom"/>
            <w:gridSpan w:val="2"/>
          </w:tcPr>
          <w:p>
            <w:pPr>
              <w:ind w:left="138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Newly established loss</w:t>
            </w:r>
          </w:p>
        </w:tc>
        <w:tc>
          <w:tcPr>
            <w:tcW w:w="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86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1380"/>
              <w:spacing w:after="0"/>
              <w:rPr>
                <w:sz w:val="20"/>
                <w:szCs w:val="20"/>
                <w:color w:val="auto"/>
              </w:rPr>
            </w:pPr>
            <w:r>
              <w:rPr>
                <w:rFonts w:ascii="Arial" w:cs="Arial" w:eastAsia="Arial" w:hAnsi="Arial"/>
                <w:sz w:val="18"/>
                <w:szCs w:val="18"/>
                <w:color w:val="auto"/>
              </w:rPr>
              <w:t>Total loss recognized in Other comprehensive (loss) income</w:t>
            </w:r>
          </w:p>
        </w:tc>
        <w:tc>
          <w:tcPr>
            <w:tcW w:w="6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gridSpan w:val="2"/>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562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postretirement benefit cost included: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180" w:type="dxa"/>
            <w:vAlign w:val="bottom"/>
            <w:tcBorders>
              <w:top w:val="single" w:sz="8" w:color="auto"/>
            </w:tcBorders>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84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w w:val="99"/>
              </w:rPr>
              <w:t>Four Months</w:t>
            </w:r>
          </w:p>
        </w:tc>
        <w:tc>
          <w:tcPr>
            <w:tcW w:w="4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4"/>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4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620" w:type="dxa"/>
            <w:vAlign w:val="bottom"/>
            <w:gridSpan w:val="3"/>
          </w:tcPr>
          <w:p>
            <w:pPr>
              <w:ind w:left="460"/>
              <w:spacing w:after="0"/>
              <w:rPr>
                <w:sz w:val="20"/>
                <w:szCs w:val="20"/>
                <w:color w:val="auto"/>
              </w:rPr>
            </w:pPr>
            <w:r>
              <w:rPr>
                <w:rFonts w:ascii="Arial" w:cs="Arial" w:eastAsia="Arial" w:hAnsi="Arial"/>
                <w:sz w:val="14"/>
                <w:szCs w:val="14"/>
                <w:color w:val="auto"/>
              </w:rPr>
              <w:t>(in millions)</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rPr>
                <w:sz w:val="7"/>
                <w:szCs w:val="7"/>
                <w:color w:val="auto"/>
              </w:rPr>
            </w:pPr>
          </w:p>
        </w:tc>
        <w:tc>
          <w:tcPr>
            <w:tcW w:w="920" w:type="dxa"/>
            <w:vAlign w:val="bottom"/>
          </w:tcPr>
          <w:p>
            <w:pPr>
              <w:spacing w:after="0"/>
              <w:rPr>
                <w:sz w:val="7"/>
                <w:szCs w:val="7"/>
                <w:color w:val="auto"/>
              </w:rPr>
            </w:pPr>
          </w:p>
        </w:tc>
        <w:tc>
          <w:tcPr>
            <w:tcW w:w="3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of net postretirement benefit cost:</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800" w:type="dxa"/>
            <w:vAlign w:val="bottom"/>
            <w:gridSpan w:val="3"/>
          </w:tcPr>
          <w:p>
            <w:pPr>
              <w:jc w:val="center"/>
              <w:ind w:right="22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spacing w:after="0"/>
              <w:rPr>
                <w:sz w:val="18"/>
                <w:szCs w:val="18"/>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436"/>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Amortization of:</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Prior service credit</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color w:val="auto"/>
              </w:rPr>
              <w:t>Actuarial loss</w:t>
            </w: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ind w:left="4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ind w:left="3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postretirement benefit cost (income) from continuing operations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center"/>
              <w:ind w:left="436"/>
              <w:spacing w:after="0"/>
              <w:rPr>
                <w:sz w:val="20"/>
                <w:szCs w:val="20"/>
                <w:color w:val="auto"/>
              </w:rPr>
            </w:pPr>
            <w:r>
              <w:rPr>
                <w:rFonts w:ascii="Arial" w:cs="Arial" w:eastAsia="Arial" w:hAnsi="Arial"/>
                <w:sz w:val="18"/>
                <w:szCs w:val="18"/>
                <w:color w:val="auto"/>
                <w:w w:val="79"/>
              </w:rPr>
              <w:t>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0"/>
        </w:trPr>
        <w:tc>
          <w:tcPr>
            <w:tcW w:w="1380" w:type="dxa"/>
            <w:vAlign w:val="bottom"/>
            <w:gridSpan w:val="2"/>
          </w:tcPr>
          <w:p>
            <w:pPr>
              <w:spacing w:after="0"/>
              <w:rPr>
                <w:sz w:val="3"/>
                <w:szCs w:val="3"/>
                <w:color w:val="auto"/>
              </w:rPr>
            </w:pPr>
          </w:p>
        </w:tc>
        <w:tc>
          <w:tcPr>
            <w:tcW w:w="4080" w:type="dxa"/>
            <w:vAlign w:val="bottom"/>
            <w:gridSpan w:val="2"/>
          </w:tcPr>
          <w:p>
            <w:pPr>
              <w:spacing w:after="0"/>
              <w:rPr>
                <w:sz w:val="3"/>
                <w:szCs w:val="3"/>
                <w:color w:val="auto"/>
              </w:rPr>
            </w:pPr>
          </w:p>
        </w:tc>
        <w:tc>
          <w:tcPr>
            <w:tcW w:w="740" w:type="dxa"/>
            <w:vAlign w:val="bottom"/>
            <w:gridSpan w:val="2"/>
          </w:tcPr>
          <w:p>
            <w:pPr>
              <w:spacing w:after="0"/>
              <w:rPr>
                <w:sz w:val="3"/>
                <w:szCs w:val="3"/>
                <w:color w:val="auto"/>
              </w:rPr>
            </w:pPr>
          </w:p>
        </w:tc>
        <w:tc>
          <w:tcPr>
            <w:tcW w:w="820" w:type="dxa"/>
            <w:vAlign w:val="bottom"/>
            <w:tcBorders>
              <w:top w:val="single" w:sz="8" w:color="auto"/>
              <w:bottom w:val="single" w:sz="8" w:color="auto"/>
            </w:tcBorders>
            <w:gridSpan w:val="2"/>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7360" w:type="dxa"/>
            <w:vAlign w:val="bottom"/>
            <w:gridSpan w:val="10"/>
          </w:tcPr>
          <w:p>
            <w:pPr>
              <w:spacing w:after="0"/>
              <w:rPr>
                <w:sz w:val="20"/>
                <w:szCs w:val="20"/>
                <w:color w:val="auto"/>
              </w:rPr>
            </w:pPr>
            <w:r>
              <w:rPr>
                <w:rFonts w:ascii="Arial" w:cs="Arial" w:eastAsia="Arial" w:hAnsi="Arial"/>
                <w:sz w:val="18"/>
                <w:szCs w:val="18"/>
                <w:color w:val="auto"/>
                <w:w w:val="94"/>
              </w:rPr>
              <w:t>The weighted-average assumptions used to determine the net benefit obligations were as follows: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12"/>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ind w:left="40"/>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3.60%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Salary increase rate</w:t>
            </w: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4"/>
          </w:tcPr>
          <w:p>
            <w:pPr>
              <w:ind w:left="52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40" w:type="dxa"/>
            <w:vAlign w:val="bottom"/>
            <w:gridSpan w:val="15"/>
          </w:tcPr>
          <w:p>
            <w:pPr>
              <w:spacing w:after="0"/>
              <w:rPr>
                <w:sz w:val="20"/>
                <w:szCs w:val="20"/>
                <w:color w:val="auto"/>
              </w:rPr>
            </w:pPr>
            <w:r>
              <w:rPr>
                <w:rFonts w:ascii="Arial" w:cs="Arial" w:eastAsia="Arial" w:hAnsi="Arial"/>
                <w:sz w:val="18"/>
                <w:szCs w:val="18"/>
                <w:color w:val="auto"/>
              </w:rPr>
              <w:t>The weighted-average assumptions used to determine the net postretirement benefit cost were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560" w:type="dxa"/>
            <w:vAlign w:val="bottom"/>
            <w:tcBorders>
              <w:top w:val="single" w:sz="8" w:color="auto"/>
            </w:tcBorders>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vMerge w:val="restart"/>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4"/>
          </w:tcPr>
          <w:p>
            <w:pPr>
              <w:jc w:val="center"/>
              <w:spacing w:after="0" w:line="119" w:lineRule="exact"/>
              <w:rPr>
                <w:sz w:val="20"/>
                <w:szCs w:val="20"/>
                <w:color w:val="auto"/>
              </w:rPr>
            </w:pPr>
            <w:r>
              <w:rPr>
                <w:rFonts w:ascii="Arial" w:cs="Arial" w:eastAsia="Arial" w:hAnsi="Arial"/>
                <w:sz w:val="13"/>
                <w:szCs w:val="13"/>
                <w:b w:val="1"/>
                <w:bCs w:val="1"/>
                <w:color w:val="auto"/>
              </w:rPr>
              <w:t>Four Months</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August 31,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7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center"/>
              <w:ind w:left="180"/>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right w:val="single" w:sz="8" w:color="auto"/>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Salary increase rate</w:t>
            </w: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260" w:type="dxa"/>
            <w:vAlign w:val="bottom"/>
            <w:gridSpan w:val="6"/>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assumed healthcare cost trend rates used to compute the other postretirement amounts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1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Healthcare cost trend</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4.21%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Year that the rate reaches the ultimate trend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2022</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2021</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Assumed healthcare cost trend rates effect the amounts reported for the healthcare plans. A one-percentage point change in assumed healthcare cost trend rates would have the following effects: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640" w:type="dxa"/>
            <w:vAlign w:val="bottom"/>
          </w:tcPr>
          <w:p>
            <w:pPr>
              <w:spacing w:after="0"/>
              <w:rPr>
                <w:sz w:val="20"/>
                <w:szCs w:val="20"/>
                <w:color w:val="auto"/>
              </w:rPr>
            </w:pPr>
            <w:r>
              <w:rPr>
                <w:rFonts w:ascii="Arial" w:cs="Arial" w:eastAsia="Arial" w:hAnsi="Arial"/>
                <w:sz w:val="14"/>
                <w:szCs w:val="14"/>
                <w:color w:val="auto"/>
              </w:rPr>
              <w:t>(in millions)</w:t>
            </w:r>
          </w:p>
        </w:tc>
        <w:tc>
          <w:tcPr>
            <w:tcW w:w="2320" w:type="dxa"/>
            <w:vAlign w:val="bottom"/>
            <w:gridSpan w:val="3"/>
          </w:tcPr>
          <w:p>
            <w:pPr>
              <w:ind w:left="1560"/>
              <w:spacing w:after="0"/>
              <w:rPr>
                <w:sz w:val="20"/>
                <w:szCs w:val="20"/>
                <w:color w:val="auto"/>
              </w:rPr>
            </w:pPr>
            <w:r>
              <w:rPr>
                <w:rFonts w:ascii="Arial" w:cs="Arial" w:eastAsia="Arial" w:hAnsi="Arial"/>
                <w:sz w:val="14"/>
                <w:szCs w:val="14"/>
                <w:b w:val="1"/>
                <w:bCs w:val="1"/>
                <w:color w:val="auto"/>
                <w:w w:val="91"/>
              </w:rPr>
              <w:t>1% increase</w:t>
            </w:r>
          </w:p>
        </w:tc>
        <w:tc>
          <w:tcPr>
            <w:tcW w:w="1720" w:type="dxa"/>
            <w:vAlign w:val="bottom"/>
            <w:gridSpan w:val="4"/>
          </w:tcPr>
          <w:p>
            <w:pPr>
              <w:ind w:left="820"/>
              <w:spacing w:after="0"/>
              <w:rPr>
                <w:sz w:val="20"/>
                <w:szCs w:val="20"/>
                <w:color w:val="auto"/>
              </w:rPr>
            </w:pPr>
            <w:r>
              <w:rPr>
                <w:rFonts w:ascii="Arial" w:cs="Arial" w:eastAsia="Arial" w:hAnsi="Arial"/>
                <w:sz w:val="14"/>
                <w:szCs w:val="14"/>
                <w:b w:val="1"/>
                <w:bCs w:val="1"/>
                <w:color w:val="auto"/>
              </w:rPr>
              <w:t>1% decrease</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on total service and interest cost</w:t>
            </w:r>
          </w:p>
        </w:tc>
        <w:tc>
          <w:tcPr>
            <w:tcW w:w="1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Kodak expects to make benefit payments of $5 million to these postretirement benefit plans in 2016.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60"/>
          </w:cols>
          <w:pgMar w:left="240" w:top="274" w:right="59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other postretirement benefits, which reflect expected future service, are expected to be paid:</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080" w:type="dxa"/>
            <w:vAlign w:val="bottom"/>
          </w:tcPr>
          <w:p>
            <w:pPr>
              <w:spacing w:after="0"/>
              <w:rPr>
                <w:sz w:val="20"/>
                <w:szCs w:val="20"/>
                <w:color w:val="auto"/>
              </w:rPr>
            </w:pPr>
            <w:r>
              <w:rPr>
                <w:rFonts w:ascii="Arial" w:cs="Arial" w:eastAsia="Arial" w:hAnsi="Arial"/>
                <w:sz w:val="14"/>
                <w:szCs w:val="14"/>
                <w:color w:val="auto"/>
              </w:rPr>
              <w:t>(in millions)</w:t>
            </w:r>
          </w:p>
        </w:tc>
        <w:tc>
          <w:tcPr>
            <w:tcW w:w="3680" w:type="dxa"/>
            <w:vAlign w:val="bottom"/>
          </w:tcPr>
          <w:p>
            <w:pPr>
              <w:spacing w:after="0"/>
              <w:rPr>
                <w:sz w:val="14"/>
                <w:szCs w:val="14"/>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2017</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2019</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2021-2025</w:t>
            </w:r>
          </w:p>
        </w:tc>
        <w:tc>
          <w:tcPr>
            <w:tcW w:w="3680" w:type="dxa"/>
            <w:vAlign w:val="bottom"/>
          </w:tcPr>
          <w:p>
            <w:pPr>
              <w:jc w:val="right"/>
              <w:ind w:right="10"/>
              <w:spacing w:after="0"/>
              <w:rPr>
                <w:sz w:val="20"/>
                <w:szCs w:val="20"/>
                <w:color w:val="auto"/>
              </w:rPr>
            </w:pPr>
            <w:r>
              <w:rPr>
                <w:rFonts w:ascii="Arial" w:cs="Arial" w:eastAsia="Arial" w:hAnsi="Arial"/>
                <w:sz w:val="18"/>
                <w:szCs w:val="18"/>
                <w:color w:val="auto"/>
              </w:rPr>
              <w:t>19</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EARNINGS PER SHARE</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 a result of the net loss from continuing operations for the years ended December 31, 2015 and December 31, 2014 and four months ended December 31, 2013, Kodak calculated diluted earnings per share using weighted-average basic shares outstanding for those periods. If Kodak had reported earnings from continuing operations for the years ended December 31, 2015 and December 31, 2014 and four months ended December 31, 2013, the following potential shares of its common stock would have been dilutive in the computation of diluted earnings per share:</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64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Four Months Ended</w:t>
            </w:r>
          </w:p>
        </w:tc>
      </w:tr>
      <w:tr>
        <w:trPr>
          <w:trHeight w:val="171"/>
        </w:trPr>
        <w:tc>
          <w:tcPr>
            <w:tcW w:w="4980" w:type="dxa"/>
            <w:vAlign w:val="bottom"/>
          </w:tcPr>
          <w:p>
            <w:pPr>
              <w:spacing w:after="0"/>
              <w:rPr>
                <w:sz w:val="20"/>
                <w:szCs w:val="20"/>
                <w:color w:val="auto"/>
              </w:rPr>
            </w:pPr>
            <w:r>
              <w:rPr>
                <w:rFonts w:ascii="Arial" w:cs="Arial" w:eastAsia="Arial" w:hAnsi="Arial"/>
                <w:sz w:val="14"/>
                <w:szCs w:val="14"/>
                <w:color w:val="auto"/>
              </w:rPr>
              <w:t>(in millions of shares)</w:t>
            </w: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December 31, 2015</w:t>
            </w:r>
          </w:p>
        </w:tc>
        <w:tc>
          <w:tcPr>
            <w:tcW w:w="16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December 31, 2014</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share-based awards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Warrants to purchase common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1.7</w:t>
            </w:r>
          </w:p>
        </w:tc>
      </w:tr>
      <w:tr>
        <w:trPr>
          <w:trHeight w:val="27"/>
        </w:trPr>
        <w:tc>
          <w:tcPr>
            <w:tcW w:w="49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1.9</w:t>
            </w:r>
          </w:p>
        </w:tc>
      </w:tr>
      <w:tr>
        <w:trPr>
          <w:trHeight w:val="20"/>
        </w:trPr>
        <w:tc>
          <w:tcPr>
            <w:tcW w:w="49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computation of diluted earnings per share for the years ended December 31, 2015 and December 31, 2014 also excluded 0.1 million shares associated with the assumed conversion of outstanding employee stock options because the effects would have been anti-dilutive. There were no employee stock options outstanding for the four months ended December 31, 2013.</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Predecessor Company reported earnings from continuing operations for the eight months ended August 31, 2013. However, the computation of diluted earnings per share for the eight months ended August 31, 2013 excluded the assumed conversion of outstanding employee stock options and detachable warrants to purchase common shares, and approximately $400 million of convertible senior notes due 2017 because the effects would have been anti-dilutive. The following table sets forth the total amount of outstanding employee stock options and detachable warrants to purchase common shares as of August 31, 2013:</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Eight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 of shares)</w:t>
            </w:r>
          </w:p>
        </w:tc>
        <w:tc>
          <w:tcPr>
            <w:tcW w:w="144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August 31, 2013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Detachable warrants to purchase common shares</w:t>
            </w:r>
          </w:p>
        </w:tc>
        <w:tc>
          <w:tcPr>
            <w:tcW w:w="144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STOCK-BASED COMPENSATION</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Kodak’s stock incentive plan is the 2013 Omnibus Incentive Plan (the “2013 Plan”). The 2013 Plan is administered by the Executive Compensation Committee of the Board of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274" w:right="279" w:bottom="1440" w:gutter="0" w:footer="0" w:header="0"/>
        </w:sectPr>
      </w:pPr>
    </w:p>
    <w:bookmarkStart w:id="51" w:name="page52"/>
    <w:bookmarkEnd w:id="51"/>
    <w:p>
      <w:pPr>
        <w:ind w:righ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Officers, directors and employees of the Company and its consolidated subsidiaries are eligible to receive awards. Stock options are generally non-qualified, are at exercise prices not less than 100% of the per share fair market value on the date of grant and expire seven years after the grant date. Stock-based compensation awards granted under Kodak’s stock incentive plan are generally subject to a three-year vesting period from the date of grant. Unless sooner terminated by the Executive Compensation Committee, no awards may be granted under the 2013 Plan after the tenth anniversary of the Effective Date.</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maximum number of shares of common stock that may be issued under the 2013 Plan is approximately 4.8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2.0 million shares. The maximum number of performance-based compensation awards that may be granted to any one employee under the 2013 Plan in any calendar year is 1.0 million shares or, in the event such award is paid in cash, $2.5 million. The maximum number of awards that may be granted to any non-employee director under the 2013 Plan in any calendar year may not exceed a number of awards with a grant date fair value of $900,000, computed as of the grant date.</w:t>
      </w:r>
    </w:p>
    <w:p>
      <w:pPr>
        <w:spacing w:after="0" w:line="16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units are payable in shares of the Company common stock upon vesting. The fair value is based on the closing market price of the Company’s stock on the grant date. Compensation cost related to restricted stock units was $7 million for the years ended December 31, 2015 and 2014 and $1 million for the four months ending December 31, 2013.</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2015, there was $6 million of unrecognized compensation cost related to restricted stock units. The cost is expected to be recognized over a weighted average period of 1.5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restricted stock unit activity for the year ended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4"/>
          </w:tcPr>
          <w:p>
            <w:pPr>
              <w:ind w:left="320"/>
              <w:spacing w:after="0"/>
              <w:rPr>
                <w:sz w:val="20"/>
                <w:szCs w:val="20"/>
                <w:color w:val="auto"/>
              </w:rPr>
            </w:pPr>
            <w:r>
              <w:rPr>
                <w:rFonts w:ascii="Arial" w:cs="Arial" w:eastAsia="Arial" w:hAnsi="Arial"/>
                <w:sz w:val="14"/>
                <w:szCs w:val="14"/>
                <w:b w:val="1"/>
                <w:bCs w:val="1"/>
                <w:color w:val="auto"/>
                <w:w w:val="99"/>
              </w:rPr>
              <w:t>Weighted-Average</w:t>
            </w: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840" w:type="dxa"/>
            <w:vAlign w:val="bottom"/>
            <w:gridSpan w:val="3"/>
          </w:tcPr>
          <w:p>
            <w:pPr>
              <w:jc w:val="center"/>
              <w:ind w:left="1256"/>
              <w:spacing w:after="0"/>
              <w:rPr>
                <w:sz w:val="20"/>
                <w:szCs w:val="20"/>
                <w:color w:val="auto"/>
              </w:rPr>
            </w:pPr>
            <w:r>
              <w:rPr>
                <w:rFonts w:ascii="Arial" w:cs="Arial" w:eastAsia="Arial" w:hAnsi="Arial"/>
                <w:sz w:val="14"/>
                <w:szCs w:val="14"/>
                <w:b w:val="1"/>
                <w:bCs w:val="1"/>
                <w:color w:val="auto"/>
                <w:w w:val="90"/>
              </w:rPr>
              <w:t>Stock Units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Values</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on December 31, 2014</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685,430</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387,187</w:t>
            </w:r>
          </w:p>
        </w:tc>
        <w:tc>
          <w:tcPr>
            <w:tcW w:w="38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(237,957)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74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(60,115)</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December 31, 2015</w:t>
            </w:r>
          </w:p>
        </w:tc>
        <w:tc>
          <w:tcPr>
            <w:tcW w:w="174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774,545</w:t>
            </w:r>
          </w:p>
        </w:tc>
        <w:tc>
          <w:tcPr>
            <w:tcW w:w="3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Weighted</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Under</w:t>
            </w:r>
          </w:p>
        </w:tc>
        <w:tc>
          <w:tcPr>
            <w:tcW w:w="3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1"/>
              </w:rPr>
              <w:t>Per Share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on December 31,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781,321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7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783,476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15.31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(44,002)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20.25</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Outstanding on December 31, 2015</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1,520,795</w:t>
            </w:r>
          </w:p>
        </w:tc>
        <w:tc>
          <w:tcPr>
            <w:tcW w:w="38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18.89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December 31, 2015</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273,205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22.61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Expected to vest December 31, 2015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1,247,590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18.08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was no intrinsic value of options outstanding and exercisable due to the fact that the market price of the Company’s common stock as of December 31, 2015 was below the weighted average exercise price of options. There were no options exercises in 2015.</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weighted average grant date fair value of options granted for the years ended December 31, 2015 and 2014 was $5.94 and $7.74, respectively. The total fair value of options that vested during the year ended December 31, 2015 was $2 million. No options vested during the year ended December 31, 2014 and no options were granted during the four months ended December 31, 2013. Compensation cost related to stock options for the years ended December 31, 2015 and 2014 was $4 million and $1 million,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52" w:name="page53"/>
    <w:bookmarkEnd w:id="52"/>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2015, there was $5 million of unrecognized compensation cost related to stock options. The cost is expected to be recognized over a weighted average period of 1.6 years.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fair value of each option award is estimated on the date of grant using the Black-Scholes option valuation model that uses the assumptions in the following table. Public trading of the Company’s common stock began on September 23, 2013, providing limited historical data upon which to base assumptions. The expected term of options granted is the period of time the options are expected to be outstanding and is calculated using a simplified method based on the option’s vesting period and original contractual term. The expected volatility was generally based on the historical volatility of a set of publicly-traded benchmark companies, taking into consideration the difference in leverage between the Company and the benchmark companies. The risk-free rate was based on the yield on U.S. Treasury notes with a term equal to the option’s expected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inputs were used for the valuation of option grants issued in each year:</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760" w:type="dxa"/>
            <w:vAlign w:val="bottom"/>
            <w:gridSpan w:val="3"/>
          </w:tcPr>
          <w:p>
            <w:pPr>
              <w:ind w:left="300"/>
              <w:spacing w:after="0"/>
              <w:rPr>
                <w:sz w:val="20"/>
                <w:szCs w:val="20"/>
                <w:color w:val="auto"/>
              </w:rPr>
            </w:pPr>
            <w:r>
              <w:rPr>
                <w:rFonts w:ascii="Arial" w:cs="Arial" w:eastAsia="Arial" w:hAnsi="Arial"/>
                <w:sz w:val="14"/>
                <w:szCs w:val="14"/>
                <w:b w:val="1"/>
                <w:bCs w:val="1"/>
                <w:color w:val="auto"/>
              </w:rPr>
              <w:t>For the Years Ended December 31,</w:t>
            </w:r>
          </w:p>
        </w:tc>
      </w:tr>
      <w:tr>
        <w:trPr>
          <w:trHeight w:val="171"/>
        </w:trPr>
        <w:tc>
          <w:tcPr>
            <w:tcW w:w="4660" w:type="dxa"/>
            <w:vAlign w:val="bottom"/>
          </w:tcPr>
          <w:p>
            <w:pPr>
              <w:spacing w:after="0"/>
              <w:rPr>
                <w:sz w:val="14"/>
                <w:szCs w:val="14"/>
                <w:color w:val="auto"/>
              </w:rPr>
            </w:pPr>
          </w:p>
        </w:tc>
        <w:tc>
          <w:tcPr>
            <w:tcW w:w="2340" w:type="dxa"/>
            <w:vAlign w:val="bottom"/>
            <w:gridSpan w:val="2"/>
          </w:tcPr>
          <w:p>
            <w:pPr>
              <w:jc w:val="center"/>
              <w:ind w:left="1173"/>
              <w:spacing w:after="0"/>
              <w:rPr>
                <w:sz w:val="20"/>
                <w:szCs w:val="20"/>
                <w:color w:val="auto"/>
              </w:rPr>
            </w:pPr>
            <w:r>
              <w:rPr>
                <w:rFonts w:ascii="Arial" w:cs="Arial" w:eastAsia="Arial" w:hAnsi="Arial"/>
                <w:sz w:val="14"/>
                <w:szCs w:val="14"/>
                <w:b w:val="1"/>
                <w:bCs w:val="1"/>
                <w:color w:val="auto"/>
                <w:w w:val="89"/>
              </w:rPr>
              <w:t>2015</w:t>
            </w:r>
          </w:p>
        </w:tc>
        <w:tc>
          <w:tcPr>
            <w:tcW w:w="1680" w:type="dxa"/>
            <w:vAlign w:val="bottom"/>
            <w:gridSpan w:val="2"/>
          </w:tcPr>
          <w:p>
            <w:pPr>
              <w:jc w:val="center"/>
              <w:ind w:left="493"/>
              <w:spacing w:after="0"/>
              <w:rPr>
                <w:sz w:val="20"/>
                <w:szCs w:val="20"/>
                <w:color w:val="auto"/>
              </w:rPr>
            </w:pPr>
            <w:r>
              <w:rPr>
                <w:rFonts w:ascii="Arial" w:cs="Arial" w:eastAsia="Arial" w:hAnsi="Arial"/>
                <w:sz w:val="14"/>
                <w:szCs w:val="14"/>
                <w:b w:val="1"/>
                <w:bCs w:val="1"/>
                <w:color w:val="auto"/>
                <w:w w:val="96"/>
              </w:rPr>
              <w:t>2014</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$5.94</w:t>
            </w:r>
          </w:p>
        </w:tc>
        <w:tc>
          <w:tcPr>
            <w:tcW w:w="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$7.74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2340" w:type="dxa"/>
            <w:vAlign w:val="bottom"/>
            <w:gridSpan w:val="2"/>
          </w:tcPr>
          <w:p>
            <w:pPr>
              <w:jc w:val="center"/>
              <w:ind w:left="1153"/>
              <w:spacing w:after="0"/>
              <w:rPr>
                <w:sz w:val="20"/>
                <w:szCs w:val="20"/>
                <w:color w:val="auto"/>
              </w:rPr>
            </w:pPr>
            <w:r>
              <w:rPr>
                <w:rFonts w:ascii="Arial" w:cs="Arial" w:eastAsia="Arial" w:hAnsi="Arial"/>
                <w:sz w:val="18"/>
                <w:szCs w:val="18"/>
                <w:color w:val="auto"/>
                <w:w w:val="90"/>
              </w:rPr>
              <w:t>1.46%</w:t>
            </w:r>
          </w:p>
        </w:tc>
        <w:tc>
          <w:tcPr>
            <w:tcW w:w="1680" w:type="dxa"/>
            <w:vAlign w:val="bottom"/>
            <w:gridSpan w:val="2"/>
          </w:tcPr>
          <w:p>
            <w:pPr>
              <w:jc w:val="center"/>
              <w:ind w:left="493"/>
              <w:spacing w:after="0"/>
              <w:rPr>
                <w:sz w:val="20"/>
                <w:szCs w:val="20"/>
                <w:color w:val="auto"/>
              </w:rPr>
            </w:pPr>
            <w:r>
              <w:rPr>
                <w:rFonts w:ascii="Arial" w:cs="Arial" w:eastAsia="Arial" w:hAnsi="Arial"/>
                <w:sz w:val="18"/>
                <w:szCs w:val="18"/>
                <w:color w:val="auto"/>
                <w:w w:val="90"/>
              </w:rPr>
              <w:t>1.46%</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Range of risk-free interest rates</w:t>
            </w:r>
          </w:p>
        </w:tc>
        <w:tc>
          <w:tcPr>
            <w:tcW w:w="2340" w:type="dxa"/>
            <w:vAlign w:val="bottom"/>
            <w:gridSpan w:val="2"/>
            <w:shd w:val="clear" w:color="auto" w:fill="CCEEFF"/>
          </w:tcPr>
          <w:p>
            <w:pPr>
              <w:jc w:val="center"/>
              <w:ind w:left="1173"/>
              <w:spacing w:after="0"/>
              <w:rPr>
                <w:sz w:val="20"/>
                <w:szCs w:val="20"/>
                <w:color w:val="auto"/>
              </w:rPr>
            </w:pPr>
            <w:r>
              <w:rPr>
                <w:rFonts w:ascii="Arial" w:cs="Arial" w:eastAsia="Arial" w:hAnsi="Arial"/>
                <w:sz w:val="18"/>
                <w:szCs w:val="18"/>
                <w:color w:val="auto"/>
                <w:w w:val="91"/>
              </w:rPr>
              <w:t>1.26% - 1.60%</w:t>
            </w:r>
          </w:p>
        </w:tc>
        <w:tc>
          <w:tcPr>
            <w:tcW w:w="1680" w:type="dxa"/>
            <w:vAlign w:val="bottom"/>
            <w:gridSpan w:val="2"/>
            <w:shd w:val="clear" w:color="auto" w:fill="CCEEFF"/>
          </w:tcPr>
          <w:p>
            <w:pPr>
              <w:jc w:val="center"/>
              <w:ind w:left="473"/>
              <w:spacing w:after="0"/>
              <w:rPr>
                <w:sz w:val="20"/>
                <w:szCs w:val="20"/>
                <w:color w:val="auto"/>
              </w:rPr>
            </w:pPr>
            <w:r>
              <w:rPr>
                <w:rFonts w:ascii="Arial" w:cs="Arial" w:eastAsia="Arial" w:hAnsi="Arial"/>
                <w:sz w:val="18"/>
                <w:szCs w:val="18"/>
                <w:color w:val="auto"/>
                <w:w w:val="91"/>
              </w:rPr>
              <w:t>1.39% - 1.51%</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expected option lives</w:t>
            </w:r>
          </w:p>
        </w:tc>
        <w:tc>
          <w:tcPr>
            <w:tcW w:w="126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4.5 years</w:t>
            </w:r>
          </w:p>
        </w:tc>
        <w:tc>
          <w:tcPr>
            <w:tcW w:w="600" w:type="dxa"/>
            <w:vAlign w:val="bottom"/>
          </w:tcPr>
          <w:p>
            <w:pPr>
              <w:spacing w:after="0"/>
              <w:rPr>
                <w:sz w:val="18"/>
                <w:szCs w:val="18"/>
                <w:color w:val="auto"/>
              </w:rPr>
            </w:pPr>
          </w:p>
        </w:tc>
        <w:tc>
          <w:tcPr>
            <w:tcW w:w="1080" w:type="dxa"/>
            <w:vAlign w:val="bottom"/>
          </w:tcPr>
          <w:p>
            <w:pPr>
              <w:ind w:left="200"/>
              <w:spacing w:after="0"/>
              <w:rPr>
                <w:sz w:val="20"/>
                <w:szCs w:val="20"/>
                <w:color w:val="auto"/>
              </w:rPr>
            </w:pPr>
            <w:r>
              <w:rPr>
                <w:rFonts w:ascii="Arial" w:cs="Arial" w:eastAsia="Arial" w:hAnsi="Arial"/>
                <w:sz w:val="18"/>
                <w:szCs w:val="18"/>
                <w:color w:val="auto"/>
              </w:rPr>
              <w:t>4.5 years</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lives</w:t>
            </w:r>
          </w:p>
        </w:tc>
        <w:tc>
          <w:tcPr>
            <w:tcW w:w="1260" w:type="dxa"/>
            <w:vAlign w:val="bottom"/>
            <w:shd w:val="clear" w:color="auto" w:fill="CCEEFF"/>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 years</w:t>
            </w: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4.5 years</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Weighted-average volatility</w:t>
            </w:r>
          </w:p>
        </w:tc>
        <w:tc>
          <w:tcPr>
            <w:tcW w:w="2340" w:type="dxa"/>
            <w:vAlign w:val="bottom"/>
            <w:gridSpan w:val="2"/>
          </w:tcPr>
          <w:p>
            <w:pPr>
              <w:jc w:val="center"/>
              <w:ind w:left="1153"/>
              <w:spacing w:after="0"/>
              <w:rPr>
                <w:sz w:val="20"/>
                <w:szCs w:val="20"/>
                <w:color w:val="auto"/>
              </w:rPr>
            </w:pPr>
            <w:r>
              <w:rPr>
                <w:rFonts w:ascii="Arial" w:cs="Arial" w:eastAsia="Arial" w:hAnsi="Arial"/>
                <w:sz w:val="18"/>
                <w:szCs w:val="18"/>
                <w:color w:val="auto"/>
                <w:w w:val="94"/>
              </w:rPr>
              <w:t>46%</w:t>
            </w:r>
          </w:p>
        </w:tc>
        <w:tc>
          <w:tcPr>
            <w:tcW w:w="1680" w:type="dxa"/>
            <w:vAlign w:val="bottom"/>
            <w:gridSpan w:val="2"/>
          </w:tcPr>
          <w:p>
            <w:pPr>
              <w:jc w:val="center"/>
              <w:ind w:left="493"/>
              <w:spacing w:after="0"/>
              <w:rPr>
                <w:sz w:val="20"/>
                <w:szCs w:val="20"/>
                <w:color w:val="auto"/>
              </w:rPr>
            </w:pPr>
            <w:r>
              <w:rPr>
                <w:rFonts w:ascii="Arial" w:cs="Arial" w:eastAsia="Arial" w:hAnsi="Arial"/>
                <w:sz w:val="18"/>
                <w:szCs w:val="18"/>
                <w:color w:val="auto"/>
                <w:w w:val="94"/>
              </w:rPr>
              <w:t>39%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Range of expected volatilities</w:t>
            </w:r>
          </w:p>
        </w:tc>
        <w:tc>
          <w:tcPr>
            <w:tcW w:w="2340" w:type="dxa"/>
            <w:vAlign w:val="bottom"/>
            <w:gridSpan w:val="2"/>
            <w:shd w:val="clear" w:color="auto" w:fill="CCEEFF"/>
          </w:tcPr>
          <w:p>
            <w:pPr>
              <w:jc w:val="center"/>
              <w:ind w:left="1153"/>
              <w:spacing w:after="0"/>
              <w:rPr>
                <w:sz w:val="20"/>
                <w:szCs w:val="20"/>
                <w:color w:val="auto"/>
              </w:rPr>
            </w:pPr>
            <w:r>
              <w:rPr>
                <w:rFonts w:ascii="Arial" w:cs="Arial" w:eastAsia="Arial" w:hAnsi="Arial"/>
                <w:sz w:val="18"/>
                <w:szCs w:val="18"/>
                <w:color w:val="auto"/>
                <w:w w:val="93"/>
              </w:rPr>
              <w:t>40% - 49%</w:t>
            </w:r>
          </w:p>
        </w:tc>
        <w:tc>
          <w:tcPr>
            <w:tcW w:w="1680" w:type="dxa"/>
            <w:vAlign w:val="bottom"/>
            <w:gridSpan w:val="2"/>
            <w:shd w:val="clear" w:color="auto" w:fill="CCEEFF"/>
          </w:tcPr>
          <w:p>
            <w:pPr>
              <w:jc w:val="center"/>
              <w:ind w:left="493"/>
              <w:spacing w:after="0"/>
              <w:rPr>
                <w:sz w:val="20"/>
                <w:szCs w:val="20"/>
                <w:color w:val="auto"/>
              </w:rPr>
            </w:pPr>
            <w:r>
              <w:rPr>
                <w:rFonts w:ascii="Arial" w:cs="Arial" w:eastAsia="Arial" w:hAnsi="Arial"/>
                <w:sz w:val="18"/>
                <w:szCs w:val="18"/>
                <w:color w:val="auto"/>
                <w:w w:val="93"/>
              </w:rPr>
              <w:t>36% - 42%</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Weighted-average expected dividend yield</w:t>
            </w:r>
          </w:p>
        </w:tc>
        <w:tc>
          <w:tcPr>
            <w:tcW w:w="2340" w:type="dxa"/>
            <w:vAlign w:val="bottom"/>
            <w:gridSpan w:val="2"/>
          </w:tcPr>
          <w:p>
            <w:pPr>
              <w:jc w:val="center"/>
              <w:ind w:left="1153"/>
              <w:spacing w:after="0"/>
              <w:rPr>
                <w:sz w:val="20"/>
                <w:szCs w:val="20"/>
                <w:color w:val="auto"/>
              </w:rPr>
            </w:pPr>
            <w:r>
              <w:rPr>
                <w:rFonts w:ascii="Arial" w:cs="Arial" w:eastAsia="Arial" w:hAnsi="Arial"/>
                <w:sz w:val="18"/>
                <w:szCs w:val="18"/>
                <w:color w:val="auto"/>
                <w:w w:val="92"/>
              </w:rPr>
              <w:t>0.0%</w:t>
            </w:r>
          </w:p>
        </w:tc>
        <w:tc>
          <w:tcPr>
            <w:tcW w:w="1680" w:type="dxa"/>
            <w:vAlign w:val="bottom"/>
            <w:gridSpan w:val="2"/>
          </w:tcPr>
          <w:p>
            <w:pPr>
              <w:jc w:val="center"/>
              <w:ind w:left="493"/>
              <w:spacing w:after="0"/>
              <w:rPr>
                <w:sz w:val="20"/>
                <w:szCs w:val="20"/>
                <w:color w:val="auto"/>
              </w:rPr>
            </w:pPr>
            <w:r>
              <w:rPr>
                <w:rFonts w:ascii="Arial" w:cs="Arial" w:eastAsia="Arial" w:hAnsi="Arial"/>
                <w:sz w:val="18"/>
                <w:szCs w:val="18"/>
                <w:color w:val="auto"/>
                <w:w w:val="92"/>
              </w:rPr>
              <w:t>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Awards Classified as Liabilities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Kodak will settle a portion of its 2015 incentive compensation plans with a variable amount of common stock based on the stock price at the time of settlement. The plans include minimum performance gates and annual performance metrics for 2015. The amount of incentive compensation to be paid is based on performance against the metrics. The fair value of the awards is determined based on a targeted dollar amount for the expected performance against the plans’ criteria as of the balance sheet date. The actual number of shares to be issued will be determined based on actual results achieved by Kodak, the stock price on the date of issuance and any discretion exercised by the Executive Compensation Committee. The shares will be issued under the 2013 Omnibus Incentive Plan. Stock compensation expense associated with these awards was approximately $6 million for the year ended December 31, 2015.</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Predecessor</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the Effective Date, Kodak had shares or share-based awards outstanding under two share-based employee compensation plans consisting of the 2005 Omnibus Long-Term Compensation Plan (the “2005 Plan”), and the 2000 Omnibus Long-Term Compensation Plan (the “2000 Plan”). In conjunction with the Plan (see Note 24, “Emergence from Voluntary Reorganization under Chapter 11 Proceedings”), all shares, options, restricted shares and other share-based awards that were outstanding on the Effective Date were canceled.</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Kodak recognized stock-based compensation expense in the amount of $3 million for the eight months ended August 31, 2013. There were no proceeds from the issuance of common stock through stock option plans for the eight months ended August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SHAREHOLDERS’ EQUITY</w:t>
      </w:r>
    </w:p>
    <w:p>
      <w:pPr>
        <w:spacing w:after="0" w:line="12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In connection with the Company’s reorganization and emergence from bankruptcy, all shares of the Predecessor Company’s common stock were canceled. The Successor Company has 560 million shares of authorized stock, consisting of: (i) 500 million shares of common stock, par value $0.01 per share and</w:t>
      </w:r>
    </w:p>
    <w:p>
      <w:pPr>
        <w:ind w:left="280" w:hanging="272"/>
        <w:spacing w:after="0"/>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60 million shares of preferred stock, no par value, issuable in one or more series. As of December 31, 2015 and December 31, 2014 there were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42.0 million and 41.9 million shares of common stock outstanding, respectively, and no shares of preferred stock issued and outstanding.</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On the Effective Date, the Company issued, to the holders of general unsecured claims and the retiree settlement unsecured claim, net-share settled warrants to purchase: (i) 2.1 million shares of common stock at an exercise price of $14.93 and (ii) 2.1 million shares of common stock at an exercise price of $16.12. The warrants are classified as equity instruments and reported within Additional paid in capital in the Consolidated Statement of Financial Position at their fair value as of the Effective Date ($24 million). As of December 31, 2015, there were warrants outstanding to purchase 3.6 million shares of common stock.</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3" w:name="page54"/>
    <w:bookmarkEnd w:id="53"/>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each of the years ended December 31, 2015 and December 31, 2014, the Company repurchased shares of common stock for approximately $1 million to satisfy tax withholding obligations in connection with the issuance of stock to employees under the 2013 Plan. Treasury stock consisted of approximately 0.3 million shares and 0.2 million shares at December 31, 2015 and December 31, 2014, respectively.</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21:</w:t>
        <w:tab/>
        <w:t>OTHER COMPREHENSIVE (LOSS)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(loss) income, by component,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58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40" w:type="dxa"/>
            <w:vAlign w:val="bottom"/>
            <w:tcBorders>
              <w:top w:val="single" w:sz="8" w:color="auto"/>
            </w:tcBorders>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Four Months</w:t>
            </w:r>
          </w:p>
        </w:tc>
        <w:tc>
          <w:tcPr>
            <w:tcW w:w="4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Borders>
              <w:right w:val="single" w:sz="8" w:color="auto"/>
            </w:tcBorders>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8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5820" w:type="dxa"/>
            <w:vAlign w:val="bottom"/>
            <w:gridSpan w:val="2"/>
          </w:tcPr>
          <w:p>
            <w:pPr>
              <w:spacing w:after="0"/>
              <w:rPr>
                <w:sz w:val="20"/>
                <w:szCs w:val="20"/>
                <w:color w:val="auto"/>
              </w:rPr>
            </w:pPr>
            <w:r>
              <w:rPr>
                <w:rFonts w:ascii="Arial" w:cs="Arial" w:eastAsia="Arial" w:hAnsi="Arial"/>
                <w:sz w:val="18"/>
                <w:szCs w:val="18"/>
                <w:color w:val="auto"/>
                <w:w w:val="94"/>
              </w:rPr>
              <w:t>Reclassification adjustment for losses included in Other charges (net), before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tax</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Reclassification adjustment for losses included in Other charges (net), net of</w:t>
            </w:r>
          </w:p>
        </w:tc>
        <w:tc>
          <w:tcPr>
            <w:tcW w:w="6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Pension and other postretirement benefit plan changes</w:t>
            </w: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Newly established prior service credit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Newly established net actuarial (loss) gain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provision</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w w:val="94"/>
              </w:rPr>
              <w:t>Newly established prior service credit and net actuarial (loss) gain, net of</w:t>
            </w: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0" w:type="dxa"/>
            <w:vAlign w:val="bottom"/>
          </w:tcPr>
          <w:p>
            <w:pPr>
              <w:ind w:left="520"/>
              <w:spacing w:after="0"/>
              <w:rPr>
                <w:sz w:val="20"/>
                <w:szCs w:val="20"/>
                <w:color w:val="auto"/>
              </w:rPr>
            </w:pPr>
            <w:r>
              <w:rPr>
                <w:rFonts w:ascii="Arial" w:cs="Arial" w:eastAsia="Arial" w:hAnsi="Arial"/>
                <w:sz w:val="18"/>
                <w:szCs w:val="18"/>
                <w:color w:val="auto"/>
              </w:rPr>
              <w:t>tax</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Amortization of prior service credit</w:t>
            </w:r>
          </w:p>
        </w:tc>
        <w:tc>
          <w:tcPr>
            <w:tcW w:w="860" w:type="dxa"/>
            <w:vAlign w:val="bottom"/>
            <w:gridSpan w:val="2"/>
          </w:tcPr>
          <w:p>
            <w:pPr>
              <w:jc w:val="right"/>
              <w:ind w:right="447"/>
              <w:spacing w:after="0" w:line="216" w:lineRule="exact"/>
              <w:rPr>
                <w:sz w:val="20"/>
                <w:szCs w:val="20"/>
                <w:color w:val="auto"/>
              </w:rPr>
            </w:pPr>
            <w:r>
              <w:rPr>
                <w:rFonts w:ascii="Arial" w:cs="Arial" w:eastAsia="Arial" w:hAnsi="Arial"/>
                <w:sz w:val="13"/>
                <w:szCs w:val="13"/>
                <w:color w:val="auto"/>
              </w:rPr>
              <w:t>(a</w:t>
            </w:r>
            <w:r>
              <w:rPr>
                <w:rFonts w:ascii="Arial" w:cs="Arial" w:eastAsia="Arial" w:hAnsi="Arial"/>
                <w:sz w:val="25"/>
                <w:szCs w:val="25"/>
                <w:color w:val="auto"/>
                <w:vertAlign w:val="superscript"/>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actuarial (gains) losses</w:t>
            </w:r>
          </w:p>
        </w:tc>
        <w:tc>
          <w:tcPr>
            <w:tcW w:w="860" w:type="dxa"/>
            <w:vAlign w:val="bottom"/>
            <w:gridSpan w:val="2"/>
            <w:shd w:val="clear" w:color="auto" w:fill="CCEEFF"/>
          </w:tcPr>
          <w:p>
            <w:pPr>
              <w:jc w:val="right"/>
              <w:ind w:right="447"/>
              <w:spacing w:after="0" w:line="216" w:lineRule="exact"/>
              <w:rPr>
                <w:sz w:val="20"/>
                <w:szCs w:val="20"/>
                <w:color w:val="auto"/>
              </w:rPr>
            </w:pPr>
            <w:r>
              <w:rPr>
                <w:rFonts w:ascii="Arial" w:cs="Arial" w:eastAsia="Arial" w:hAnsi="Arial"/>
                <w:sz w:val="13"/>
                <w:szCs w:val="13"/>
                <w:color w:val="auto"/>
              </w:rPr>
              <w:t>(a</w:t>
            </w:r>
            <w:r>
              <w:rPr>
                <w:rFonts w:ascii="Arial" w:cs="Arial" w:eastAsia="Arial" w:hAnsi="Arial"/>
                <w:sz w:val="25"/>
                <w:szCs w:val="25"/>
                <w:color w:val="auto"/>
                <w:vertAlign w:val="superscript"/>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800" w:type="dxa"/>
            <w:vAlign w:val="bottom"/>
          </w:tcPr>
          <w:p>
            <w:pPr>
              <w:ind w:left="700"/>
              <w:spacing w:after="0"/>
              <w:rPr>
                <w:sz w:val="20"/>
                <w:szCs w:val="20"/>
                <w:color w:val="auto"/>
              </w:rPr>
            </w:pPr>
            <w:r>
              <w:rPr>
                <w:rFonts w:ascii="Arial" w:cs="Arial" w:eastAsia="Arial" w:hAnsi="Arial"/>
                <w:sz w:val="18"/>
                <w:szCs w:val="18"/>
                <w:color w:val="auto"/>
              </w:rPr>
              <w:t>Recognition of losses due to settlements and curtailments</w:t>
            </w:r>
          </w:p>
        </w:tc>
        <w:tc>
          <w:tcPr>
            <w:tcW w:w="680" w:type="dxa"/>
            <w:vAlign w:val="bottom"/>
          </w:tcPr>
          <w:p>
            <w:pPr>
              <w:jc w:val="right"/>
              <w:ind w:right="265"/>
              <w:spacing w:after="0" w:line="324" w:lineRule="exact"/>
              <w:rPr>
                <w:sz w:val="20"/>
                <w:szCs w:val="20"/>
                <w:color w:val="auto"/>
              </w:rPr>
            </w:pPr>
            <w:r>
              <w:rPr>
                <w:rFonts w:ascii="Arial" w:cs="Arial" w:eastAsia="Arial" w:hAnsi="Arial"/>
                <w:sz w:val="15"/>
                <w:szCs w:val="15"/>
                <w:color w:val="auto"/>
              </w:rPr>
              <w:t>(a</w:t>
            </w:r>
            <w:r>
              <w:rPr>
                <w:rFonts w:ascii="Arial" w:cs="Arial" w:eastAsia="Arial" w:hAnsi="Arial"/>
                <w:sz w:val="30"/>
                <w:szCs w:val="30"/>
                <w:color w:val="auto"/>
                <w:vertAlign w:val="superscript"/>
              </w:rPr>
              <w:t>)</w:t>
            </w:r>
          </w:p>
        </w:tc>
        <w:tc>
          <w:tcPr>
            <w:tcW w:w="1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reclassification adjustments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Tax (provision)</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adjustments, net of tax</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color w:val="auto"/>
              </w:rPr>
              <w:t>Pension and other postretirement benefit plan changes, net of tax</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4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8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840" w:hanging="452"/>
        <w:spacing w:after="0" w:line="27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Reclassified to Pension (income) expense - refer to Note 16, “Retirement Plans” and Note 17, “Other Postretirement Benefits” for additional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4" w:name="page55"/>
    <w:bookmarkEnd w:id="54"/>
    <w:p>
      <w:pPr>
        <w:ind w:right="5140"/>
        <w:spacing w:after="0" w:line="44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 22: ACCUMULATED OTHER COMPREHENSIVE (LOSS) INCOME </w:t>
      </w:r>
      <w:r>
        <w:rPr>
          <w:rFonts w:ascii="Arial" w:cs="Arial" w:eastAsia="Arial" w:hAnsi="Arial"/>
          <w:sz w:val="17"/>
          <w:szCs w:val="17"/>
          <w:color w:val="auto"/>
        </w:rPr>
        <w:t>Accumulated other comprehensive (loss) income is composed of the following:</w:t>
      </w:r>
    </w:p>
    <w:p>
      <w:pPr>
        <w:spacing w:after="0" w:line="4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2015</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Available for sale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benefit plan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714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23:</w:t>
        <w:tab/>
        <w:t>SEGMENT INFORMATION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January 1, 2015, Kodak has seven reportable segments: Print Systems, Enterprise Inkjet Systems, Micro 3D Printing and Packaging, Software and Solutions, Consumer and Film, Intellectual Property Solutions and Eastman Business Park. The balance of Kodak’s continuing operations, which do not meet the criteria of a reportable segment, are reported in All Other. Prior period segment results have been revised to conform to the current period segment reporting structure. A description of the reportable segments follows.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Print Systems</w:t>
      </w:r>
      <w:r>
        <w:rPr>
          <w:rFonts w:ascii="Arial" w:cs="Arial" w:eastAsia="Arial" w:hAnsi="Arial"/>
          <w:sz w:val="17"/>
          <w:szCs w:val="17"/>
          <w:color w:val="auto"/>
        </w:rPr>
        <w:t>: The Print Systems segment is comprised of two lines of business: Prepress Solutions and Electrophotographic Printing Solutions.</w:t>
      </w:r>
    </w:p>
    <w:p>
      <w:pPr>
        <w:spacing w:after="0" w:line="23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Enterprise Inkjet Systems</w:t>
      </w:r>
      <w:r>
        <w:rPr>
          <w:rFonts w:ascii="Arial" w:cs="Arial" w:eastAsia="Arial" w:hAnsi="Arial"/>
          <w:sz w:val="18"/>
          <w:szCs w:val="18"/>
          <w:color w:val="auto"/>
        </w:rPr>
        <w:t>: The Enterprise Inkjet Systems segment is comprised of two lines of business: Commercial Inkjet Printing Solutions and Digital</w:t>
      </w:r>
      <w:r>
        <w:rPr>
          <w:rFonts w:ascii="Arial" w:cs="Arial" w:eastAsia="Arial" w:hAnsi="Arial"/>
          <w:sz w:val="18"/>
          <w:szCs w:val="18"/>
          <w:b w:val="1"/>
          <w:bCs w:val="1"/>
          <w:color w:val="auto"/>
        </w:rPr>
        <w:t xml:space="preserve"> </w:t>
      </w:r>
      <w:r>
        <w:rPr>
          <w:rFonts w:ascii="Arial" w:cs="Arial" w:eastAsia="Arial" w:hAnsi="Arial"/>
          <w:sz w:val="18"/>
          <w:szCs w:val="18"/>
          <w:color w:val="auto"/>
        </w:rPr>
        <w:t>Front-End Controllers.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Micro 3D Printing and Packaging</w:t>
      </w:r>
      <w:r>
        <w:rPr>
          <w:rFonts w:ascii="Arial" w:cs="Arial" w:eastAsia="Arial" w:hAnsi="Arial"/>
          <w:sz w:val="16"/>
          <w:szCs w:val="16"/>
          <w:color w:val="auto"/>
        </w:rPr>
        <w:t>: The Micro 3D Printing and Packaging segment is comprised of two lines of business: Packaging and Micro 3D Printing.</w:t>
      </w:r>
    </w:p>
    <w:p>
      <w:pPr>
        <w:spacing w:after="0" w:line="248"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Software and Solutions</w:t>
      </w:r>
      <w:r>
        <w:rPr>
          <w:rFonts w:ascii="Arial" w:cs="Arial" w:eastAsia="Arial" w:hAnsi="Arial"/>
          <w:sz w:val="18"/>
          <w:szCs w:val="18"/>
          <w:color w:val="auto"/>
        </w:rPr>
        <w:t>: The Software and Solutions segment is comprised of two lines of business: Kodak Technology Solutions and Unified Workflow</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w:t>
      </w:r>
    </w:p>
    <w:p>
      <w:pPr>
        <w:spacing w:after="0" w:line="162"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Consumer and Film</w:t>
      </w:r>
      <w:r>
        <w:rPr>
          <w:rFonts w:ascii="Arial" w:cs="Arial" w:eastAsia="Arial" w:hAnsi="Arial"/>
          <w:sz w:val="18"/>
          <w:szCs w:val="18"/>
          <w:color w:val="auto"/>
        </w:rPr>
        <w:t>: The Consumer and Film segment is comprised of three lines of business: Consumer Inkjet Solutions; Motion Picture,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Chemicals and Films, and Consumer Products.</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Intellectual Property Solutions</w:t>
      </w:r>
      <w:r>
        <w:rPr>
          <w:rFonts w:ascii="Arial" w:cs="Arial" w:eastAsia="Arial" w:hAnsi="Arial"/>
          <w:sz w:val="18"/>
          <w:szCs w:val="18"/>
          <w:color w:val="auto"/>
        </w:rPr>
        <w:t>: The Intellectual Property Solutions segment includes licensing and research and development activities not directly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other segments.</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Eastman Business Park</w:t>
      </w:r>
      <w:r>
        <w:rPr>
          <w:rFonts w:ascii="Arial" w:cs="Arial" w:eastAsia="Arial" w:hAnsi="Arial"/>
          <w:sz w:val="18"/>
          <w:szCs w:val="18"/>
          <w:color w:val="auto"/>
        </w:rPr>
        <w:t>: The Eastman Business Park segment includes the operations of the Eastman Business Park, a more than 1,200 acre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center and industrial complex.</w:t>
      </w:r>
    </w:p>
    <w:p>
      <w:pPr>
        <w:spacing w:after="0" w:line="162" w:lineRule="exact"/>
        <w:rPr>
          <w:sz w:val="20"/>
          <w:szCs w:val="20"/>
          <w:color w:val="auto"/>
        </w:rPr>
      </w:pPr>
    </w:p>
    <w:p>
      <w:pPr>
        <w:ind w:right="680"/>
        <w:spacing w:after="0" w:line="313" w:lineRule="auto"/>
        <w:rPr>
          <w:sz w:val="20"/>
          <w:szCs w:val="20"/>
          <w:color w:val="auto"/>
        </w:rPr>
      </w:pPr>
      <w:r>
        <w:rPr>
          <w:rFonts w:ascii="Arial" w:cs="Arial" w:eastAsia="Arial" w:hAnsi="Arial"/>
          <w:sz w:val="17"/>
          <w:szCs w:val="17"/>
          <w:b w:val="1"/>
          <w:bCs w:val="1"/>
          <w:color w:val="auto"/>
        </w:rPr>
        <w:t xml:space="preserve">All Other: </w:t>
      </w:r>
      <w:r>
        <w:rPr>
          <w:rFonts w:ascii="Arial" w:cs="Arial" w:eastAsia="Arial" w:hAnsi="Arial"/>
          <w:sz w:val="17"/>
          <w:szCs w:val="17"/>
          <w:color w:val="auto"/>
        </w:rPr>
        <w:t>All Other is composed of Kodak’s consumer film business in countries where that business had not yet transferred ownership to the KPP</w:t>
      </w:r>
      <w:r>
        <w:rPr>
          <w:rFonts w:ascii="Arial" w:cs="Arial" w:eastAsia="Arial" w:hAnsi="Arial"/>
          <w:sz w:val="17"/>
          <w:szCs w:val="17"/>
          <w:b w:val="1"/>
          <w:bCs w:val="1"/>
          <w:color w:val="auto"/>
        </w:rPr>
        <w:t xml:space="preserve"> </w:t>
      </w:r>
      <w:r>
        <w:rPr>
          <w:rFonts w:ascii="Arial" w:cs="Arial" w:eastAsia="Arial" w:hAnsi="Arial"/>
          <w:sz w:val="17"/>
          <w:szCs w:val="17"/>
          <w:color w:val="auto"/>
        </w:rPr>
        <w:t>Purchasing Parties (as defined in Note 15 “Discontinued Operations”) and the RED utilities variable interest entity.</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0" w:right="27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Segment financial information is shown below. Asset information by segment is not disclosed as this information is not separately identified and reported to the Chief Operating Decision Maker (“CODM”).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from Continuing Operations by Reportable Segment</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1400" w:type="dxa"/>
            <w:vAlign w:val="bottom"/>
            <w:tcBorders>
              <w:top w:val="single" w:sz="8" w:color="auto"/>
            </w:tcBorders>
            <w:gridSpan w:val="3"/>
            <w:vMerge w:val="restart"/>
          </w:tcPr>
          <w:p>
            <w:pPr>
              <w:jc w:val="right"/>
              <w:ind w:right="620"/>
              <w:spacing w:after="0"/>
              <w:rPr>
                <w:sz w:val="20"/>
                <w:szCs w:val="20"/>
                <w:color w:val="auto"/>
              </w:rPr>
            </w:pPr>
            <w:r>
              <w:rPr>
                <w:rFonts w:ascii="Arial" w:cs="Arial" w:eastAsia="Arial" w:hAnsi="Arial"/>
                <w:sz w:val="14"/>
                <w:szCs w:val="14"/>
                <w:b w:val="1"/>
                <w:bCs w:val="1"/>
                <w:color w:val="auto"/>
                <w:w w:val="98"/>
              </w:rPr>
              <w:t>Year Ended</w:t>
            </w:r>
          </w:p>
        </w:tc>
        <w:tc>
          <w:tcPr>
            <w:tcW w:w="1400" w:type="dxa"/>
            <w:vAlign w:val="bottom"/>
            <w:tcBorders>
              <w:top w:val="single" w:sz="8" w:color="auto"/>
            </w:tcBorders>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Four Months</w:t>
            </w:r>
          </w:p>
        </w:tc>
        <w:tc>
          <w:tcPr>
            <w:tcW w:w="6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4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August 31,</w:t>
            </w:r>
          </w:p>
        </w:tc>
        <w:tc>
          <w:tcPr>
            <w:tcW w:w="0" w:type="dxa"/>
            <w:vAlign w:val="bottom"/>
          </w:tcPr>
          <w:p>
            <w:pPr>
              <w:spacing w:after="0"/>
              <w:rPr>
                <w:sz w:val="1"/>
                <w:szCs w:val="1"/>
                <w:color w:val="auto"/>
              </w:rPr>
            </w:pPr>
          </w:p>
        </w:tc>
      </w:t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Print Systems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2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Micro 3D Printing and Packaging</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Software and Solutions</w:t>
            </w:r>
          </w:p>
        </w:tc>
        <w:tc>
          <w:tcPr>
            <w:tcW w:w="2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Consumer and Film</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352</w:t>
            </w: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Intellectual Property Solutions</w:t>
            </w:r>
          </w:p>
        </w:tc>
        <w:tc>
          <w:tcPr>
            <w:tcW w:w="2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Eastman Business Park</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812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Kodak’s segment measure of profit and loss is an adjusted earnings before interest, taxes, depreciation and amortization (“Operational EBITDA”). As demonstrated in the table below, Operational EBITDA represents the income (loss) from continuing operations excluding the provision (benefit) for income taxes; depreciation and amortization expense; corporate components of pension and OPEB income; restructuring costs; stock-based compensation expense; change in U.S. vacation benefits; consulting and other costs; idle costs; indirect costs previously allocated to discontinued operations; other operating (expense) income, net (unless otherwise indicated); loss on early extinguishment of debt; interest expense; other (charges) income, net; reorganization items, net and; in prior periods, the impact of certain fresh start accounting adjustments.</w:t>
      </w:r>
    </w:p>
    <w:p>
      <w:pPr>
        <w:spacing w:after="0" w:line="178" w:lineRule="exact"/>
        <w:rPr>
          <w:sz w:val="20"/>
          <w:szCs w:val="20"/>
          <w:color w:val="auto"/>
        </w:rPr>
      </w:pPr>
    </w:p>
    <w:p>
      <w:pPr>
        <w:jc w:val="both"/>
        <w:ind w:right="600"/>
        <w:spacing w:after="0" w:line="286" w:lineRule="auto"/>
        <w:rPr>
          <w:sz w:val="20"/>
          <w:szCs w:val="20"/>
          <w:color w:val="auto"/>
        </w:rPr>
      </w:pPr>
      <w:r>
        <w:rPr>
          <w:rFonts w:ascii="Arial" w:cs="Arial" w:eastAsia="Arial" w:hAnsi="Arial"/>
          <w:sz w:val="17"/>
          <w:szCs w:val="17"/>
          <w:color w:val="auto"/>
        </w:rPr>
        <w:t>Kodak’s segments are measured using Operational EBITDA both before and after allocation of corporate selling, general and administrative expenses (“SG&amp;A”). The segment earnings measure reported is after allocation of corporate SG&amp;A as this most closely aligns with U.S. GAAP. Research and development activities not directly related to the other segments are reported within the Intellectual Property Solutions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Measure of Profit and Loss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2015 a $3 million gain was recognized related to assets that were acquired for no monetary consideration.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for the year ended 2015. No other periods were impacted by this change.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Segment Operational EBITDA and Consolidated Loss from Continuing Operations Before Income Taxes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00" w:type="dxa"/>
            <w:vAlign w:val="bottom"/>
          </w:tcPr>
          <w:p>
            <w:pPr>
              <w:spacing w:after="0"/>
              <w:rPr>
                <w:sz w:val="10"/>
                <w:szCs w:val="10"/>
                <w:color w:val="auto"/>
              </w:rPr>
            </w:pPr>
          </w:p>
        </w:tc>
        <w:tc>
          <w:tcPr>
            <w:tcW w:w="1140" w:type="dxa"/>
            <w:vAlign w:val="bottom"/>
            <w:tcBorders>
              <w:top w:val="single" w:sz="8" w:color="auto"/>
            </w:tcBorders>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Four Months</w:t>
            </w:r>
          </w:p>
        </w:tc>
        <w:tc>
          <w:tcPr>
            <w:tcW w:w="66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Borders>
              <w:right w:val="single" w:sz="8" w:color="auto"/>
            </w:tcBorders>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4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50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2014</w:t>
            </w:r>
          </w:p>
        </w:tc>
        <w:tc>
          <w:tcPr>
            <w:tcW w:w="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right w:val="single" w:sz="8" w:color="auto"/>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Print Systems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60"/>
              <w:spacing w:after="0"/>
              <w:rPr>
                <w:sz w:val="20"/>
                <w:szCs w:val="20"/>
                <w:color w:val="auto"/>
              </w:rPr>
            </w:pPr>
            <w:r>
              <w:rPr>
                <w:rFonts w:ascii="Arial" w:cs="Arial" w:eastAsia="Arial" w:hAnsi="Arial"/>
                <w:sz w:val="17"/>
                <w:szCs w:val="17"/>
                <w:color w:val="auto"/>
                <w:w w:val="73"/>
              </w:rPr>
              <w:t>93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Micro 3D Printing and Packaging </w:t>
            </w:r>
            <w:r>
              <w:rPr>
                <w:rFonts w:ascii="Arial" w:cs="Arial" w:eastAsia="Arial" w:hAnsi="Arial"/>
                <w:sz w:val="15"/>
                <w:szCs w:val="15"/>
                <w:color w:val="auto"/>
              </w:rPr>
              <w:t>(5)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Software &amp; Solutions</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Consumer &amp; Film</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Intellectual Property Solutions</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Eastman Business Park</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 of reportable segments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79"/>
              </w:rPr>
              <w:t>158</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6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Corporate components of pension and OPEB income </w:t>
            </w:r>
            <w:r>
              <w:rPr>
                <w:rFonts w:ascii="Arial" w:cs="Arial" w:eastAsia="Arial" w:hAnsi="Arial"/>
                <w:sz w:val="15"/>
                <w:szCs w:val="15"/>
                <w:color w:val="auto"/>
              </w:rPr>
              <w:t>(1)</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6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 xml:space="preserve">Change in U.S. vacation benefits </w:t>
            </w:r>
            <w:r>
              <w:rPr>
                <w:rFonts w:ascii="Arial" w:cs="Arial" w:eastAsia="Arial" w:hAnsi="Arial"/>
                <w:sz w:val="15"/>
                <w:szCs w:val="15"/>
                <w:color w:val="auto"/>
              </w:rPr>
              <w:t>(4)</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(3)</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Costs previously allocated to discontinued operations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Fresh start adjustments</w:t>
            </w: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operating (expense) income, net excluding gain</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related to Unipixel termination </w:t>
            </w:r>
            <w:r>
              <w:rPr>
                <w:rFonts w:ascii="Arial" w:cs="Arial" w:eastAsia="Arial" w:hAnsi="Arial"/>
                <w:sz w:val="15"/>
                <w:szCs w:val="15"/>
                <w:color w:val="auto"/>
              </w:rPr>
              <w:t>(5)</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13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Loss on early extinguishment of debt, net</w:t>
            </w: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charges, net</w:t>
            </w: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items,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8"/>
                <w:szCs w:val="18"/>
                <w:color w:val="auto"/>
              </w:rPr>
              <w:t>Consolidated (loss) earnings from continuing operations</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before 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2,356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280" w:hanging="452"/>
        <w:spacing w:after="0" w:line="258"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Composed of interest cost, expected return on plan assets, amortization of actuarial gains and losses, and curtailments and settlement components of pension and other postretirement benefit expenses.</w:t>
      </w:r>
    </w:p>
    <w:p>
      <w:pPr>
        <w:spacing w:after="0" w:line="1"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Consulting and other costs are primarily related to professional services provided for corporate strategic initiatives in the current year periods. The prior year periods primarily represent the cost of AlixPartners filling interim executive positions which are not captured within “Reorganization items, net” as well as consulting services provided by former executives during transitional periods.</w:t>
      </w:r>
    </w:p>
    <w:p>
      <w:pPr>
        <w:spacing w:after="0" w:line="1" w:lineRule="exact"/>
        <w:rPr>
          <w:rFonts w:ascii="Arial" w:cs="Arial" w:eastAsia="Arial" w:hAnsi="Arial"/>
          <w:sz w:val="15"/>
          <w:szCs w:val="15"/>
          <w:color w:val="auto"/>
        </w:rPr>
      </w:pPr>
    </w:p>
    <w:p>
      <w:pPr>
        <w:ind w:left="460" w:right="400" w:hanging="452"/>
        <w:spacing w:after="0" w:line="25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Consists of third party costs such as security, maintenance, and utilities required to maintain land and buildings in certain locations not used in any Kodak operations.</w:t>
      </w:r>
    </w:p>
    <w:p>
      <w:pPr>
        <w:ind w:left="460" w:right="240" w:hanging="452"/>
        <w:spacing w:after="0" w:line="250"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 the fourth quarter of 2015, Kodak changed the timing of when U.S. employees earn their vacation benefits which reduced the related accrual as of December 31, 2015.</w:t>
      </w:r>
    </w:p>
    <w:p>
      <w:pPr>
        <w:ind w:left="460" w:right="160" w:hanging="452"/>
        <w:spacing w:after="0" w:line="254"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 2015 a $3 million gain was recognized related to assets that were acquired for no monetary consideration as a part of the termination of the relationship with Unipixel. The gain was reported in Other operating (income) expense, net in the Consolidated Statement of Operations. Other operating (income) expense, net is typically excluded from the segment measure. However, this particular gain was included in the Micro 3D Printing and Packaging segment’s earnings in 2015.</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70" w:right="25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Amortization and depreciation expense by segment are not included in the segment measure of profit and loss but are regularly provided to the CODM.</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4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Intangible asset amortization expense from continuing</w:t>
            </w:r>
          </w:p>
        </w:tc>
        <w:tc>
          <w:tcPr>
            <w:tcW w:w="1220" w:type="dxa"/>
            <w:vAlign w:val="bottom"/>
          </w:tcPr>
          <w:p>
            <w:pPr>
              <w:spacing w:after="0"/>
              <w:rPr>
                <w:sz w:val="10"/>
                <w:szCs w:val="10"/>
                <w:color w:val="auto"/>
              </w:rPr>
            </w:pPr>
          </w:p>
        </w:tc>
        <w:tc>
          <w:tcPr>
            <w:tcW w:w="1020" w:type="dxa"/>
            <w:vAlign w:val="bottom"/>
            <w:tcBorders>
              <w:top w:val="single" w:sz="8" w:color="auto"/>
            </w:tcBorders>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rPr>
              <w:t>Year Ended</w:t>
            </w:r>
          </w:p>
        </w:tc>
        <w:tc>
          <w:tcPr>
            <w:tcW w:w="1040" w:type="dxa"/>
            <w:vAlign w:val="bottom"/>
            <w:tcBorders>
              <w:top w:val="single" w:sz="8" w:color="auto"/>
            </w:tcBorders>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rPr>
              <w:t>Year Ended</w:t>
            </w: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Four Months Ended</w:t>
            </w:r>
          </w:p>
        </w:tc>
        <w:tc>
          <w:tcPr>
            <w:tcW w:w="2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Eight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36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operations:</w:t>
            </w: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Print Systems</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3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Micro 3D Packaging &amp; Printing</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Software &amp; Solutions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36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Consumer &amp; Film</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auto"/>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Consolidated total</w:t>
            </w:r>
          </w:p>
        </w:tc>
        <w:tc>
          <w:tcPr>
            <w:tcW w:w="1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4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9"/>
        </w:trPr>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Borders>
              <w:top w:val="single" w:sz="8" w:color="auto"/>
            </w:tcBorders>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rPr>
              <w:t>Year Ended</w:t>
            </w:r>
          </w:p>
        </w:tc>
        <w:tc>
          <w:tcPr>
            <w:tcW w:w="1040" w:type="dxa"/>
            <w:vAlign w:val="bottom"/>
            <w:tcBorders>
              <w:top w:val="single" w:sz="8" w:color="auto"/>
            </w:tcBorders>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Year Ended</w:t>
            </w:r>
          </w:p>
        </w:tc>
        <w:tc>
          <w:tcPr>
            <w:tcW w:w="12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Four Months Ended</w:t>
            </w:r>
          </w:p>
        </w:tc>
        <w:tc>
          <w:tcPr>
            <w:tcW w:w="260" w:type="dxa"/>
            <w:vAlign w:val="bottom"/>
            <w:tcBorders>
              <w:right w:val="single" w:sz="8" w:color="auto"/>
            </w:tcBorders>
            <w:gridSpan w:val="2"/>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Eight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Depreciation expense from continuing operations:</w:t>
            </w:r>
          </w:p>
        </w:tc>
        <w:tc>
          <w:tcPr>
            <w:tcW w:w="122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360" w:type="dxa"/>
            <w:vAlign w:val="bottom"/>
            <w:tcBorders>
              <w:right w:val="single" w:sz="8" w:color="auto"/>
            </w:tcBorders>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vMerge w:val="continue"/>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Print Systems</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Enterprise Inkjet Systems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Micro 3D Packaging &amp; Printing</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Software &amp; Solutions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Consumer &amp; Film</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Intellectual Property Solutions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Eastman Business Park</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Sub-total</w:t>
            </w:r>
          </w:p>
        </w:tc>
        <w:tc>
          <w:tcPr>
            <w:tcW w:w="1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Restructuring-related depreciation</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Borders>
              <w:right w:val="single" w:sz="8" w:color="auto"/>
            </w:tcBorders>
            <w:gridSpan w:val="3"/>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1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24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20" w:type="dxa"/>
            <w:vAlign w:val="bottom"/>
            <w:vMerge w:val="restart"/>
          </w:tcPr>
          <w:p>
            <w:pPr>
              <w:jc w:val="right"/>
              <w:ind w:right="50"/>
              <w:spacing w:after="0"/>
              <w:rPr>
                <w:sz w:val="20"/>
                <w:szCs w:val="20"/>
                <w:color w:val="auto"/>
              </w:rPr>
            </w:pPr>
            <w:r>
              <w:rPr>
                <w:rFonts w:ascii="Arial" w:cs="Arial" w:eastAsia="Arial" w:hAnsi="Arial"/>
                <w:sz w:val="18"/>
                <w:szCs w:val="18"/>
                <w:color w:val="auto"/>
              </w:rPr>
              <w:t>58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4" w:right="6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Geographic Information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38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3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86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Year Ended</w:t>
            </w:r>
          </w:p>
        </w:tc>
        <w:tc>
          <w:tcPr>
            <w:tcW w:w="58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rPr>
              <w:t>Year Ended</w:t>
            </w:r>
          </w:p>
        </w:tc>
        <w:tc>
          <w:tcPr>
            <w:tcW w:w="12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Four Months Ended</w:t>
            </w:r>
          </w:p>
        </w:tc>
        <w:tc>
          <w:tcPr>
            <w:tcW w:w="6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Net sales to external customers attributed to </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78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right w:val="single" w:sz="8" w:color="auto"/>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The United States</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243</w:t>
            </w:r>
          </w:p>
        </w:tc>
        <w:tc>
          <w:tcPr>
            <w:tcW w:w="68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727</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w w:val="79"/>
              </w:rPr>
              <w:t>287</w:t>
            </w:r>
          </w:p>
        </w:tc>
        <w:tc>
          <w:tcPr>
            <w:tcW w:w="6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CEEFF"/>
          </w:tcPr>
          <w:p>
            <w:pPr>
              <w:spacing w:after="0"/>
              <w:rPr>
                <w:sz w:val="18"/>
                <w:szCs w:val="18"/>
                <w:color w:val="auto"/>
              </w:rPr>
            </w:pPr>
          </w:p>
        </w:tc>
        <w:tc>
          <w:tcPr>
            <w:tcW w:w="1780" w:type="dxa"/>
            <w:vAlign w:val="bottom"/>
            <w:tcBorders>
              <w:right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rPr>
              <w:t>207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Canada and Latin America</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1780" w:type="dxa"/>
            <w:vAlign w:val="bottom"/>
            <w:tcBorders>
              <w:right w:val="single" w:sz="8" w:color="auto"/>
            </w:tcBorders>
            <w:gridSpan w:val="2"/>
          </w:tcPr>
          <w:p>
            <w:pPr>
              <w:ind w:left="920"/>
              <w:spacing w:after="0"/>
              <w:rPr>
                <w:sz w:val="20"/>
                <w:szCs w:val="20"/>
                <w:color w:val="auto"/>
              </w:rPr>
            </w:pPr>
            <w:r>
              <w:rPr>
                <w:rFonts w:ascii="Arial" w:cs="Arial" w:eastAsia="Arial" w:hAnsi="Arial"/>
                <w:sz w:val="18"/>
                <w:szCs w:val="18"/>
                <w:color w:val="auto"/>
              </w:rPr>
              <w:t>75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 U.S. countries total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1,365</w:t>
            </w:r>
          </w:p>
        </w:tc>
        <w:tc>
          <w:tcPr>
            <w:tcW w:w="140" w:type="dxa"/>
            <w:vAlign w:val="bottom"/>
            <w:shd w:val="clear" w:color="auto" w:fill="CCEEFF"/>
          </w:tcPr>
          <w:p>
            <w:pPr>
              <w:spacing w:after="0"/>
              <w:rPr>
                <w:sz w:val="18"/>
                <w:szCs w:val="18"/>
                <w:color w:val="auto"/>
              </w:rPr>
            </w:pPr>
          </w:p>
        </w:tc>
        <w:tc>
          <w:tcPr>
            <w:tcW w:w="1780" w:type="dxa"/>
            <w:vAlign w:val="bottom"/>
            <w:tcBorders>
              <w:right w:val="single" w:sz="8" w:color="auto"/>
            </w:tcBorders>
            <w:gridSpan w:val="2"/>
            <w:shd w:val="clear" w:color="auto" w:fill="CCEEFF"/>
          </w:tcPr>
          <w:p>
            <w:pPr>
              <w:ind w:left="840"/>
              <w:spacing w:after="0"/>
              <w:rPr>
                <w:sz w:val="20"/>
                <w:szCs w:val="20"/>
                <w:color w:val="auto"/>
              </w:rPr>
            </w:pPr>
            <w:r>
              <w:rPr>
                <w:rFonts w:ascii="Arial" w:cs="Arial" w:eastAsia="Arial" w:hAnsi="Arial"/>
                <w:sz w:val="18"/>
                <w:szCs w:val="18"/>
                <w:color w:val="auto"/>
              </w:rPr>
              <w:t>569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Arial" w:cs="Arial" w:eastAsia="Arial" w:hAnsi="Arial"/>
                <w:sz w:val="18"/>
                <w:szCs w:val="18"/>
                <w:color w:val="auto"/>
              </w:rPr>
              <w:t>Consolidated 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79"/>
              </w:rPr>
              <w:t>812</w:t>
            </w:r>
          </w:p>
        </w:tc>
        <w:tc>
          <w:tcPr>
            <w:tcW w:w="68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right="600" w:hanging="452"/>
        <w:spacing w:after="0" w:line="342"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Sales are reported in the geographic area in which they originate. No non-U.S. country generated more than 10% of net sales in the years ended December 31, 2015 and December 31, 2014, four months ended December 31, 2013 or eight months ended August 31, 2013.</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6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90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7660" w:type="dxa"/>
            <w:vAlign w:val="bottom"/>
          </w:tcPr>
          <w:p>
            <w:pPr>
              <w:spacing w:after="0"/>
              <w:rPr>
                <w:sz w:val="20"/>
                <w:szCs w:val="20"/>
                <w:color w:val="auto"/>
              </w:rPr>
            </w:pPr>
            <w:r>
              <w:rPr>
                <w:rFonts w:ascii="Arial" w:cs="Arial" w:eastAsia="Arial" w:hAnsi="Arial"/>
                <w:sz w:val="14"/>
                <w:szCs w:val="14"/>
                <w:b w:val="1"/>
                <w:bCs w:val="1"/>
                <w:color w:val="auto"/>
              </w:rPr>
              <w:t>Property, plant and equipment, net located in:</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United States</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217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271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Canada and Latin America</w:t>
            </w: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7"/>
        </w:trPr>
        <w:tc>
          <w:tcPr>
            <w:tcW w:w="76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Non U.S. countries total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r>
      <w:tr>
        <w:trPr>
          <w:trHeight w:val="223"/>
        </w:trPr>
        <w:tc>
          <w:tcPr>
            <w:tcW w:w="7660" w:type="dxa"/>
            <w:vAlign w:val="bottom"/>
          </w:tcPr>
          <w:p>
            <w:pPr>
              <w:ind w:left="360"/>
              <w:spacing w:after="0"/>
              <w:rPr>
                <w:sz w:val="20"/>
                <w:szCs w:val="20"/>
                <w:color w:val="auto"/>
              </w:rPr>
            </w:pPr>
            <w:r>
              <w:rPr>
                <w:rFonts w:ascii="Arial" w:cs="Arial" w:eastAsia="Arial" w:hAnsi="Arial"/>
                <w:sz w:val="18"/>
                <w:szCs w:val="18"/>
                <w:color w:val="auto"/>
              </w:rPr>
              <w:t>Consolidated total</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426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684</w:t>
            </w:r>
          </w:p>
        </w:tc>
        <w:tc>
          <w:tcPr>
            <w:tcW w:w="10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9"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Of the total non U.S. property, plant and equipment in 2015, $64 million are located in Brazil and $60 million are located in China. Of the total non U.S. property, plant and equipment in 2014, $95 million are located in Brazil and $59 million are located in China. Of the total non U.S. property, plant and equipment in 2013, $113 million are located in Brazil. No other non U.S. country had greater than 10% of property, plant and equipment in 2015, 2014 or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10% or more of Kodak’s total net revenue in any year presented.</w:t>
      </w:r>
    </w:p>
    <w:p>
      <w:pPr>
        <w:spacing w:after="0" w:line="329" w:lineRule="exact"/>
        <w:rPr>
          <w:sz w:val="20"/>
          <w:szCs w:val="20"/>
          <w:color w:val="auto"/>
        </w:rPr>
      </w:pPr>
    </w:p>
    <w:p>
      <w:pPr>
        <w:ind w:right="2660"/>
        <w:spacing w:after="0" w:line="378" w:lineRule="auto"/>
        <w:rPr>
          <w:sz w:val="20"/>
          <w:szCs w:val="20"/>
          <w:color w:val="auto"/>
        </w:rPr>
      </w:pPr>
      <w:r>
        <w:rPr>
          <w:rFonts w:ascii="Arial" w:cs="Arial" w:eastAsia="Arial" w:hAnsi="Arial"/>
          <w:sz w:val="18"/>
          <w:szCs w:val="18"/>
          <w:b w:val="1"/>
          <w:bCs w:val="1"/>
          <w:color w:val="auto"/>
        </w:rPr>
        <w:t xml:space="preserve">NOTE 24: EMERGENCE FROM VOLUNTARY REORGANIZATION UNDER CHAPTER 11 PROCEEDINGS </w:t>
      </w:r>
      <w:r>
        <w:rPr>
          <w:rFonts w:ascii="Arial" w:cs="Arial" w:eastAsia="Arial" w:hAnsi="Arial"/>
          <w:sz w:val="18"/>
          <w:szCs w:val="18"/>
          <w:b w:val="1"/>
          <w:bCs w:val="1"/>
          <w:i w:val="1"/>
          <w:iCs w:val="1"/>
          <w:color w:val="auto"/>
        </w:rPr>
        <w:t>PLAN OF REORGANIZATION</w:t>
      </w:r>
    </w:p>
    <w:p>
      <w:pPr>
        <w:ind w:right="160"/>
        <w:spacing w:after="0" w:line="264" w:lineRule="auto"/>
        <w:rPr>
          <w:sz w:val="20"/>
          <w:szCs w:val="20"/>
          <w:color w:val="auto"/>
        </w:rPr>
      </w:pPr>
      <w:r>
        <w:rPr>
          <w:rFonts w:ascii="Arial" w:cs="Arial" w:eastAsia="Arial" w:hAnsi="Arial"/>
          <w:sz w:val="18"/>
          <w:szCs w:val="18"/>
          <w:color w:val="auto"/>
        </w:rPr>
        <w:t>On August 23, 2013, the Bankruptcy Court entered an order (the “Confirmation Order”) confirming the revised First Amended Joint Chapter 11 Plan of Reorganization of Eastman Kodak Company and its Debtor Affiliates (the “Plan”). On September 3, 2013 (the “Effective Date”), the Plan became effective and the Debtors emerged from the Chapter 11 Cases.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or following the Effective Date and pursuant to the terms of the Plan, the following occurred:</w:t>
      </w:r>
    </w:p>
    <w:p>
      <w:pPr>
        <w:spacing w:after="0" w:line="131" w:lineRule="exact"/>
        <w:rPr>
          <w:sz w:val="20"/>
          <w:szCs w:val="20"/>
          <w:color w:val="auto"/>
        </w:rPr>
      </w:pPr>
    </w:p>
    <w:p>
      <w:pPr>
        <w:ind w:left="1480" w:hanging="446"/>
        <w:spacing w:after="0" w:line="286" w:lineRule="auto"/>
        <w:tabs>
          <w:tab w:leader="none" w:pos="14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Debtors’ obligations under the second lien notes indentures, unsecured notes indentures, stock certificates, equity interests, and / or any other instrument or document directly or indirectly evidencing or creating any indebtedness or obligation of, or ownership interest in, the Debtors or giving rise to any claim or equity interest were cancelled, except as provided under the Plan;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0" w:right="279" w:bottom="1440" w:gutter="0" w:footer="0" w:header="0"/>
        </w:sectPr>
      </w:pPr>
    </w:p>
    <w:bookmarkStart w:id="59" w:name="page60"/>
    <w:bookmarkEnd w:id="59"/>
    <w:p>
      <w:pPr>
        <w:ind w:left="1480" w:right="60" w:hanging="446"/>
        <w:spacing w:after="0" w:line="308"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certificate of incorporation was amended and restated to authorize the issuance of 560 million shares of stock, consisting of 60 million shares of preferred stock, no par value, and 500 million shares of common stock, par value $0.01 per share;</w:t>
      </w:r>
    </w:p>
    <w:p>
      <w:pPr>
        <w:spacing w:after="0" w:line="51" w:lineRule="exact"/>
        <w:rPr>
          <w:rFonts w:ascii="Arial" w:cs="Arial" w:eastAsia="Arial" w:hAnsi="Arial"/>
          <w:sz w:val="17"/>
          <w:szCs w:val="17"/>
          <w:color w:val="auto"/>
        </w:rPr>
      </w:pPr>
    </w:p>
    <w:p>
      <w:pPr>
        <w:ind w:left="1480" w:right="400" w:hanging="446"/>
        <w:spacing w:after="0" w:line="34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entered into a senior secured first lien term loan agreement and senior secured second lien term loan agreement for an aggregate principal amount of $695 million and a $200 million senior secured asset-based revolving credit facility;</w:t>
      </w:r>
    </w:p>
    <w:p>
      <w:pPr>
        <w:spacing w:after="0" w:line="29" w:lineRule="exact"/>
        <w:rPr>
          <w:rFonts w:ascii="Arial" w:cs="Arial" w:eastAsia="Arial" w:hAnsi="Arial"/>
          <w:sz w:val="16"/>
          <w:szCs w:val="16"/>
          <w:color w:val="auto"/>
        </w:rPr>
      </w:pPr>
    </w:p>
    <w:p>
      <w:pPr>
        <w:ind w:left="1480" w:hanging="446"/>
        <w:spacing w:after="0" w:line="31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issued 34 million shares of common stock to unsecured creditors and the Backstop Parties (as defined below) at a per share price of $11.94, for an aggregate purchase price of approximately $406 million. In addition, the Company issued 1.7 million shares of common stock to the Backstop Parties in payment of fees pursuant to the Backstop Commitment Agreement (as defined below);</w:t>
      </w:r>
    </w:p>
    <w:p>
      <w:pPr>
        <w:spacing w:after="0" w:line="52" w:lineRule="exact"/>
        <w:rPr>
          <w:rFonts w:ascii="Arial" w:cs="Arial" w:eastAsia="Arial" w:hAnsi="Arial"/>
          <w:sz w:val="16"/>
          <w:szCs w:val="16"/>
          <w:color w:val="auto"/>
        </w:rPr>
      </w:pPr>
    </w:p>
    <w:p>
      <w:pPr>
        <w:ind w:left="1480" w:right="120" w:hanging="446"/>
        <w:spacing w:after="0" w:line="264"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issued 6 million shares of common stock and net-share settled warrants to purchase: (i) approximately 2.1 million shares of new common stock at an exercise price of $14.93 and (ii) approximately 2.1 million shares of new common stock at an exercise price of $16.12, to the holders of general unsecured and retiree committee unsecured claims;</w:t>
      </w:r>
    </w:p>
    <w:p>
      <w:pPr>
        <w:spacing w:after="0" w:line="86" w:lineRule="exact"/>
        <w:rPr>
          <w:rFonts w:ascii="Arial" w:cs="Arial" w:eastAsia="Arial" w:hAnsi="Arial"/>
          <w:sz w:val="18"/>
          <w:szCs w:val="18"/>
          <w:color w:val="auto"/>
        </w:rPr>
      </w:pPr>
    </w:p>
    <w:p>
      <w:pPr>
        <w:ind w:left="1480" w:right="78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Debtors established a liquidating trust (the “Kodak GUC Trust”) for the benefit of holders of general unsecured and retiree committee unsecured claims, into which certain avoidance actions of the Debtors were transferred;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Debtors paid approximately $94 million in administrative, priority or secured claims; and</w:t>
      </w:r>
    </w:p>
    <w:p>
      <w:pPr>
        <w:spacing w:after="0" w:line="130"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Debtors resolved claims held by the Kodak Pension Plan of the United Kingdom (the “U.K. Pension Plan”) pursuant to the terms of the Global Settlement (as defined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Backstop Commitment Agreement and Rights Offering</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On June 26, 2013, the Bankruptcy Court approved the Company’s entry into a backstop commitment agreement (the “Backstop Commitment Agreement”) with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associated with rights offerings to offer eligible creditors, including the Backstop Parties, up to 34 million shares of common stock for the per share purchase price of $11.94, or an aggregate purchase price of approximately $406 million.</w:t>
      </w:r>
    </w:p>
    <w:p>
      <w:pPr>
        <w:spacing w:after="0" w:line="15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 The shares issued to participants in the rights offerings were issued in reliance upon the exemption from registration under the Securities Act of 1933 provided by Regulation D thereunder and/or Section 4(a)(2) thereof; or under Section 1145 of the Bankruptcy Code as securities of a debtor issued principally in exchange for claims against a debtor and partly in exchange for cash pursuant to a plan of reorganization.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17"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On the Effective Date, the Company and the Backstop Parties executed a registration rights agreement (the “Registration Rights Agreement”). The Registration Rights Agreement, among other rights, provides the Backstop Parties with certain registration rights with respect to the common stock.</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Stockholders holding registrable securities representing 25% of the outstanding common stock as of the Effective Date may require the Company to facilitate a registered offering of registrable securities; provided that if such registration has not been consummated prior to the second anniversary of the Effective Date, stockholders holding registrable securities representing 10% of the outstanding common stock as of the Effective Date may require the Company to facilitate such an offering (such offering, the “Initial Registration”). The registrable securities requested to be sold in the Initial Registration must have an aggregate market value of at least $75 million.</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Following the Initial Registration, stockholders holding 10% or more of the outstanding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registrable securities as set forth in the Registration Rights Agreement. Stockholders also have the right to include their registrable securities in the Initial Registration or any other non-shelf registered offering or shelf takedown of the common stock by the Company for its own account or for the account of any holders of common stock.</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KPP Global Settlement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had previously issued (pre-petition) a guarantee to Kodak Limited (the “Subsidiary”) and KPP Trustees Limited (“KPP” or the “Trustee”), as trustee for the U.K. Pension Plan. Under that arrangement, EKC guaranteed to the Subsidiary and the Trustee the ability of the Subsidiary, only to the extent it became necessary to do so, to (1) make contributions to the U.K. Pension Plan to ensure sufficient assets existed to make plan benefit payments, as they became due, if the Subsidiary otherwise would not have sufficient assets and (2) make contributions to the U.K. Pension Plan such that it would achieve fully funded status by the funding valuation for the period ending December 31, 2022.</w:t>
      </w:r>
    </w:p>
    <w:p>
      <w:pPr>
        <w:spacing w:after="0" w:line="173"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The Subsidiary agreed to make certain contributions to the U.K. Pension Plan as determined by a funding plan agreed to by the Trustee. The Subsidiary did not pay the annual contributions due by the funding plan for 2012 or 2013. The Trustee asserted an unsecured claim against the Company of approximately $2.8 billion under the guarantee. The Subsidiary also asserted an unsecured claim under the guarantee for an unliquidated amount. The Trustee also asserted an unliquidated claim against all Debtors, as financial support direction and contribution notice claims.</w:t>
      </w:r>
    </w:p>
    <w:p>
      <w:pPr>
        <w:spacing w:after="0" w:line="154"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On April 26, 2013, Eastman Kodak Company, the Trustee, Kodak Limited and certain other Kodak entities entered into a global settlement agreement (the “Global Settlement”) that resolved all liabilities of Kodak with respect to the U.K. Pension Plan. The Global Settlement also provided for the acquisition by KPP and/or its subsidiaries of certain assets, and the assumption by KPP and/or its subsidiaries of certain liabilities of Kodak’s Personalized Imaging and Document Imaging businesses (together the “Business”) under a Stock and Asset Purchase Agreement dated April 26, 2013 (the “SAPA”).</w:t>
      </w:r>
    </w:p>
    <w:p>
      <w:pPr>
        <w:spacing w:after="0" w:line="15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On August 30, 2013, the Company entered into an agreement (the “Amended SAPA”) amending and restating the SAPA. The Amended SAPA provided for, among other things, a series of deferred closings to take place in certain foreign jurisdictions following the initial closing under the Amended SAPA. The deferred closings implemented the legal transfer of the Business to KPP subsidiaries in the deferred closing foreign jurisdictions in accordance with local law. Pursuant to the Amended SAPA, Kodak operated the Business relating to the deferred closing jurisdictions, subject to certain covenants, until the applicable deferred closing occurred, and delivered to (or received from) a KPP subsidiary at each deferred closing a payment reflecting the actual economic benefit (or detriment) to the Business in the applicable deferred closing jurisdiction(s) from September 1, 2013 through the time of the applicable deferred closing. Up to the time of the deferred closing, the results of the operations of the Business were reported as Loss (earnings) from discontinued operations, net of income taxes in the Consolidated Statement of Operations and the assets and liabilities of the Business were categorized as Assets held for sale or Liabilities held for sale in the Consolidated Statement of Financial Position, as appropriate.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On the Effective Date, the following occurred pursuant to the Amended SAPA and Global Settlement:</w:t>
      </w:r>
    </w:p>
    <w:p>
      <w:pPr>
        <w:spacing w:after="0" w:line="131" w:lineRule="exact"/>
        <w:rPr>
          <w:sz w:val="20"/>
          <w:szCs w:val="20"/>
          <w:color w:val="auto"/>
        </w:rPr>
      </w:pPr>
    </w:p>
    <w:p>
      <w:pPr>
        <w:jc w:val="both"/>
        <w:ind w:left="900" w:right="60" w:hanging="446"/>
        <w:spacing w:after="0" w:line="25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acquisition by KPP Holdco Limited (“KPP Holdco”), a wholly owned subsidiary of KPP, and certain direct and indirect subsidiaries of KPP Holdco (together with KPP Holdco, the “KPP Purchasing Parties”), of certain assets of the Business, and the assumption by the KPP Purchasing Parties of certain liabilities of the Business, for a total purchase price, exclusive of the assumption of liabilities, of $650 million, of which a gross $525 million was paid in cash (net cash consideration of $325 million) and the balance of which was settled by a $125 million note issued by the KPP (the “KPP Note”).</w:t>
      </w:r>
    </w:p>
    <w:p>
      <w:pPr>
        <w:spacing w:after="0" w:line="93" w:lineRule="exact"/>
        <w:rPr>
          <w:rFonts w:ascii="Arial" w:cs="Arial" w:eastAsia="Arial" w:hAnsi="Arial"/>
          <w:sz w:val="18"/>
          <w:szCs w:val="18"/>
          <w:color w:val="auto"/>
        </w:rPr>
      </w:pPr>
    </w:p>
    <w:p>
      <w:pPr>
        <w:ind w:left="900" w:right="400" w:hanging="446"/>
        <w:spacing w:after="0" w:line="308"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KPP Note was cancelled after being assigned by the Company to the Subsidiary and subsequently assigned by the Subsidiary to KPP as settlement, by way of setoff, of an equal amount of outstanding pension liabilities of the Subsidiary to KPP.</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cash consideration was comprised of $325 million sourced from assets of the U.K. Pension Plan and $200 million sourced from a payment by the Subsidiary to KPP as payment for outstanding pension liabilities of the Subsidiary to KPP.</w:t>
      </w:r>
    </w:p>
    <w:p>
      <w:pPr>
        <w:spacing w:after="0" w:line="75"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 to $35 million in aggregate of the purchase price is subject to repayment to KPP if the Business does not achieve certain annual adjusted EBITDA targets over the four-year period ending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363 ASSET SALES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February 1, 2013, Kodak entered into a series of agreements related to the monetization of certain of its intellectual property assets, including the sale of its digital imaging patents. Under these agreements, Kodak received approximately $530 million, a portion of which was paid by twelve licensees that received a license to the digital imaging patent portfolio and other patents owned by Kodak. Another portion was paid by Intellectual Ventures Fund 83 LLC (“Intellectual Ventures”) and Apple, Inc., each of which acquired a portion of the digital imaging patent portfolio, subject to the licenses granted to the twelve new licensees, and previously existing licenses. In addition, Kodak retained a license to the digital imaging patents for its own use. In connection with this transaction, the Company entered into a separate agreement with FUJIFILM Corporation (“Fuji”) whereby, among other things, Fuji granted Kodak the right to sub-license certain Fuji patents to businesses Kodak ultimately sold as part of the Plan. The Debtors also agreed to allow Fuji a general unsecured claim against the Debtors in the amount of $70 million that was discharged pursuant to the terms of the Plan.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EASTMAN BUSINESS PARK SETTLEMENT AGREEMENT</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The Amended EBP Settlement Agreement was subject to the satisfaction or waiver of certain conditions including a covenant not to sue from the EPA. On May 13, 2014, the Bankruptcy Court approved the U.S. Environmental Settlement, which contained the EPA covenant not to sue, and on May 20, 2014 the Amended EBP Settlement Agreement was implemented and became effective. The Amended EBP Settlement Agreement included the settlement of certain of the Company’s historical environmental liabilities at EBP through the establishment of the EBP Trust as follows: (i) the EBP Trust is responsible for investigation and remediation at EBP arising from the Company’s historical subsurface environmental liabilities in existence prior to the effective date of the Amended EBP Settlement Agreement, (ii) the Company funded the EBP Trust on the effective date with a $49 million cash payment and transferred certain equipment and fixtures used for remediation at EBP and (iii) in the event the historical liabilities exceed $99 million, the Company will become liable for 50% of the portion above $99 million. Prior to the implementation of the Amended EBP Settlement Agreement, $49 million was already held in a separate trust and escrow account.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BENEFITS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7, 2012, the Bankruptcy Court entered an order approving a settlement agreement between the Debtors and the Official Committee of Retired Employees appointed by the U.S. Trustee under the chapter 11 proceedings (the “Retiree Committee”). Under the settlement agreement, the Debtors no longer provide retiree medical, dental, life insurance and survivor income benefits to current and future retirees after December 31, 2012 (other than COBRA continuation coverage of medical and/or dental benefits or conversion coverage as required by applicable benefit plans or applicable law), and the Retiree Committee established a trust from which some limited benefits for some retirees may be provided after December 31, 2012. The trust or related account was funded by the following contributions from the Debtors: $7.5 million in cash paid by the Company in the fourth quarter of 2012, an administrative claim against the Debtors in the amount of $15 million that was paid on the Effective Date, and a general unsecured claim against the Debtors in the amount of $635 million that was discharged upon emergence from chapter 11 pursuant to the terms of the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RETIREES’ SETTLEMENT</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Debtors’ estimated allowed claims for pre-petition obligations for the Kodak Excess Retirement Income Plan (the “KERIP”), the Kodak Unfunded Retirement Income Plan (the “KURIP”), the Kodak Company Global Pension Plan for International Employees, and individual letter agreements with certain current and former employees that provided for supplemental non-qualified pension benefits were reported as Liabilities subject to compromise in the accompanying Consolidated Statement of Financial Position.</w:t>
      </w:r>
    </w:p>
    <w:p>
      <w:pPr>
        <w:spacing w:after="0" w:line="18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On April 30, 2013, Eastman Kodak Retirees Association Ltd. and certain holders of KERIP and KURIP claims (together with the Debtors, the “Settlement Parties”) filed a motion (the “Motion”) requesting that the Bankruptcy Court appoint a committee pursuant to section 1102(a)(2) of the Bankruptcy Code, to represent the interests of the holders of the KERIP and KURIP claims, and asserted that they and certain other holders of the KERIP and KURIP claims disagreed with the underlying discount rates and mortality tables used by the Debtors to calculate the KERIP and KURIP estimated allowed claim amounts. Subsequent to the filing of the Motion, the Settlement Parties entered into a stipulation (the “Stipulation”) approved by an order of the Bankruptcy Court, which became effective on July 18, 2013, for a total allowed claim of approximately $244 million. During August 2013 a provision for expected allowed claims of approximately $27 million was reflected in Reorganization Items, net in the accompanying Consolidated Statement of Operations to increase the recorded liability to what was ultimately agreed to in the Stipulation.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On the Effective Date, the claim was discharged upon emergence pursuant to the terms of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FRESH START ACCOUNTING</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Company’s emergence from chapter 11, Kodak applied the provisions of fresh start accounting to its financial statements as (i) the holders of existing voting shares of the Predecessor Company received less than 50% of the voting shares of the emerging entity and (ii) the reorganization value of Kodak’s assets immediately prior to confirmation was less than the post-petition liabilities and allowed claims. Kodak applied fresh start accounting as of September 1, 2013.</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Upon the application of fresh start accounting, Kodak allocated the reorganization value to its individual assets based on their estimated fair values. Reorganization value represents the fair value of the Successor Company’s assets before considering liabilities. The excess reorganization value over the fair value of identified tangible and intangible assets is reported as goodwill.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Value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support of the Plan, the enterprise value of the Successor Company was estimated to be in the range of $875 million to $1.4 billion. As part of determining the reorganization value, Kodak estimated the enterprise value of the Successor Company to be $1 billion utilizing the guideline public company method and discounted cash flow method.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2" w:name="page63"/>
    <w:bookmarkEnd w:id="62"/>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estimate fair value utilizing the guideline public company method, Kodak applied valuation multiples, derived from the operating data of publicly-traded benchmark companies, to the same operating data of Kodak. The comparable public company analysis identified a group of comparable companies giving consideration to lines of business and markets served, size and geography. The valuation multiples were derived based on projected financial measures of revenue and earnings before interest, taxes, depreciation and amortization (“EBITDA”) and applied to projected operating data of Kodak. The range of multiples for the comparable companies was between .2x-.9x of revenue and 2.5x-8.0x of EBITDA.</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September 1, 2013 to December 31, 2022 and discounted the estimated future cash flows to present value. The expected cash flows for the period September 1, 2013 to December 31, 2017 were based on the financial projections and assumptions utilized in the disclosure statement. The expected cash flows for the period January 1, 2018 to December 31, 2022 were derived from earnings forecasts and assumptions regarding growth and margin projections, as applicable. A terminal value was included, calculated using the constant growth method, based on the cash flows of the final year of the forecast period.</w:t>
      </w:r>
    </w:p>
    <w:p>
      <w:pPr>
        <w:spacing w:after="0" w:line="158"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discount rate of 29% was estimated based on an after-tax weighted average cost of capital (“WACC”) reflecting the rate of return that would be expected by a market participant. The WACC also takes into consideration a company specific risk premium reflecting the risk associated with the overall uncertainty of the financial projections used to estimate future cash flows.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 valuation approaches produced comparable ranges of enterprise value, Kodak selected equal weighting of the guideline public company method and discounted cash flow method to estimate the enterprise value.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table reconciles the enterprise value to the estimated fair value of Successor common stock as of the Effective Date:</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82"/>
        </w:trPr>
        <w:tc>
          <w:tcPr>
            <w:tcW w:w="5680" w:type="dxa"/>
            <w:vAlign w:val="bottom"/>
            <w:gridSpan w:val="2"/>
          </w:tcPr>
          <w:p>
            <w:pPr>
              <w:spacing w:after="0"/>
              <w:rPr>
                <w:sz w:val="20"/>
                <w:szCs w:val="20"/>
                <w:color w:val="auto"/>
              </w:rPr>
            </w:pPr>
            <w:r>
              <w:rPr>
                <w:rFonts w:ascii="Arial" w:cs="Arial" w:eastAsia="Arial" w:hAnsi="Arial"/>
                <w:sz w:val="14"/>
                <w:szCs w:val="14"/>
                <w:color w:val="auto"/>
              </w:rPr>
              <w:t>(in millions, except share and per share value)</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Plus: Cash and cash equivalents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Other non-operating liabilities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Fair value of debt and capitalized lease obligations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of pension and other postretirement obligations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Less: Fair value of warrants</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Successor common stock</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80" w:type="dxa"/>
            <w:vAlign w:val="bottom"/>
            <w:gridSpan w:val="2"/>
          </w:tcPr>
          <w:p>
            <w:pPr>
              <w:spacing w:after="0"/>
              <w:rPr>
                <w:sz w:val="20"/>
                <w:szCs w:val="20"/>
                <w:color w:val="auto"/>
              </w:rPr>
            </w:pPr>
            <w:r>
              <w:rPr>
                <w:rFonts w:ascii="Arial" w:cs="Arial" w:eastAsia="Arial" w:hAnsi="Arial"/>
                <w:sz w:val="18"/>
                <w:szCs w:val="18"/>
                <w:color w:val="auto"/>
              </w:rPr>
              <w:t>Shares outstanding at September 3, 2013</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41,753,211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Per share value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fair value of debt and capitalized lease obligations represents $44 million of short term borrowings, $14 million of capitalized lease obligations and $676 million of long-term debt. The fair value of long-term debt was determined based on a market approach utilizing market yields and was estimated to be approximately 97% of par value. The fair value of capitalized lease obligations was determined based on market rents while the fair value of short term debt approximated its carrying value.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fair value of pension and other post retirement obligations was determined based on a discounted cash flow method of expected cash contributions/benefit payments for the period of September 1, 2013 to December 31, 2099. The expected cash contributions were discounted to present value using a discount rate of 3.5%.</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fair value of the warrants was estimated using a Black-Scholes pricing model with the following assumptions: implied stock price of $14.11; strike price of $14.93 for 125% warrants and $16.12 for 135% warrants; expected volatility of 47% for 125% warrants and 48% for 135% warrants; expected dividend rate of 0.0%; risk free interest rate of 1.67%; expiration date of five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enterprise value to the estimated reorganization value as of the Effective Date:</w:t>
      </w:r>
    </w:p>
    <w:p>
      <w:pPr>
        <w:spacing w:after="0" w:line="248" w:lineRule="exact"/>
        <w:rPr>
          <w:sz w:val="20"/>
          <w:szCs w:val="20"/>
          <w:color w:val="auto"/>
        </w:rPr>
      </w:pPr>
    </w:p>
    <w:tbl>
      <w:tblPr>
        <w:tblLayout w:type="fixed"/>
        <w:tblInd w:w="1840" w:type="dxa"/>
        <w:tblCellMar>
          <w:top w:w="0" w:type="dxa"/>
          <w:left w:w="0" w:type="dxa"/>
          <w:bottom w:w="0" w:type="dxa"/>
          <w:right w:w="0" w:type="dxa"/>
        </w:tblCellMar>
      </w:tblPr>
      <w:tr>
        <w:trPr>
          <w:trHeight w:val="182"/>
        </w:trPr>
        <w:tc>
          <w:tcPr>
            <w:tcW w:w="7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Plus: Cash and cash equivalents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Plus: Fair value of noncontrolling interests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Plus: Fair value of non-debt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of pension and other postretirement obligations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gridSpan w:val="2"/>
          </w:tcPr>
          <w:p>
            <w:pPr>
              <w:spacing w:after="0"/>
              <w:rPr>
                <w:sz w:val="20"/>
                <w:szCs w:val="20"/>
                <w:color w:val="auto"/>
              </w:rPr>
            </w:pPr>
            <w:r>
              <w:rPr>
                <w:rFonts w:ascii="Arial" w:cs="Arial" w:eastAsia="Arial" w:hAnsi="Arial"/>
                <w:sz w:val="18"/>
                <w:szCs w:val="18"/>
                <w:color w:val="auto"/>
              </w:rPr>
              <w:t>Reorganization value of Successor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fair value of non-debt liabilities represents total liabilities of the Successor Company on the Effective Date less Short term borrowings and current portion of long-term debt, Long-term debt, net of current portion, $14 million in capital lease obligations and $18 million in other non-operating liabilities.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40"/>
          </w:cols>
          <w:pgMar w:left="240" w:top="274" w:right="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Financial Position</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adjustments set forth in the following consolidated Statement of Financial Position reflect the effect of the consummation of the transactions contemplated by the Plan (reflected in the column “Reorganization Adjustments”) as well as fair value adjustments as a result of the adoption of fresh start accounting (reflected in the column “Fresh Start Adjustments”). The explanatory notes highlight methods used to determine fair values or other amounts of the assets and liabilities as well as significant assumptions or inputs.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Predecessor</w:t>
            </w:r>
          </w:p>
        </w:tc>
        <w:tc>
          <w:tcPr>
            <w:tcW w:w="2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2"/>
              </w:rPr>
              <w:t>Reorganization</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Fresh Start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171"/>
        </w:trPr>
        <w:tc>
          <w:tcPr>
            <w:tcW w:w="5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4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Company (a)</w:t>
            </w:r>
          </w:p>
        </w:tc>
        <w:tc>
          <w:tcPr>
            <w:tcW w:w="26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9"/>
              </w:rPr>
              <w:t>Adjustments</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4"/>
              </w:rPr>
              <w:t>Adjustments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1,070</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600" w:type="dxa"/>
            <w:vAlign w:val="bottom"/>
          </w:tcPr>
          <w:p>
            <w:pPr>
              <w:jc w:val="right"/>
              <w:ind w:right="243"/>
              <w:spacing w:after="0"/>
              <w:rPr>
                <w:sz w:val="20"/>
                <w:szCs w:val="20"/>
                <w:color w:val="auto"/>
              </w:rPr>
            </w:pPr>
            <w:r>
              <w:rPr>
                <w:rFonts w:ascii="Arial" w:cs="Arial" w:eastAsia="Arial" w:hAnsi="Arial"/>
                <w:sz w:val="15"/>
                <w:szCs w:val="15"/>
                <w:color w:val="auto"/>
                <w:w w:val="97"/>
              </w:rPr>
              <w:t>(21)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7"/>
              </w:rPr>
              <w:t>(22)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183"/>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5"/>
                <w:szCs w:val="15"/>
                <w:color w:val="auto"/>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 net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6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7"/>
              </w:rPr>
              <w:t>(24)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600" w:type="dxa"/>
            <w:vAlign w:val="bottom"/>
          </w:tcPr>
          <w:p>
            <w:pPr>
              <w:jc w:val="right"/>
              <w:ind w:right="243"/>
              <w:spacing w:after="0"/>
              <w:rPr>
                <w:sz w:val="20"/>
                <w:szCs w:val="20"/>
                <w:color w:val="auto"/>
              </w:rPr>
            </w:pPr>
            <w:r>
              <w:rPr>
                <w:rFonts w:ascii="Arial" w:cs="Arial" w:eastAsia="Arial" w:hAnsi="Arial"/>
                <w:sz w:val="15"/>
                <w:szCs w:val="15"/>
                <w:color w:val="auto"/>
                <w:w w:val="97"/>
              </w:rPr>
              <w:t>(25)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7"/>
              </w:rPr>
              <w:t>(26)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540" w:type="dxa"/>
            <w:vAlign w:val="bottom"/>
          </w:tcPr>
          <w:p>
            <w:pPr>
              <w:ind w:left="20"/>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600" w:type="dxa"/>
            <w:vAlign w:val="bottom"/>
          </w:tcPr>
          <w:p>
            <w:pPr>
              <w:jc w:val="right"/>
              <w:ind w:right="243"/>
              <w:spacing w:after="0"/>
              <w:rPr>
                <w:sz w:val="20"/>
                <w:szCs w:val="20"/>
                <w:color w:val="auto"/>
              </w:rPr>
            </w:pPr>
            <w:r>
              <w:rPr>
                <w:rFonts w:ascii="Arial" w:cs="Arial" w:eastAsia="Arial" w:hAnsi="Arial"/>
                <w:sz w:val="15"/>
                <w:szCs w:val="15"/>
                <w:color w:val="auto"/>
                <w:w w:val="97"/>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3"/>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5"/>
                <w:szCs w:val="15"/>
                <w:color w:val="auto"/>
              </w:rPr>
              <w:t>(27)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183"/>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5"/>
                <w:szCs w:val="15"/>
                <w:color w:val="auto"/>
              </w:rPr>
              <w:t>(28)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7"/>
              </w:rPr>
              <w:t>(29)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 (DEFICIT)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trade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(8)</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(641)</w:t>
            </w:r>
          </w:p>
        </w:tc>
        <w:tc>
          <w:tcPr>
            <w:tcW w:w="540" w:type="dxa"/>
            <w:vAlign w:val="bottom"/>
          </w:tcPr>
          <w:p>
            <w:pPr>
              <w:ind w:left="20"/>
              <w:spacing w:after="0"/>
              <w:rPr>
                <w:sz w:val="20"/>
                <w:szCs w:val="20"/>
                <w:color w:val="auto"/>
              </w:rPr>
            </w:pPr>
            <w:r>
              <w:rPr>
                <w:rFonts w:ascii="Arial" w:cs="Arial" w:eastAsia="Arial" w:hAnsi="Arial"/>
                <w:sz w:val="15"/>
                <w:szCs w:val="15"/>
                <w:color w:val="auto"/>
              </w:rPr>
              <w:t>(11)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540" w:type="dxa"/>
            <w:vAlign w:val="bottom"/>
          </w:tcPr>
          <w:p>
            <w:pPr>
              <w:ind w:left="20"/>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183"/>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5"/>
                <w:szCs w:val="15"/>
                <w:color w:val="auto"/>
              </w:rPr>
              <w:t>(30)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3"/>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5"/>
                <w:szCs w:val="15"/>
                <w:color w:val="auto"/>
              </w:rPr>
              <w:t>(29)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(14)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sale</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3"/>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5"/>
                <w:szCs w:val="15"/>
                <w:color w:val="auto"/>
              </w:rPr>
              <w:t>(22)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7"/>
              </w:rPr>
              <w:t>(31)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liabilities</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6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7"/>
              </w:rPr>
              <w:t>(29)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600" w:type="dxa"/>
            <w:vAlign w:val="bottom"/>
          </w:tcPr>
          <w:p>
            <w:pPr>
              <w:jc w:val="right"/>
              <w:ind w:right="243"/>
              <w:spacing w:after="0"/>
              <w:rPr>
                <w:sz w:val="20"/>
                <w:szCs w:val="20"/>
                <w:color w:val="auto"/>
              </w:rPr>
            </w:pPr>
            <w:r>
              <w:rPr>
                <w:rFonts w:ascii="Arial" w:cs="Arial" w:eastAsia="Arial" w:hAnsi="Arial"/>
                <w:sz w:val="15"/>
                <w:szCs w:val="15"/>
                <w:color w:val="auto"/>
                <w:w w:val="97"/>
              </w:rPr>
              <w:t>(23)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3"/>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5"/>
                <w:szCs w:val="15"/>
                <w:color w:val="auto"/>
              </w:rPr>
              <w:t>(32)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Liabilities subject to compromise</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2,475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(2,475)</w:t>
            </w:r>
          </w:p>
        </w:tc>
        <w:tc>
          <w:tcPr>
            <w:tcW w:w="540" w:type="dxa"/>
            <w:vAlign w:val="bottom"/>
          </w:tcPr>
          <w:p>
            <w:pPr>
              <w:ind w:left="20"/>
              <w:spacing w:after="0"/>
              <w:rPr>
                <w:sz w:val="20"/>
                <w:szCs w:val="20"/>
                <w:color w:val="auto"/>
              </w:rPr>
            </w:pPr>
            <w:r>
              <w:rPr>
                <w:rFonts w:ascii="Arial" w:cs="Arial" w:eastAsia="Arial" w:hAnsi="Arial"/>
                <w:sz w:val="15"/>
                <w:szCs w:val="15"/>
                <w:color w:val="auto"/>
              </w:rPr>
              <w:t>(17)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Equity (Deficit)</w:t>
            </w:r>
          </w:p>
        </w:tc>
        <w:tc>
          <w:tcPr>
            <w:tcW w:w="2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(Successor)</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Additional paid in capital (Successor)</w:t>
            </w:r>
          </w:p>
        </w:tc>
        <w:tc>
          <w:tcPr>
            <w:tcW w:w="220" w:type="dxa"/>
            <w:vAlign w:val="bottom"/>
          </w:tcPr>
          <w:p>
            <w:pPr>
              <w:spacing w:after="0"/>
              <w:rPr>
                <w:sz w:val="18"/>
                <w:szCs w:val="18"/>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(18)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600" w:type="dxa"/>
            <w:vAlign w:val="bottom"/>
          </w:tcPr>
          <w:p>
            <w:pPr>
              <w:jc w:val="right"/>
              <w:ind w:right="243"/>
              <w:spacing w:after="0"/>
              <w:rPr>
                <w:sz w:val="20"/>
                <w:szCs w:val="20"/>
                <w:color w:val="auto"/>
              </w:rPr>
            </w:pPr>
            <w:r>
              <w:rPr>
                <w:rFonts w:ascii="Arial" w:cs="Arial" w:eastAsia="Arial" w:hAnsi="Arial"/>
                <w:sz w:val="15"/>
                <w:szCs w:val="15"/>
                <w:color w:val="auto"/>
                <w:w w:val="97"/>
              </w:rPr>
              <w:t>(33)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(Predecessor)</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Additional paid in capital (Predecessor)</w:t>
            </w:r>
          </w:p>
        </w:tc>
        <w:tc>
          <w:tcPr>
            <w:tcW w:w="2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1,105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(1,105)</w:t>
            </w:r>
          </w:p>
        </w:tc>
        <w:tc>
          <w:tcPr>
            <w:tcW w:w="540" w:type="dxa"/>
            <w:vAlign w:val="bottom"/>
          </w:tcPr>
          <w:p>
            <w:pPr>
              <w:ind w:left="20"/>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3"/>
              <w:spacing w:after="0"/>
              <w:rPr>
                <w:sz w:val="20"/>
                <w:szCs w:val="20"/>
                <w:color w:val="auto"/>
              </w:rPr>
            </w:pPr>
            <w:r>
              <w:rPr>
                <w:rFonts w:ascii="Arial" w:cs="Arial" w:eastAsia="Arial" w:hAnsi="Arial"/>
                <w:sz w:val="18"/>
                <w:szCs w:val="18"/>
                <w:color w:val="auto"/>
              </w:rPr>
              <w:t xml:space="preserve">(775) </w:t>
            </w:r>
            <w:r>
              <w:rPr>
                <w:rFonts w:ascii="Arial" w:cs="Arial" w:eastAsia="Arial" w:hAnsi="Arial"/>
                <w:sz w:val="15"/>
                <w:szCs w:val="15"/>
                <w:color w:val="auto"/>
              </w:rPr>
              <w:t>(34)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(1,008)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1,008</w:t>
            </w:r>
          </w:p>
        </w:tc>
        <w:tc>
          <w:tcPr>
            <w:tcW w:w="600" w:type="dxa"/>
            <w:vAlign w:val="bottom"/>
          </w:tcPr>
          <w:p>
            <w:pPr>
              <w:jc w:val="right"/>
              <w:ind w:right="243"/>
              <w:spacing w:after="0"/>
              <w:rPr>
                <w:sz w:val="20"/>
                <w:szCs w:val="20"/>
                <w:color w:val="auto"/>
              </w:rPr>
            </w:pPr>
            <w:r>
              <w:rPr>
                <w:rFonts w:ascii="Arial" w:cs="Arial" w:eastAsia="Arial" w:hAnsi="Arial"/>
                <w:sz w:val="15"/>
                <w:szCs w:val="15"/>
                <w:color w:val="auto"/>
                <w:w w:val="97"/>
              </w:rPr>
              <w:t>(34)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Less: Treasury stock (Predecessor)</w:t>
            </w:r>
          </w:p>
        </w:tc>
        <w:tc>
          <w:tcPr>
            <w:tcW w:w="22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(5,711)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5,711</w:t>
            </w:r>
          </w:p>
        </w:tc>
        <w:tc>
          <w:tcPr>
            <w:tcW w:w="600" w:type="dxa"/>
            <w:vAlign w:val="bottom"/>
            <w:gridSpan w:val="2"/>
          </w:tcPr>
          <w:p>
            <w:pPr>
              <w:ind w:left="20"/>
              <w:spacing w:after="0"/>
              <w:rPr>
                <w:sz w:val="20"/>
                <w:szCs w:val="20"/>
                <w:color w:val="auto"/>
              </w:rPr>
            </w:pPr>
            <w:r>
              <w:rPr>
                <w:rFonts w:ascii="Arial" w:cs="Arial" w:eastAsia="Arial" w:hAnsi="Arial"/>
                <w:sz w:val="15"/>
                <w:szCs w:val="15"/>
                <w:color w:val="auto"/>
              </w:rPr>
              <w:t>(19)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Eastman Kodak Company shareholders’ (deficit) equity</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(2,190)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2,497</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 (deficit)</w:t>
            </w:r>
          </w:p>
        </w:tc>
        <w:tc>
          <w:tcPr>
            <w:tcW w:w="2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2,497</w:t>
            </w: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 (DEFICIT)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w:t>
            </w:r>
          </w:p>
        </w:tc>
        <w:tc>
          <w:tcPr>
            <w:tcW w:w="8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274" w:right="239" w:bottom="1440" w:gutter="0" w:footer="0" w:header="0"/>
        </w:sect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74" w:right="239" w:bottom="1440" w:gutter="0" w:footer="0" w:header="0"/>
          <w:type w:val="continuous"/>
        </w:sectPr>
      </w:pPr>
    </w:p>
    <w:bookmarkStart w:id="65" w:name="page66"/>
    <w:bookmarkEnd w:id="65"/>
    <w:p>
      <w:pPr>
        <w:ind w:left="460" w:right="62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Effective Date, Kodak completed the sale of substantially all of its assets constituting the Personalized Imaging and Document Imaging businesses to KPP Holdco Limited. This transaction has been reflected in the Predecessor Company period. Refer to Note 27, “Discontinued Operations” for additional information.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adjustments</w:t>
      </w:r>
    </w:p>
    <w:p>
      <w:pPr>
        <w:spacing w:after="0" w:line="13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Reflects the net cash payments recorded as of the Effective Date from implementation of the Plan:</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82"/>
        </w:trPr>
        <w:tc>
          <w:tcPr>
            <w:tcW w:w="53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Sources:</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color w:val="auto"/>
              </w:rPr>
              <w:t>Net proceeds from Emergence Credit Facilities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Rights Offerings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Total sources</w:t>
            </w:r>
          </w:p>
        </w:tc>
        <w:tc>
          <w:tcPr>
            <w:tcW w:w="19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Uses:</w:t>
            </w:r>
          </w:p>
        </w:tc>
        <w:tc>
          <w:tcPr>
            <w:tcW w:w="1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Repayment of Junior DIP Term Loans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Second Lien Notes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Claims paid at emergence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Funding of escrow accounts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ind w:left="340"/>
              <w:spacing w:after="0"/>
              <w:rPr>
                <w:sz w:val="20"/>
                <w:szCs w:val="20"/>
                <w:color w:val="auto"/>
              </w:rPr>
            </w:pPr>
            <w:r>
              <w:rPr>
                <w:rFonts w:ascii="Arial" w:cs="Arial" w:eastAsia="Arial" w:hAnsi="Arial"/>
                <w:sz w:val="18"/>
                <w:szCs w:val="18"/>
                <w:color w:val="auto"/>
              </w:rPr>
              <w:t>Other fees and expenses</w:t>
            </w:r>
          </w:p>
        </w:tc>
        <w:tc>
          <w:tcPr>
            <w:tcW w:w="19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uses</w:t>
            </w:r>
          </w:p>
        </w:tc>
        <w:tc>
          <w:tcPr>
            <w:tcW w:w="32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Net uses</w:t>
            </w:r>
          </w:p>
        </w:tc>
        <w:tc>
          <w:tcPr>
            <w:tcW w:w="274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60"/>
        <w:spacing w:after="0" w:line="308" w:lineRule="auto"/>
        <w:rPr>
          <w:sz w:val="20"/>
          <w:szCs w:val="20"/>
          <w:color w:val="auto"/>
        </w:rPr>
      </w:pPr>
      <w:r>
        <w:rPr>
          <w:rFonts w:ascii="Arial" w:cs="Arial" w:eastAsia="Arial" w:hAnsi="Arial"/>
          <w:sz w:val="17"/>
          <w:szCs w:val="17"/>
          <w:color w:val="auto"/>
        </w:rPr>
        <w:t>Other fees and expenses represent $7 million payment for accrued and unpaid interest related to the repayment of debt and $9 million payment for emergence and success fees, which is included in Reorganization items, net in the Consolidated Statement of Operations.</w:t>
      </w:r>
    </w:p>
    <w:p>
      <w:pPr>
        <w:spacing w:after="0" w:line="52" w:lineRule="exact"/>
        <w:rPr>
          <w:sz w:val="20"/>
          <w:szCs w:val="20"/>
          <w:color w:val="auto"/>
        </w:rPr>
      </w:pPr>
    </w:p>
    <w:p>
      <w:pPr>
        <w:ind w:left="460" w:right="160" w:hanging="452"/>
        <w:spacing w:after="0" w:line="256"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Reflects the funding of $80 million to the professional fee escrow account for professional fees accrued at emergence and $18 million related to the EBP Settlement Agreement. Refer to Note 24, “Emergence from Voluntary Reorganization under Chapter 11 Proceedings” for additional information regarding the EBP Settlement Agreement.</w:t>
      </w:r>
    </w:p>
    <w:p>
      <w:pPr>
        <w:ind w:left="460" w:right="360" w:hanging="452"/>
        <w:spacing w:after="0" w:line="265"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7"/>
          <w:szCs w:val="17"/>
          <w:color w:val="auto"/>
        </w:rPr>
        <w:t>Reflects the expiration of tax attributes, which was fully offset by a corresponding decrease in Kodak’s U.S. valuation allowance, as a result of the Debtors’ emergence from chapter 11 bankruptcy proceedings. Refer to Note 14, “Income Taxes” for additional information.</w:t>
      </w:r>
    </w:p>
    <w:p>
      <w:pPr>
        <w:ind w:left="460" w:hanging="452"/>
        <w:spacing w:after="0" w:line="281"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Represents the write-off of unamortized debt issuance costs of $1 million related to the Junior DIP Credit Agreement upon repayment in full of all outstanding term loans on the Effective Date. This amount has been included in Reorganization items, net in the Consolidated Statement of Operations.</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the funding of $15 million in cash collateralization for letters of credit under the ABL Credit Facility.</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$8 million of debt issuance costs incurred related to the Emergence Credit Facilities.</w:t>
      </w:r>
    </w:p>
    <w:p>
      <w:pPr>
        <w:spacing w:after="0" w:line="9" w:lineRule="exact"/>
        <w:rPr>
          <w:rFonts w:ascii="Arial" w:cs="Arial" w:eastAsia="Arial" w:hAnsi="Arial"/>
          <w:sz w:val="15"/>
          <w:szCs w:val="15"/>
          <w:color w:val="auto"/>
        </w:rPr>
      </w:pPr>
    </w:p>
    <w:p>
      <w:pPr>
        <w:ind w:left="460" w:right="40" w:hanging="452"/>
        <w:spacing w:after="0" w:line="250"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the write-off of $5 million of deferred debt issuance costs upon repayment in full of all loans outstanding under the 9.75% senior secured notes due 2018 and 10.625% senior secured notes due 2019 and the write-off of $3 million of deferred equity issuance costs. These amounts have been included in Reorganization items, net in the Consolidated Statement of Operations.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$6 million in claims expected to be satisfied in cash that were reclassified from Liabilities subject to compromise.</w:t>
      </w:r>
    </w:p>
    <w:p>
      <w:pPr>
        <w:spacing w:after="0" w:line="9" w:lineRule="exact"/>
        <w:rPr>
          <w:rFonts w:ascii="Arial" w:cs="Arial" w:eastAsia="Arial" w:hAnsi="Arial"/>
          <w:sz w:val="15"/>
          <w:szCs w:val="15"/>
          <w:color w:val="auto"/>
        </w:rPr>
      </w:pPr>
    </w:p>
    <w:p>
      <w:pPr>
        <w:ind w:left="460" w:right="320" w:hanging="452"/>
        <w:spacing w:after="0" w:line="250"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$3 million of accrued expenses related to the Emergence Credit Facilities that have been deferred and recorded as part of Other Current assets.</w:t>
      </w:r>
    </w:p>
    <w:p>
      <w:pPr>
        <w:ind w:left="460" w:right="80" w:hanging="452"/>
        <w:spacing w:after="0" w:line="250"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$13 million in success fees accrued upon emergence that have been included in Reorganization items, net in the Consolidated Statement of Operations.</w:t>
      </w:r>
    </w:p>
    <w:p>
      <w:pPr>
        <w:ind w:left="460" w:right="40" w:hanging="452"/>
        <w:spacing w:after="0" w:line="250"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On the Effective Date, the Company repaid in full all term loans outstanding under the Junior DIP Credit Agreement for an aggregate remaining principal amount of approximately $644 million offset by $3 million of unamortized debt discount that was written off upon repayment of the debt and is included in Reorganization items, net in the Consolidated Statement of Operations.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Represents $4 million of principal amount recorded as short-term borrowings pursuant to the terms of the Emergence Credit Facility.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66" w:name="page67"/>
    <w:bookmarkEnd w:id="66"/>
    <w:p>
      <w:pPr>
        <w:ind w:left="452" w:right="180" w:hanging="452"/>
        <w:spacing w:after="0" w:line="258" w:lineRule="auto"/>
        <w:tabs>
          <w:tab w:leader="none" w:pos="452" w:val="left"/>
        </w:tabs>
        <w:numPr>
          <w:ilvl w:val="0"/>
          <w:numId w:val="22"/>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Effective Date, the Company paid $7 million of accrued and unpaid interest related to the repayment of debt and $10 million in administrative claims that was included within Other current liabilities.</w:t>
      </w:r>
    </w:p>
    <w:p>
      <w:pPr>
        <w:ind w:left="452" w:right="300" w:hanging="452"/>
        <w:spacing w:after="0" w:line="251" w:lineRule="auto"/>
        <w:tabs>
          <w:tab w:leader="none" w:pos="452" w:val="left"/>
        </w:tabs>
        <w:numPr>
          <w:ilvl w:val="0"/>
          <w:numId w:val="22"/>
        </w:numPr>
        <w:rPr>
          <w:rFonts w:ascii="Arial" w:cs="Arial" w:eastAsia="Arial" w:hAnsi="Arial"/>
          <w:sz w:val="15"/>
          <w:szCs w:val="15"/>
          <w:color w:val="auto"/>
        </w:rPr>
      </w:pPr>
      <w:r>
        <w:rPr>
          <w:rFonts w:ascii="Arial" w:cs="Arial" w:eastAsia="Arial" w:hAnsi="Arial"/>
          <w:sz w:val="18"/>
          <w:szCs w:val="18"/>
          <w:color w:val="auto"/>
        </w:rPr>
        <w:t>Represents $29 million in claims expected to be settled in cash and $9 million of liabilities that have been retained by Kodak in accordance with the Plan that have been reclassified from Liabilities subject to compromise.</w:t>
      </w:r>
    </w:p>
    <w:p>
      <w:pPr>
        <w:ind w:left="452" w:right="60" w:hanging="452"/>
        <w:spacing w:after="0" w:line="265" w:lineRule="auto"/>
        <w:tabs>
          <w:tab w:leader="none" w:pos="452" w:val="left"/>
        </w:tabs>
        <w:numPr>
          <w:ilvl w:val="0"/>
          <w:numId w:val="22"/>
        </w:numPr>
        <w:rPr>
          <w:rFonts w:ascii="Arial" w:cs="Arial" w:eastAsia="Arial" w:hAnsi="Arial"/>
          <w:sz w:val="14"/>
          <w:szCs w:val="14"/>
          <w:color w:val="auto"/>
        </w:rPr>
      </w:pPr>
      <w:r>
        <w:rPr>
          <w:rFonts w:ascii="Arial" w:cs="Arial" w:eastAsia="Arial" w:hAnsi="Arial"/>
          <w:sz w:val="17"/>
          <w:szCs w:val="17"/>
          <w:color w:val="auto"/>
        </w:rPr>
        <w:t>On the Effective Date, the Company repaid in full all loans outstanding under the 9.75% senior secured notes due 2018 and 10.625% senior secured notes due 2019 for an aggregate principal amount of approximately $375 million offset by $5 million of unamortized debt discount that was written off upon repayment of the debt and is included in Reorganization items, net in the Consolidated Statement of Operations.</w:t>
      </w:r>
    </w:p>
    <w:p>
      <w:pPr>
        <w:ind w:left="452" w:right="20" w:hanging="452"/>
        <w:spacing w:after="0" w:line="265" w:lineRule="auto"/>
        <w:tabs>
          <w:tab w:leader="none" w:pos="452" w:val="left"/>
        </w:tabs>
        <w:numPr>
          <w:ilvl w:val="0"/>
          <w:numId w:val="22"/>
        </w:numPr>
        <w:rPr>
          <w:rFonts w:ascii="Arial" w:cs="Arial" w:eastAsia="Arial" w:hAnsi="Arial"/>
          <w:sz w:val="14"/>
          <w:szCs w:val="14"/>
          <w:color w:val="auto"/>
        </w:rPr>
      </w:pPr>
      <w:r>
        <w:rPr>
          <w:rFonts w:ascii="Arial" w:cs="Arial" w:eastAsia="Arial" w:hAnsi="Arial"/>
          <w:sz w:val="17"/>
          <w:szCs w:val="17"/>
          <w:color w:val="auto"/>
        </w:rPr>
        <w:t>Upon issuance of the Term Loans under the Emergence Credit Facility, the Company received net proceeds of approximately $669 million, of which $4 million of the principal amount of the loans is recorded as short-term borrowings pursuant to the terms of the Emergence Credit Facility.</w:t>
      </w:r>
    </w:p>
    <w:p>
      <w:pPr>
        <w:ind w:left="452" w:hanging="452"/>
        <w:spacing w:after="0"/>
        <w:tabs>
          <w:tab w:leader="none" w:pos="452" w:val="left"/>
        </w:tabs>
        <w:numPr>
          <w:ilvl w:val="0"/>
          <w:numId w:val="22"/>
        </w:numPr>
        <w:rPr>
          <w:rFonts w:ascii="Arial" w:cs="Arial" w:eastAsia="Arial" w:hAnsi="Arial"/>
          <w:sz w:val="15"/>
          <w:szCs w:val="15"/>
          <w:color w:val="auto"/>
        </w:rPr>
      </w:pPr>
      <w:r>
        <w:rPr>
          <w:rFonts w:ascii="Arial" w:cs="Arial" w:eastAsia="Arial" w:hAnsi="Arial"/>
          <w:sz w:val="18"/>
          <w:szCs w:val="18"/>
          <w:color w:val="auto"/>
        </w:rPr>
        <w:t>Liabilities subject to compromise were settled as follows in accordance with the Plan:</w:t>
      </w:r>
    </w:p>
    <w:p>
      <w:pPr>
        <w:spacing w:after="0" w:line="112" w:lineRule="exact"/>
        <w:rPr>
          <w:sz w:val="20"/>
          <w:szCs w:val="20"/>
          <w:color w:val="auto"/>
        </w:rPr>
      </w:pPr>
    </w:p>
    <w:tbl>
      <w:tblPr>
        <w:tblLayout w:type="fixed"/>
        <w:tblInd w:w="1372" w:type="dxa"/>
        <w:tblCellMar>
          <w:top w:w="0" w:type="dxa"/>
          <w:left w:w="0" w:type="dxa"/>
          <w:bottom w:w="0" w:type="dxa"/>
          <w:right w:w="0" w:type="dxa"/>
        </w:tblCellMar>
      </w:tblPr>
      <w:tr>
        <w:trPr>
          <w:trHeight w:val="182"/>
        </w:trPr>
        <w:tc>
          <w:tcPr>
            <w:tcW w:w="72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Liabilities subject to compromise of the Predecessor Company (LSTC)</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Cash payments at emergence from LSTC</w:t>
            </w: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Claims expected to be satisfied in cash</w:t>
            </w: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Liabilities reinstated at emergence:</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other postretirement liabilities</w:t>
            </w:r>
          </w:p>
        </w:tc>
        <w:tc>
          <w:tcPr>
            <w:tcW w:w="8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(156)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Environmental obligations</w:t>
            </w:r>
          </w:p>
        </w:tc>
        <w:tc>
          <w:tcPr>
            <w:tcW w:w="820" w:type="dxa"/>
            <w:vAlign w:val="bottom"/>
            <w:gridSpan w:val="2"/>
          </w:tcPr>
          <w:p>
            <w:pPr>
              <w:jc w:val="right"/>
              <w:ind w:right="290"/>
              <w:spacing w:after="0"/>
              <w:rPr>
                <w:sz w:val="20"/>
                <w:szCs w:val="20"/>
                <w:color w:val="auto"/>
              </w:rPr>
            </w:pPr>
            <w:r>
              <w:rPr>
                <w:rFonts w:ascii="Arial" w:cs="Arial" w:eastAsia="Arial" w:hAnsi="Arial"/>
                <w:sz w:val="18"/>
                <w:szCs w:val="18"/>
                <w:color w:val="auto"/>
              </w:rPr>
              <w:t>(61)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8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060"/>
              <w:spacing w:after="0"/>
              <w:rPr>
                <w:sz w:val="20"/>
                <w:szCs w:val="20"/>
                <w:color w:val="auto"/>
              </w:rPr>
            </w:pPr>
            <w:r>
              <w:rPr>
                <w:rFonts w:ascii="Arial" w:cs="Arial" w:eastAsia="Arial" w:hAnsi="Arial"/>
                <w:sz w:val="18"/>
                <w:szCs w:val="18"/>
                <w:color w:val="auto"/>
              </w:rPr>
              <w:t>Total liabilities reinstated at emergence</w:t>
            </w:r>
          </w:p>
        </w:tc>
        <w:tc>
          <w:tcPr>
            <w:tcW w:w="380" w:type="dxa"/>
            <w:vAlign w:val="bottom"/>
            <w:tcBorders>
              <w:top w:val="single" w:sz="8" w:color="auto"/>
            </w:tcBorders>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equity issued to unsecured creditors</w:t>
            </w: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Fair value of warrants issued to unsecured creditors</w:t>
            </w:r>
          </w:p>
        </w:tc>
        <w:tc>
          <w:tcPr>
            <w:tcW w:w="820" w:type="dxa"/>
            <w:vAlign w:val="bottom"/>
            <w:gridSpan w:val="2"/>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settlement of liabilities subject to compromise</w:t>
            </w:r>
          </w:p>
        </w:tc>
        <w:tc>
          <w:tcPr>
            <w:tcW w:w="820" w:type="dxa"/>
            <w:vAlign w:val="bottom"/>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Refer to explanation #18 for the determination of fair value for equity issued to unsecured creditors.</w:t>
      </w:r>
    </w:p>
    <w:p>
      <w:pPr>
        <w:spacing w:after="0" w:line="131" w:lineRule="exact"/>
        <w:rPr>
          <w:sz w:val="20"/>
          <w:szCs w:val="20"/>
          <w:color w:val="auto"/>
        </w:rPr>
      </w:pPr>
    </w:p>
    <w:p>
      <w:pPr>
        <w:ind w:left="452" w:hanging="452"/>
        <w:spacing w:after="0" w:line="286" w:lineRule="auto"/>
        <w:tabs>
          <w:tab w:leader="none" w:pos="452" w:val="left"/>
        </w:tabs>
        <w:numPr>
          <w:ilvl w:val="0"/>
          <w:numId w:val="23"/>
        </w:numPr>
        <w:rPr>
          <w:rFonts w:ascii="Arial" w:cs="Arial" w:eastAsia="Arial" w:hAnsi="Arial"/>
          <w:sz w:val="14"/>
          <w:szCs w:val="14"/>
          <w:color w:val="auto"/>
        </w:rPr>
      </w:pPr>
      <w:r>
        <w:rPr>
          <w:rFonts w:ascii="Arial" w:cs="Arial" w:eastAsia="Arial" w:hAnsi="Arial"/>
          <w:sz w:val="16"/>
          <w:szCs w:val="16"/>
          <w:color w:val="auto"/>
        </w:rPr>
        <w:t>Reflects the issuance of 34 million shares of common stock at a per share price of $11.94 in connection with the Rights Offering, 6 million shares of common stock issued to the holders of general unsecured and retiree committee unsecured claims valued at $14.11 per share, 1.7 million shares of common stock valued at $14.11 per share issued to the Backstop Parties in connection with the Backstop Commitment Agreement, 0.1 million shares of common stock issued under Kodak’s 2013 Omnibus Incentive Plan on the Effective Date, and issuance of warrants valued at $24 million.</w:t>
      </w:r>
    </w:p>
    <w:p>
      <w:pPr>
        <w:spacing w:after="0" w:line="1" w:lineRule="exact"/>
        <w:rPr>
          <w:rFonts w:ascii="Arial" w:cs="Arial" w:eastAsia="Arial" w:hAnsi="Arial"/>
          <w:sz w:val="14"/>
          <w:szCs w:val="14"/>
          <w:color w:val="auto"/>
        </w:rPr>
      </w:pPr>
    </w:p>
    <w:p>
      <w:pPr>
        <w:ind w:left="452" w:hanging="452"/>
        <w:spacing w:after="0"/>
        <w:tabs>
          <w:tab w:leader="none" w:pos="452"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Reflects the cancellation of Predecessor Company equity to retained earnings.</w:t>
      </w:r>
    </w:p>
    <w:p>
      <w:pPr>
        <w:spacing w:after="0" w:line="9" w:lineRule="exact"/>
        <w:rPr>
          <w:rFonts w:ascii="Arial" w:cs="Arial" w:eastAsia="Arial" w:hAnsi="Arial"/>
          <w:sz w:val="15"/>
          <w:szCs w:val="15"/>
          <w:color w:val="auto"/>
        </w:rPr>
      </w:pPr>
    </w:p>
    <w:p>
      <w:pPr>
        <w:ind w:left="452" w:hanging="452"/>
        <w:spacing w:after="0"/>
        <w:tabs>
          <w:tab w:leader="none" w:pos="452" w:val="left"/>
        </w:tabs>
        <w:numPr>
          <w:ilvl w:val="0"/>
          <w:numId w:val="23"/>
        </w:numPr>
        <w:rPr>
          <w:rFonts w:ascii="Arial" w:cs="Arial" w:eastAsia="Arial" w:hAnsi="Arial"/>
          <w:sz w:val="15"/>
          <w:szCs w:val="15"/>
          <w:color w:val="auto"/>
        </w:rPr>
      </w:pPr>
      <w:r>
        <w:rPr>
          <w:rFonts w:ascii="Arial" w:cs="Arial" w:eastAsia="Arial" w:hAnsi="Arial"/>
          <w:sz w:val="18"/>
          <w:szCs w:val="18"/>
          <w:color w:val="auto"/>
        </w:rPr>
        <w:t>Reflects the cumulative impact of the reorganization adjustments discussed above:</w:t>
      </w:r>
    </w:p>
    <w:p>
      <w:pPr>
        <w:spacing w:after="0" w:line="112" w:lineRule="exact"/>
        <w:rPr>
          <w:sz w:val="20"/>
          <w:szCs w:val="20"/>
          <w:color w:val="auto"/>
        </w:rPr>
      </w:pPr>
    </w:p>
    <w:tbl>
      <w:tblPr>
        <w:tblLayout w:type="fixed"/>
        <w:tblInd w:w="1832" w:type="dxa"/>
        <w:tblCellMar>
          <w:top w:w="0" w:type="dxa"/>
          <w:left w:w="0" w:type="dxa"/>
          <w:bottom w:w="0" w:type="dxa"/>
          <w:right w:w="0" w:type="dxa"/>
        </w:tblCellMar>
      </w:tblPr>
      <w:tr>
        <w:trPr>
          <w:trHeight w:val="182"/>
        </w:trPr>
        <w:tc>
          <w:tcPr>
            <w:tcW w:w="58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Gain on settlement of liabilities subject to compromise</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Fair value of shares issued to Backstop Parties and employees</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discounts and debt issuance costs</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Success fees accrued at emergence</w:t>
            </w:r>
          </w:p>
        </w:tc>
        <w:tc>
          <w:tcPr>
            <w:tcW w:w="192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Emergence and success fees paid at emergence</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Write-off of deferred equity issuance costs</w:t>
            </w:r>
          </w:p>
        </w:tc>
        <w:tc>
          <w:tcPr>
            <w:tcW w:w="12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jc w:val="right"/>
              <w:ind w:right="2630"/>
              <w:spacing w:after="0"/>
              <w:rPr>
                <w:sz w:val="20"/>
                <w:szCs w:val="20"/>
                <w:color w:val="auto"/>
              </w:rPr>
            </w:pPr>
            <w:r>
              <w:rPr>
                <w:rFonts w:ascii="Arial" w:cs="Arial" w:eastAsia="Arial" w:hAnsi="Arial"/>
                <w:sz w:val="18"/>
                <w:szCs w:val="18"/>
                <w:color w:val="auto"/>
              </w:rPr>
              <w:t>Net gain on reoganization adjustments</w:t>
            </w:r>
          </w:p>
        </w:tc>
        <w:tc>
          <w:tcPr>
            <w:tcW w:w="12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Cancellation of Predecessor Company equity</w:t>
            </w:r>
          </w:p>
        </w:tc>
        <w:tc>
          <w:tcPr>
            <w:tcW w:w="1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impact to Retained earnings (deficit)</w:t>
            </w:r>
          </w:p>
        </w:tc>
        <w:tc>
          <w:tcPr>
            <w:tcW w:w="1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jc w:val="right"/>
              <w:ind w:right="1790"/>
              <w:spacing w:after="0"/>
              <w:rPr>
                <w:sz w:val="20"/>
                <w:szCs w:val="20"/>
                <w:color w:val="auto"/>
              </w:rPr>
            </w:pPr>
            <w:r>
              <w:rPr>
                <w:rFonts w:ascii="Arial" w:cs="Arial" w:eastAsia="Arial" w:hAnsi="Arial"/>
                <w:sz w:val="18"/>
                <w:szCs w:val="18"/>
                <w:color w:val="auto"/>
              </w:rPr>
              <w:t>67</w:t>
            </w:r>
          </w:p>
        </w:tc>
        <w:tc>
          <w:tcPr>
            <w:tcW w:w="1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92"/>
          </w:cols>
          <w:pgMar w:left="248" w:top="274" w:right="25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net gain on reorganization adjustments has been included in Reorganization items, net in the Consolidated Statement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Fresh Start adjustments</w:t>
      </w:r>
    </w:p>
    <w:p>
      <w:pPr>
        <w:spacing w:after="0" w:line="13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4"/>
          <w:szCs w:val="14"/>
          <w:color w:val="auto"/>
        </w:rPr>
      </w:pPr>
      <w:r>
        <w:rPr>
          <w:rFonts w:ascii="Arial" w:cs="Arial" w:eastAsia="Arial" w:hAnsi="Arial"/>
          <w:sz w:val="16"/>
          <w:szCs w:val="16"/>
          <w:color w:val="auto"/>
        </w:rPr>
        <w:t>An adjustment of $67 million was recorded to increase the net book value of inventories to their estimated fair value, which was determined as follows:</w:t>
      </w:r>
    </w:p>
    <w:p>
      <w:pPr>
        <w:spacing w:after="0" w:line="153" w:lineRule="exact"/>
        <w:rPr>
          <w:rFonts w:ascii="Arial" w:cs="Arial" w:eastAsia="Arial" w:hAnsi="Arial"/>
          <w:sz w:val="14"/>
          <w:szCs w:val="14"/>
          <w:color w:val="auto"/>
        </w:rPr>
      </w:pPr>
    </w:p>
    <w:p>
      <w:pPr>
        <w:ind w:left="900" w:right="360" w:hanging="325"/>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Fair value of finished goods inventory were determined based on the estimated selling price less costs to sell, including disposal and holding period costs, and a reasonable profit margin on the selling and disposal effort.</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Fair value of work-in-process was determined based on the estimated selling price once completed less total costs to complete the manufacturing effort, costs to sell, including disposal and holding period costs, and a reasonable profit on the remaining manufacturing, selling and disposal effort.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Fair value of raw materials was determined based on current replacement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components of inventory as of August 31, 2013, and the fair value at September 1, 2013:</w:t>
      </w:r>
    </w:p>
    <w:p>
      <w:pPr>
        <w:spacing w:after="0" w:line="110" w:lineRule="exact"/>
        <w:rPr>
          <w:sz w:val="20"/>
          <w:szCs w:val="20"/>
          <w:color w:val="auto"/>
        </w:rPr>
      </w:pPr>
    </w:p>
    <w:tbl>
      <w:tblPr>
        <w:tblLayout w:type="fixed"/>
        <w:tblInd w:w="138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4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5"/>
              </w:rPr>
              <w:t>Successor</w:t>
            </w: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1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9"/>
              </w:rPr>
              <w:t>As of September 1,</w:t>
            </w:r>
          </w:p>
        </w:tc>
        <w:tc>
          <w:tcPr>
            <w:tcW w:w="860" w:type="dxa"/>
            <w:vAlign w:val="bottom"/>
            <w:tcBorders>
              <w:right w:val="single" w:sz="8" w:color="auto"/>
            </w:tcBorders>
          </w:tcPr>
          <w:p>
            <w:pPr>
              <w:spacing w:after="0"/>
              <w:rPr>
                <w:sz w:val="12"/>
                <w:szCs w:val="12"/>
                <w:color w:val="auto"/>
              </w:rPr>
            </w:pPr>
          </w:p>
        </w:tc>
        <w:tc>
          <w:tcPr>
            <w:tcW w:w="1760" w:type="dxa"/>
            <w:vAlign w:val="bottom"/>
            <w:gridSpan w:val="4"/>
          </w:tcPr>
          <w:p>
            <w:pPr>
              <w:ind w:left="640"/>
              <w:spacing w:after="0" w:line="149" w:lineRule="exact"/>
              <w:rPr>
                <w:sz w:val="20"/>
                <w:szCs w:val="20"/>
                <w:color w:val="auto"/>
              </w:rPr>
            </w:pPr>
            <w:r>
              <w:rPr>
                <w:rFonts w:ascii="Arial" w:cs="Arial" w:eastAsia="Arial" w:hAnsi="Arial"/>
                <w:sz w:val="14"/>
                <w:szCs w:val="14"/>
                <w:b w:val="1"/>
                <w:bCs w:val="1"/>
                <w:color w:val="auto"/>
                <w:w w:val="99"/>
              </w:rPr>
              <w:t>As of August 31,</w:t>
            </w:r>
          </w:p>
        </w:tc>
        <w:tc>
          <w:tcPr>
            <w:tcW w:w="0" w:type="dxa"/>
            <w:vAlign w:val="bottom"/>
          </w:tcPr>
          <w:p>
            <w:pPr>
              <w:spacing w:after="0"/>
              <w:rPr>
                <w:sz w:val="1"/>
                <w:szCs w:val="1"/>
                <w:color w:val="auto"/>
              </w:rPr>
            </w:pPr>
          </w:p>
        </w:tc>
      </w:tr>
      <w:tr>
        <w:trPr>
          <w:trHeight w:val="171"/>
        </w:trPr>
        <w:tc>
          <w:tcPr>
            <w:tcW w:w="4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60" w:type="dxa"/>
            <w:vAlign w:val="bottom"/>
            <w:tcBorders>
              <w:right w:val="single" w:sz="8" w:color="auto"/>
            </w:tcBorders>
            <w:shd w:val="clear" w:color="auto" w:fill="CCEEFF"/>
          </w:tcPr>
          <w:p>
            <w:pPr>
              <w:spacing w:after="0"/>
              <w:rPr>
                <w:sz w:val="18"/>
                <w:szCs w:val="18"/>
                <w:color w:val="auto"/>
              </w:rPr>
            </w:pP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86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60" w:type="dxa"/>
            <w:vAlign w:val="bottom"/>
            <w:tcBorders>
              <w:right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860" w:type="dxa"/>
            <w:vAlign w:val="bottom"/>
            <w:tcBorders>
              <w:righ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right="360" w:hanging="452"/>
        <w:spacing w:after="0" w:line="258"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Represents fair value adjustment to the assets and liabilities of the Company’s Personalized Imaging and Document Imaging businesses in delayed close countries.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Represents the net decrease in tax assets and tax liabilities associated with adjustments for fresh start accounting.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4" w:right="279" w:bottom="1440" w:gutter="0" w:footer="0" w:header="0"/>
        </w:sectPr>
      </w:pPr>
    </w:p>
    <w:bookmarkStart w:id="68" w:name="page69"/>
    <w:bookmarkEnd w:id="68"/>
    <w:p>
      <w:pPr>
        <w:ind w:left="452" w:right="340" w:hanging="452"/>
        <w:spacing w:after="0" w:line="277" w:lineRule="auto"/>
        <w:tabs>
          <w:tab w:leader="none" w:pos="452" w:val="left"/>
        </w:tabs>
        <w:numPr>
          <w:ilvl w:val="0"/>
          <w:numId w:val="26"/>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adjustment of $220 million was recorded to increase the net book value of property, plant and equipment to estimated fair value. Fair value was determined as follows:</w:t>
      </w:r>
    </w:p>
    <w:p>
      <w:pPr>
        <w:spacing w:after="0" w:line="75" w:lineRule="exact"/>
        <w:rPr>
          <w:rFonts w:ascii="Arial" w:cs="Arial" w:eastAsia="Arial" w:hAnsi="Arial"/>
          <w:sz w:val="15"/>
          <w:szCs w:val="15"/>
          <w:color w:val="auto"/>
        </w:rPr>
      </w:pPr>
    </w:p>
    <w:p>
      <w:pPr>
        <w:ind w:left="892" w:right="260" w:hanging="325"/>
        <w:spacing w:after="0" w:line="342" w:lineRule="auto"/>
        <w:tabs>
          <w:tab w:leader="none" w:pos="892"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market, sales comparison or trended cost approach was utilized for land, buildings and building improvements. This approach relies upon recent sales, offerings of similar assets or a specific inflationary adjustment to original purchase price to arrive at a probable selling price.</w:t>
      </w:r>
    </w:p>
    <w:p>
      <w:pPr>
        <w:spacing w:after="0" w:line="29" w:lineRule="exact"/>
        <w:rPr>
          <w:rFonts w:ascii="Arial" w:cs="Arial" w:eastAsia="Arial" w:hAnsi="Arial"/>
          <w:sz w:val="16"/>
          <w:szCs w:val="16"/>
          <w:color w:val="auto"/>
        </w:rPr>
      </w:pPr>
    </w:p>
    <w:p>
      <w:pPr>
        <w:ind w:left="892" w:right="80" w:hanging="325"/>
        <w:spacing w:after="0" w:line="255" w:lineRule="auto"/>
        <w:tabs>
          <w:tab w:leader="none" w:pos="892"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cost approach was utilized for machinery and equipment. This approach considers the amount required to construct or purchase a new asset of equal utility at current prices, with adjustments in value for physical deterioration, and functional and economic obsolescence. Physical deterioration is an adjustment made in the cost approach to reflect the real operating age of an asset with regard to wear and tear, decay and deterioration that is not prevented by maintenance. Functional obsolescence is the loss in value or usefulness of an asset caused by inefficiencies or inadequacies of the asset, as compared to a more efficient or less costly replacement asset with newer technology. Economic obsolescence is the loss in value or usefulness of an asset due to factors external to the asset, such as the economics of the industry, reduced demand, increased competition or similar factors.</w:t>
      </w:r>
    </w:p>
    <w:p>
      <w:pPr>
        <w:spacing w:after="0" w:line="8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following table summarizes the components of property, plant and equipment, net as of August 31, 2013, and the fair value at September 1, 2013:</w:t>
      </w:r>
    </w:p>
    <w:p>
      <w:pPr>
        <w:spacing w:after="0" w:line="133" w:lineRule="exact"/>
        <w:rPr>
          <w:sz w:val="20"/>
          <w:szCs w:val="20"/>
          <w:color w:val="auto"/>
        </w:rPr>
      </w:pPr>
    </w:p>
    <w:tbl>
      <w:tblPr>
        <w:tblLayout w:type="fixed"/>
        <w:tblInd w:w="1372"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4"/>
              </w:rPr>
              <w:t>Successor</w:t>
            </w: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80" w:type="dxa"/>
            <w:vAlign w:val="bottom"/>
            <w:gridSpan w:val="3"/>
          </w:tcPr>
          <w:p>
            <w:pPr>
              <w:jc w:val="center"/>
              <w:ind w:left="1019"/>
              <w:spacing w:after="0" w:line="149" w:lineRule="exact"/>
              <w:rPr>
                <w:sz w:val="20"/>
                <w:szCs w:val="20"/>
                <w:color w:val="auto"/>
              </w:rPr>
            </w:pPr>
            <w:r>
              <w:rPr>
                <w:rFonts w:ascii="Arial" w:cs="Arial" w:eastAsia="Arial" w:hAnsi="Arial"/>
                <w:sz w:val="14"/>
                <w:szCs w:val="14"/>
                <w:b w:val="1"/>
                <w:bCs w:val="1"/>
                <w:color w:val="auto"/>
                <w:w w:val="89"/>
              </w:rPr>
              <w:t>As of September 1,</w:t>
            </w:r>
          </w:p>
        </w:tc>
        <w:tc>
          <w:tcPr>
            <w:tcW w:w="840" w:type="dxa"/>
            <w:vAlign w:val="bottom"/>
            <w:tcBorders>
              <w:right w:val="single" w:sz="8" w:color="auto"/>
            </w:tcBorders>
          </w:tcPr>
          <w:p>
            <w:pPr>
              <w:spacing w:after="0"/>
              <w:rPr>
                <w:sz w:val="12"/>
                <w:szCs w:val="12"/>
                <w:color w:val="auto"/>
              </w:rPr>
            </w:pPr>
          </w:p>
        </w:tc>
        <w:tc>
          <w:tcPr>
            <w:tcW w:w="174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99"/>
              </w:rPr>
              <w:t>As of August 31,</w:t>
            </w:r>
          </w:p>
        </w:tc>
        <w:tc>
          <w:tcPr>
            <w:tcW w:w="0" w:type="dxa"/>
            <w:vAlign w:val="bottom"/>
          </w:tcPr>
          <w:p>
            <w:pPr>
              <w:spacing w:after="0"/>
              <w:rPr>
                <w:sz w:val="1"/>
                <w:szCs w:val="1"/>
                <w:color w:val="auto"/>
              </w:rPr>
            </w:pPr>
          </w:p>
        </w:tc>
      </w:tr>
      <w:tr>
        <w:trPr>
          <w:trHeight w:val="171"/>
        </w:trPr>
        <w:tc>
          <w:tcPr>
            <w:tcW w:w="38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115"/>
              <w:spacing w:after="0"/>
              <w:rPr>
                <w:sz w:val="20"/>
                <w:szCs w:val="20"/>
                <w:color w:val="auto"/>
              </w:rPr>
            </w:pPr>
            <w:r>
              <w:rPr>
                <w:rFonts w:ascii="Arial" w:cs="Arial" w:eastAsia="Arial" w:hAnsi="Arial"/>
                <w:sz w:val="14"/>
                <w:szCs w:val="14"/>
                <w:b w:val="1"/>
                <w:bCs w:val="1"/>
                <w:color w:val="auto"/>
                <w:w w:val="96"/>
              </w:rPr>
              <w:t>2013</w:t>
            </w:r>
          </w:p>
        </w:tc>
        <w:tc>
          <w:tcPr>
            <w:tcW w:w="84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40" w:type="dxa"/>
            <w:vAlign w:val="bottom"/>
            <w:tcBorders>
              <w:top w:val="single" w:sz="8" w:color="CCEEFF"/>
              <w:right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8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40" w:type="dxa"/>
            <w:vAlign w:val="bottom"/>
            <w:tcBorders>
              <w:right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4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4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For property, plant and equipment owned at September 1, 2013, the depreciable lives were revised to reflect the remaining estimated useful lives.</w:t>
      </w:r>
    </w:p>
    <w:p>
      <w:pPr>
        <w:spacing w:after="0" w:line="4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Refer to Note 1, “Basis of Presentation and Significant Accounting Policies” for additional information.</w:t>
      </w:r>
    </w:p>
    <w:p>
      <w:pPr>
        <w:spacing w:after="0" w:line="14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72"/>
          </w:cols>
          <w:pgMar w:left="248" w:top="274" w:right="279" w:bottom="1440" w:gutter="0" w:footer="0" w:header="0"/>
        </w:sectPr>
      </w:pPr>
    </w:p>
    <w:bookmarkStart w:id="69" w:name="page70"/>
    <w:bookmarkEnd w:id="69"/>
    <w:p>
      <w:pPr>
        <w:ind w:left="452" w:right="480" w:hanging="452"/>
        <w:spacing w:after="0" w:line="308" w:lineRule="auto"/>
        <w:tabs>
          <w:tab w:leader="none" w:pos="452" w:val="left"/>
        </w:tabs>
        <w:numPr>
          <w:ilvl w:val="0"/>
          <w:numId w:val="27"/>
        </w:numPr>
        <w:rPr>
          <w:rFonts w:ascii="Arial" w:cs="Arial" w:eastAsia="Arial" w:hAnsi="Arial"/>
          <w:sz w:val="14"/>
          <w:szCs w:val="14"/>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adjustment eliminated the Predecessor goodwill balance of $56 million and records Successor goodwill of $88 million, which represents the reorganizational value of assets in excess of amounts allocated to identified tangible and intangible assets, as follows:</w:t>
      </w:r>
    </w:p>
    <w:p>
      <w:pPr>
        <w:spacing w:after="0" w:line="31"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Successor</w:t>
            </w: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78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w w:val="97"/>
              </w:rPr>
              <w:t>As of September 1,</w:t>
            </w:r>
          </w:p>
        </w:tc>
      </w:tr>
      <w:tr>
        <w:trPr>
          <w:trHeight w:val="171"/>
        </w:trPr>
        <w:tc>
          <w:tcPr>
            <w:tcW w:w="59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Reorganization value of Successor assets</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Less: Fair value of Successor assets (excluding goodwill)</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Reorganization value of Successor assets in excess of fair value - Successor</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Refer to Note 5, “Goodwill and Other Intangible Assets” for Successor goodwill by reportable segment.</w:t>
      </w:r>
    </w:p>
    <w:p>
      <w:pPr>
        <w:spacing w:after="0" w:line="131" w:lineRule="exact"/>
        <w:rPr>
          <w:sz w:val="20"/>
          <w:szCs w:val="20"/>
          <w:color w:val="auto"/>
        </w:rPr>
      </w:pPr>
    </w:p>
    <w:p>
      <w:pPr>
        <w:ind w:left="452" w:right="400" w:hanging="452"/>
        <w:spacing w:after="0" w:line="277" w:lineRule="auto"/>
        <w:tabs>
          <w:tab w:leader="none" w:pos="452" w:val="left"/>
        </w:tabs>
        <w:numPr>
          <w:ilvl w:val="0"/>
          <w:numId w:val="28"/>
        </w:numPr>
        <w:rPr>
          <w:rFonts w:ascii="Arial" w:cs="Arial" w:eastAsia="Arial" w:hAnsi="Arial"/>
          <w:sz w:val="15"/>
          <w:szCs w:val="15"/>
          <w:color w:val="auto"/>
        </w:rPr>
      </w:pPr>
      <w:r>
        <w:rPr>
          <w:rFonts w:ascii="Arial" w:cs="Arial" w:eastAsia="Arial" w:hAnsi="Arial"/>
          <w:sz w:val="18"/>
          <w:szCs w:val="18"/>
          <w:color w:val="auto"/>
        </w:rPr>
        <w:t>The net adjustment of $192 million reflects the write-off of existing intangibles of $43 million and an adjustment of $235 million to record the fair value of intangibles, determined as follows:</w:t>
      </w:r>
    </w:p>
    <w:p>
      <w:pPr>
        <w:spacing w:after="0" w:line="75" w:lineRule="exact"/>
        <w:rPr>
          <w:rFonts w:ascii="Arial" w:cs="Arial" w:eastAsia="Arial" w:hAnsi="Arial"/>
          <w:sz w:val="15"/>
          <w:szCs w:val="15"/>
          <w:color w:val="auto"/>
        </w:rPr>
      </w:pPr>
    </w:p>
    <w:p>
      <w:pPr>
        <w:ind w:left="892" w:right="780" w:hanging="446"/>
        <w:spacing w:after="0" w:line="277"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Trade names of $54 million were valued using the income approach, specifically the relief from royalty method based on the following significant assumptions:</w:t>
      </w:r>
    </w:p>
    <w:p>
      <w:pPr>
        <w:spacing w:after="0" w:line="75" w:lineRule="exact"/>
        <w:rPr>
          <w:rFonts w:ascii="Arial" w:cs="Arial" w:eastAsia="Arial" w:hAnsi="Arial"/>
          <w:sz w:val="18"/>
          <w:szCs w:val="18"/>
          <w:color w:val="auto"/>
        </w:rPr>
      </w:pPr>
    </w:p>
    <w:p>
      <w:pPr>
        <w:ind w:left="1912" w:right="220" w:hanging="440"/>
        <w:spacing w:after="0" w:line="277" w:lineRule="auto"/>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Forecasted revenues attributable to the trade names ranging from September 1, 2013 to December 31, 2023, including a terminal year with growth rates ranging from 0% to 3%;</w:t>
      </w:r>
    </w:p>
    <w:p>
      <w:pPr>
        <w:spacing w:after="0" w:line="75" w:lineRule="exact"/>
        <w:rPr>
          <w:rFonts w:ascii="Arial" w:cs="Arial" w:eastAsia="Arial" w:hAnsi="Arial"/>
          <w:sz w:val="18"/>
          <w:szCs w:val="18"/>
          <w:color w:val="auto"/>
        </w:rPr>
      </w:pPr>
    </w:p>
    <w:p>
      <w:pPr>
        <w:ind w:left="1912" w:right="640" w:hanging="440"/>
        <w:spacing w:after="0" w:line="277" w:lineRule="auto"/>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Royalty rates ranging from .5% to 1% of expected net sales determined with regard to comparable market transactions and profitability analysis;</w:t>
      </w:r>
    </w:p>
    <w:p>
      <w:pPr>
        <w:spacing w:after="0" w:line="75"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Discount rates ranging from 27% to 32%, which were based on the after-tax weighted-average cost of capital; and</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Kodak anticipates using its trade name for an indefinite period.</w:t>
      </w:r>
    </w:p>
    <w:p>
      <w:pPr>
        <w:spacing w:after="0" w:line="130" w:lineRule="exact"/>
        <w:rPr>
          <w:rFonts w:ascii="Arial" w:cs="Arial" w:eastAsia="Arial" w:hAnsi="Arial"/>
          <w:sz w:val="18"/>
          <w:szCs w:val="18"/>
          <w:color w:val="auto"/>
        </w:rPr>
      </w:pPr>
    </w:p>
    <w:p>
      <w:pPr>
        <w:ind w:left="892" w:right="220" w:hanging="446"/>
        <w:spacing w:after="0" w:line="277"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Technology based intangibles of $131 million were valued using the income approach, specifically the relief from royalty method based on the following significant assumptions:</w:t>
      </w:r>
    </w:p>
    <w:p>
      <w:pPr>
        <w:spacing w:after="0" w:line="75" w:lineRule="exact"/>
        <w:rPr>
          <w:rFonts w:ascii="Arial" w:cs="Arial" w:eastAsia="Arial" w:hAnsi="Arial"/>
          <w:sz w:val="18"/>
          <w:szCs w:val="18"/>
          <w:color w:val="auto"/>
        </w:rPr>
      </w:pPr>
    </w:p>
    <w:p>
      <w:pPr>
        <w:ind w:left="1912" w:right="320" w:hanging="440"/>
        <w:spacing w:after="0" w:line="277" w:lineRule="auto"/>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Forecasted revenues attributable to the respective technologies for the period ranging from September 1, 2013 to December 31, 2025;</w:t>
      </w:r>
    </w:p>
    <w:p>
      <w:pPr>
        <w:spacing w:after="0" w:line="75" w:lineRule="exact"/>
        <w:rPr>
          <w:rFonts w:ascii="Arial" w:cs="Arial" w:eastAsia="Arial" w:hAnsi="Arial"/>
          <w:sz w:val="18"/>
          <w:szCs w:val="18"/>
          <w:color w:val="auto"/>
        </w:rPr>
      </w:pPr>
    </w:p>
    <w:p>
      <w:pPr>
        <w:ind w:left="1912" w:right="100" w:hanging="440"/>
        <w:spacing w:after="0" w:line="277" w:lineRule="auto"/>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Royalty rates ranging from 1% to 16% determined with regard to comparable market transactions and cash flows of the respective technologies;</w:t>
      </w:r>
    </w:p>
    <w:p>
      <w:pPr>
        <w:spacing w:after="0" w:line="75"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Discount rates ranging from 29% to 34%, based on the after-tax weighted-average cost of capital; and</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Economic lives ranging from 4 to 12 years.</w:t>
      </w:r>
    </w:p>
    <w:p>
      <w:pPr>
        <w:spacing w:after="0" w:line="130" w:lineRule="exact"/>
        <w:rPr>
          <w:rFonts w:ascii="Arial" w:cs="Arial" w:eastAsia="Arial" w:hAnsi="Arial"/>
          <w:sz w:val="18"/>
          <w:szCs w:val="18"/>
          <w:color w:val="auto"/>
        </w:rPr>
      </w:pPr>
    </w:p>
    <w:p>
      <w:pPr>
        <w:ind w:left="892" w:hanging="446"/>
        <w:spacing w:after="0" w:line="277"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Customer related intangibles of $39 million were valued using the income approach, specifically the multi-period excess earnings approach based on the following significant assumptions:</w:t>
      </w:r>
    </w:p>
    <w:p>
      <w:pPr>
        <w:spacing w:after="0" w:line="75" w:lineRule="exact"/>
        <w:rPr>
          <w:rFonts w:ascii="Arial" w:cs="Arial" w:eastAsia="Arial" w:hAnsi="Arial"/>
          <w:sz w:val="18"/>
          <w:szCs w:val="18"/>
          <w:color w:val="auto"/>
        </w:rPr>
      </w:pPr>
    </w:p>
    <w:p>
      <w:pPr>
        <w:ind w:left="1912" w:right="100" w:hanging="440"/>
        <w:spacing w:after="0" w:line="277" w:lineRule="auto"/>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Forecasted revenues and profit margins attributable to the current customer base for the period ranging from September 1, 2013 to December 31, 2024;</w:t>
      </w:r>
    </w:p>
    <w:p>
      <w:pPr>
        <w:spacing w:after="0" w:line="75"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Attrition rates ranging from 2.5% to 20%;</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Discount rates ranging from 29% to 38%, based on the after-tax weighted-average cost of capital; and</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Economic lives ranging from 3 to 10 years.</w:t>
      </w:r>
    </w:p>
    <w:p>
      <w:pPr>
        <w:spacing w:after="0" w:line="130" w:lineRule="exact"/>
        <w:rPr>
          <w:rFonts w:ascii="Arial" w:cs="Arial" w:eastAsia="Arial" w:hAnsi="Arial"/>
          <w:sz w:val="18"/>
          <w:szCs w:val="18"/>
          <w:color w:val="auto"/>
        </w:rPr>
      </w:pPr>
    </w:p>
    <w:p>
      <w:pPr>
        <w:ind w:left="892" w:right="380" w:hanging="446"/>
        <w:spacing w:after="0" w:line="277"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In-process research and development of $9 million was determined using the income approach, specifically the multi-period excess earnings method based on the following significant assumptions:</w:t>
      </w:r>
    </w:p>
    <w:p>
      <w:pPr>
        <w:spacing w:after="0" w:line="75" w:lineRule="exact"/>
        <w:rPr>
          <w:rFonts w:ascii="Arial" w:cs="Arial" w:eastAsia="Arial" w:hAnsi="Arial"/>
          <w:sz w:val="18"/>
          <w:szCs w:val="18"/>
          <w:color w:val="auto"/>
        </w:rPr>
      </w:pPr>
    </w:p>
    <w:p>
      <w:pPr>
        <w:ind w:left="1912" w:right="580" w:hanging="440"/>
        <w:spacing w:after="0" w:line="277" w:lineRule="auto"/>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Forecasted revenues attributable to the respective research and development projects for the period of September 1, 2013 to December 31, 2019;</w:t>
      </w:r>
    </w:p>
    <w:p>
      <w:pPr>
        <w:spacing w:after="0" w:line="75" w:lineRule="exact"/>
        <w:rPr>
          <w:rFonts w:ascii="Arial" w:cs="Arial" w:eastAsia="Arial" w:hAnsi="Arial"/>
          <w:sz w:val="18"/>
          <w:szCs w:val="18"/>
          <w:color w:val="auto"/>
        </w:rPr>
      </w:pPr>
    </w:p>
    <w:p>
      <w:pPr>
        <w:ind w:left="1912" w:right="80" w:hanging="440"/>
        <w:spacing w:after="0" w:line="277" w:lineRule="auto"/>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Discount rate of 40% based on the after-tax weighted-average cost of capital adjusted for perceived risks inherent in the individual assets; and</w:t>
      </w:r>
    </w:p>
    <w:p>
      <w:pPr>
        <w:spacing w:after="0" w:line="75" w:lineRule="exact"/>
        <w:rPr>
          <w:rFonts w:ascii="Arial" w:cs="Arial" w:eastAsia="Arial" w:hAnsi="Arial"/>
          <w:sz w:val="18"/>
          <w:szCs w:val="18"/>
          <w:color w:val="auto"/>
        </w:rPr>
      </w:pPr>
    </w:p>
    <w:p>
      <w:pPr>
        <w:ind w:left="1912" w:hanging="440"/>
        <w:spacing w:after="0"/>
        <w:tabs>
          <w:tab w:leader="none" w:pos="1912" w:val="left"/>
        </w:tabs>
        <w:numPr>
          <w:ilvl w:val="2"/>
          <w:numId w:val="28"/>
        </w:numPr>
        <w:rPr>
          <w:rFonts w:ascii="Arial" w:cs="Arial" w:eastAsia="Arial" w:hAnsi="Arial"/>
          <w:sz w:val="18"/>
          <w:szCs w:val="18"/>
          <w:color w:val="auto"/>
        </w:rPr>
      </w:pPr>
      <w:r>
        <w:rPr>
          <w:rFonts w:ascii="Arial" w:cs="Arial" w:eastAsia="Arial" w:hAnsi="Arial"/>
          <w:sz w:val="18"/>
          <w:szCs w:val="18"/>
          <w:color w:val="auto"/>
        </w:rPr>
        <w:t>Economic life of 6 years.</w:t>
      </w:r>
    </w:p>
    <w:p>
      <w:pPr>
        <w:spacing w:after="0" w:line="130" w:lineRule="exact"/>
        <w:rPr>
          <w:rFonts w:ascii="Arial" w:cs="Arial" w:eastAsia="Arial" w:hAnsi="Arial"/>
          <w:sz w:val="18"/>
          <w:szCs w:val="18"/>
          <w:color w:val="auto"/>
        </w:rPr>
      </w:pPr>
    </w:p>
    <w:p>
      <w:pPr>
        <w:ind w:left="892" w:right="680" w:hanging="446"/>
        <w:spacing w:after="0" w:line="277"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addition, the Company recorded the fair value of other intangibles of $2 million primarily related to favorable contracts and leasehold improvements that were favorable relative to available market terms.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92"/>
          </w:cols>
          <w:pgMar w:left="248" w:top="274" w:right="259" w:bottom="1440" w:gutter="0" w:footer="0" w:header="0"/>
        </w:sectPr>
      </w:pPr>
    </w:p>
    <w:bookmarkStart w:id="70" w:name="page71"/>
    <w:bookmarkEnd w:id="70"/>
    <w:p>
      <w:pPr>
        <w:ind w:left="452" w:hanging="452"/>
        <w:spacing w:after="0"/>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write-off of deferred costs under various licensing transactions now being reflected in intangible assets.</w:t>
      </w:r>
    </w:p>
    <w:p>
      <w:pPr>
        <w:spacing w:after="0" w:line="23" w:lineRule="exact"/>
        <w:rPr>
          <w:rFonts w:ascii="Arial" w:cs="Arial" w:eastAsia="Arial" w:hAnsi="Arial"/>
          <w:sz w:val="15"/>
          <w:szCs w:val="15"/>
          <w:color w:val="auto"/>
        </w:rPr>
      </w:pPr>
    </w:p>
    <w:p>
      <w:pPr>
        <w:ind w:left="452" w:hanging="452"/>
        <w:spacing w:after="0"/>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the write-off of unamortized debt issuance costs related to the Emergence Credit Facilities.</w:t>
      </w:r>
    </w:p>
    <w:p>
      <w:pPr>
        <w:spacing w:after="0" w:line="9" w:lineRule="exact"/>
        <w:rPr>
          <w:rFonts w:ascii="Arial" w:cs="Arial" w:eastAsia="Arial" w:hAnsi="Arial"/>
          <w:sz w:val="15"/>
          <w:szCs w:val="15"/>
          <w:color w:val="auto"/>
        </w:rPr>
      </w:pPr>
    </w:p>
    <w:p>
      <w:pPr>
        <w:ind w:left="452" w:right="200" w:hanging="452"/>
        <w:spacing w:after="0" w:line="250" w:lineRule="auto"/>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the revaluation of pension and other postretirement obligations. Refer to Note 16, “Retirement plans “and Note 17, “Other postretirement benefits” for additional information.</w:t>
      </w:r>
    </w:p>
    <w:p>
      <w:pPr>
        <w:ind w:left="452" w:hanging="452"/>
        <w:spacing w:after="0"/>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the revaluation of deferred revenues to the fair value of Kodak’s related future performance obligations.</w:t>
      </w:r>
    </w:p>
    <w:p>
      <w:pPr>
        <w:spacing w:after="0" w:line="9" w:lineRule="exact"/>
        <w:rPr>
          <w:rFonts w:ascii="Arial" w:cs="Arial" w:eastAsia="Arial" w:hAnsi="Arial"/>
          <w:sz w:val="15"/>
          <w:szCs w:val="15"/>
          <w:color w:val="auto"/>
        </w:rPr>
      </w:pPr>
    </w:p>
    <w:p>
      <w:pPr>
        <w:ind w:left="452" w:hanging="452"/>
        <w:spacing w:after="0"/>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the write-off of unamortized debt discounts related to the Emergence Credit Facilities based on the fair value of debt.</w:t>
      </w:r>
    </w:p>
    <w:p>
      <w:pPr>
        <w:spacing w:after="0" w:line="9" w:lineRule="exact"/>
        <w:rPr>
          <w:rFonts w:ascii="Arial" w:cs="Arial" w:eastAsia="Arial" w:hAnsi="Arial"/>
          <w:sz w:val="15"/>
          <w:szCs w:val="15"/>
          <w:color w:val="auto"/>
        </w:rPr>
      </w:pPr>
    </w:p>
    <w:p>
      <w:pPr>
        <w:ind w:left="452" w:hanging="452"/>
        <w:spacing w:after="0" w:line="250" w:lineRule="auto"/>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Represents $38 million decrease in capitalized lease obligations determined based on market rents, $19 million decrease related to the remeasurement of employee benefit obligations offset by net $4 million increase in fair value adjustment related to asset retirement obligations and other miscellaneous liabilities.</w:t>
      </w:r>
    </w:p>
    <w:p>
      <w:pPr>
        <w:spacing w:after="0" w:line="1" w:lineRule="exact"/>
        <w:rPr>
          <w:rFonts w:ascii="Arial" w:cs="Arial" w:eastAsia="Arial" w:hAnsi="Arial"/>
          <w:sz w:val="15"/>
          <w:szCs w:val="15"/>
          <w:color w:val="auto"/>
        </w:rPr>
      </w:pPr>
    </w:p>
    <w:p>
      <w:pPr>
        <w:ind w:left="452" w:right="240" w:hanging="452"/>
        <w:spacing w:after="0" w:line="250" w:lineRule="auto"/>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Reflects the increase in fair value of the 34 million shares of common stock issued in connection with the Rights Offering from $11.94 to $14.11 per share.</w:t>
      </w:r>
    </w:p>
    <w:p>
      <w:pPr>
        <w:ind w:left="452" w:right="400" w:hanging="452"/>
        <w:spacing w:after="0" w:line="261" w:lineRule="auto"/>
        <w:tabs>
          <w:tab w:leader="none" w:pos="452" w:val="left"/>
        </w:tabs>
        <w:numPr>
          <w:ilvl w:val="0"/>
          <w:numId w:val="29"/>
        </w:numPr>
        <w:rPr>
          <w:rFonts w:ascii="Arial" w:cs="Arial" w:eastAsia="Arial" w:hAnsi="Arial"/>
          <w:sz w:val="15"/>
          <w:szCs w:val="15"/>
          <w:color w:val="auto"/>
        </w:rPr>
      </w:pPr>
      <w:r>
        <w:rPr>
          <w:rFonts w:ascii="Arial" w:cs="Arial" w:eastAsia="Arial" w:hAnsi="Arial"/>
          <w:sz w:val="18"/>
          <w:szCs w:val="18"/>
          <w:color w:val="auto"/>
        </w:rPr>
        <w:t>Reflects the cumulative impact of fresh start adjustments as discussed above and the elimination of the Predecessor Company’s accumulated other comprehensive loss.</w:t>
      </w:r>
    </w:p>
    <w:p>
      <w:pPr>
        <w:spacing w:after="0" w:line="85" w:lineRule="exact"/>
        <w:rPr>
          <w:sz w:val="20"/>
          <w:szCs w:val="20"/>
          <w:color w:val="auto"/>
        </w:rPr>
      </w:pPr>
    </w:p>
    <w:tbl>
      <w:tblPr>
        <w:tblLayout w:type="fixed"/>
        <w:tblInd w:w="1832" w:type="dxa"/>
        <w:tblCellMar>
          <w:top w:w="0" w:type="dxa"/>
          <w:left w:w="0" w:type="dxa"/>
          <w:bottom w:w="0" w:type="dxa"/>
          <w:right w:w="0" w:type="dxa"/>
        </w:tblCellMar>
      </w:tblPr>
      <w:tr>
        <w:trPr>
          <w:trHeight w:val="182"/>
        </w:trPr>
        <w:tc>
          <w:tcPr>
            <w:tcW w:w="70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Establishment of Successor goodwill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Elimination of Predecessor 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Establishment of Successor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Elimination of Predecessor 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Inventory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Property, plant &amp; equipment fair value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Pension and other postretirement obligations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Rights offering fair value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fair value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 assets and liabilities fair value adjustments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on fresh start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Tax impact on fresh start adjustments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Predecessor 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(1,008)</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Net impact on Retained earnings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net gain on fresh start adjustments has been included in Reorganization items, net in the Consolidated Statement of Operations.</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72"/>
          </w:cols>
          <w:pgMar w:left="248" w:top="274" w:right="279" w:bottom="1440" w:gutter="0" w:footer="0" w:header="0"/>
        </w:sectPr>
      </w:pPr>
    </w:p>
    <w:bookmarkStart w:id="71" w:name="page72"/>
    <w:bookmarkEnd w:id="7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 26:</w:t>
        <w:tab/>
        <w:t>REORGANIZATION ITEMS,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reorganization items, net is presented in the following table: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7"/>
              </w:rPr>
              <w:t>Successor</w:t>
            </w: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0"/>
                <w:szCs w:val="10"/>
                <w:color w:val="auto"/>
              </w:rPr>
            </w:pPr>
          </w:p>
        </w:tc>
        <w:tc>
          <w:tcPr>
            <w:tcW w:w="1500" w:type="dxa"/>
            <w:vAlign w:val="bottom"/>
            <w:tcBorders>
              <w:right w:val="single" w:sz="8" w:color="auto"/>
            </w:tcBorders>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Four Months</w:t>
            </w:r>
          </w:p>
        </w:tc>
        <w:tc>
          <w:tcPr>
            <w:tcW w:w="14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right w:val="single" w:sz="8" w:color="auto"/>
            </w:tcBorders>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6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Ended 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0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Provision for expected allowed claims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gain on reorganization adjustments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gain on fresh start adjustments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5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Reorganization items, net</w:t>
            </w:r>
          </w:p>
        </w:tc>
        <w:tc>
          <w:tcPr>
            <w:tcW w:w="1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for reorganization items</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Subsequent to the Effective Date, costs directly attributable to the implementation of the Plan are reported as Reorganization items, net. The cash payments for reorganization items for the eight months ended August 31, 2013 includes $84 million of claims related to liabilities subject to compromise paid on the Effective Date. Refer to Note 25, “Fresh Start Accounting” for additional information on the net gain on reorganization and fresh start adjustments.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27:</w:t>
        <w:tab/>
        <w:t>DISCONTINUED OPERATIONS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the Effective Date, as a part of the Global Settlement and pursuant to the Amended SAPA, Kodak consummated the sale of certain assets of the Business to the KPP Purchasing Parties for net cash consideration, in addition to the assumption by the KPP Purchasing Parties of certain liabilities of the Business, of $325 million.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which took place on the Effective Date, but were transferred at a series of deferred closings in accordance with the Amended SAPA. The final deferred closing occurred in September 2015. Kodak operated the Business related to the deferred closing jurisdictions, subject to certain covenants, until the applicable deferred closing occurred, and delivered to (or received from) a KPP subsidiary at each deferred closing a true-up payment that reflected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were being reported as (Loss) earnings from discontinued operations, net of income taxes in the Consolidated Statement of Operations and the assets and liabilities of the Business were being categorized as Assets held for sale or Liabilities held for sale in the Consolidated Statement of Financial Position, as appropriate.</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Kodak recognized a pre-tax loss on the sale of the Business of approximately $163 million during the third quarter 2013 predecessor period. The pre-tax loss excluded recognition of $64 million of non-refundable consideration related to the delayed closings, which non-refundable consideration was received on the Effective Date, and $35 million of contingent consideration, subject to repayment to KPP which was also received by Kodak on the Effective Date. The pre-tax loss included the recognition of approximately $1.5 billion of unamortized pension losses previously reported in Accumulated other comprehensive income.</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17, 2014, the KPP Purchasing Parties agreed to pay Kodak $20 million of incremental consideration ($13 million was paid in March 2014 and the remainder was paid in March 2015) in lieu of working capital adjustments contemplated by the Amended SAPA.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0" w:right="259" w:bottom="1440" w:gutter="0" w:footer="0" w:header="0"/>
        </w:sectPr>
      </w:pPr>
    </w:p>
    <w:bookmarkStart w:id="72" w:name="page73"/>
    <w:bookmarkEnd w:id="72"/>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the major classes of assets and liabilities related to the disposition of the Business which have been segregated and reported as part of Current assets held for sale and Current liabilities held for sale in the Consolidated Statement of Financial Position:</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7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2015</w:t>
            </w: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Current assets held for sale</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Current liabilities held for sale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Discontinued operations of Kodak include the Business (excluding the consumer film business, for which Kodak entered into an ongoing supply arrangement with one or more KPP Purchasing Parties) and other miscellaneous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revenues and earnings (loss) from discontinued operations, net of income taxes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60" w:type="dxa"/>
            <w:vAlign w:val="bottom"/>
            <w:tcBorders>
              <w:top w:val="single" w:sz="8" w:color="auto"/>
            </w:tcBorders>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3"/>
              </w:rPr>
              <w:t>Year Ended</w:t>
            </w:r>
          </w:p>
        </w:tc>
        <w:tc>
          <w:tcPr>
            <w:tcW w:w="1440" w:type="dxa"/>
            <w:vAlign w:val="bottom"/>
            <w:tcBorders>
              <w:top w:val="single" w:sz="8" w:color="auto"/>
            </w:tcBorders>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6"/>
              </w:rPr>
              <w:t>Year Ended</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Four Months</w:t>
            </w:r>
          </w:p>
        </w:tc>
        <w:tc>
          <w:tcPr>
            <w:tcW w:w="72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Eight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Borders>
              <w:right w:val="single" w:sz="8" w:color="auto"/>
            </w:tcBorders>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6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August 31,</w:t>
            </w:r>
          </w:p>
        </w:tc>
        <w:tc>
          <w:tcPr>
            <w:tcW w:w="0" w:type="dxa"/>
            <w:vAlign w:val="bottom"/>
          </w:tcPr>
          <w:p>
            <w:pPr>
              <w:spacing w:after="0"/>
              <w:rPr>
                <w:sz w:val="1"/>
                <w:szCs w:val="1"/>
                <w:color w:val="auto"/>
              </w:rPr>
            </w:pPr>
          </w:p>
        </w:tc>
      </w:t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Personalized and Document Imaging</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7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Revenues from other discontinued operations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from discontinued operations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20" w:type="dxa"/>
            <w:vAlign w:val="bottom"/>
            <w:tcBorders>
              <w:right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317"/>
        </w:trPr>
        <w:tc>
          <w:tcPr>
            <w:tcW w:w="4340" w:type="dxa"/>
            <w:vAlign w:val="bottom"/>
            <w:gridSpan w:val="2"/>
          </w:tcPr>
          <w:p>
            <w:pPr>
              <w:spacing w:after="0"/>
              <w:rPr>
                <w:sz w:val="20"/>
                <w:szCs w:val="20"/>
                <w:color w:val="auto"/>
              </w:rPr>
            </w:pPr>
            <w:r>
              <w:rPr>
                <w:rFonts w:ascii="Arial" w:cs="Arial" w:eastAsia="Arial" w:hAnsi="Arial"/>
                <w:sz w:val="18"/>
                <w:szCs w:val="18"/>
                <w:color w:val="auto"/>
                <w:w w:val="95"/>
              </w:rPr>
              <w:t>Pre-tax (loss) earnings from Personalized and Document</w:t>
            </w: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Imaging</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Pre-tax loss from other discontinued operations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(Provision) benefit for income taxes related to</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4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from discontinued operations, net of</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2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$5 million in pre-tax loss recognized in 2015 represents costs incurred related to the final deferred closing.</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Kodak was required to use a portion of the proceeds from the divestiture of the Business to repay $200 million of the Junior DIP Credit Agreement. Interest expense on the debt that was required to be repaid as a result of the sale of the Business has therefore been allocated to discontinued operations ($14 million for the eight months ended August 31,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of long-lived assets of the Business included in discontinued operations ceased as of July 1, 2013.</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74" w:right="29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QUARTERLY SALES AND EARNINGS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20" w:type="dxa"/>
            <w:vAlign w:val="bottom"/>
          </w:tcPr>
          <w:p>
            <w:pPr>
              <w:spacing w:after="0"/>
              <w:rPr>
                <w:sz w:val="14"/>
                <w:szCs w:val="14"/>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4th Qtr.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2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2nd Qtr.</w:t>
            </w:r>
          </w:p>
        </w:tc>
        <w:tc>
          <w:tcPr>
            <w:tcW w:w="20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1st Qtr.</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revenues from continuing operations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1"/>
              </w:rPr>
              <w:t>$  467</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446</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458</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$ 427</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Earnings (loss) from continuing operations</w:t>
            </w:r>
          </w:p>
        </w:tc>
        <w:tc>
          <w:tcPr>
            <w:tcW w:w="1160" w:type="dxa"/>
            <w:vAlign w:val="bottom"/>
            <w:gridSpan w:val="4"/>
          </w:tcPr>
          <w:p>
            <w:pPr>
              <w:jc w:val="right"/>
              <w:ind w:righ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(Loss) earnings from discontinued operations </w:t>
            </w:r>
            <w:r>
              <w:rPr>
                <w:rFonts w:ascii="Arial" w:cs="Arial" w:eastAsia="Arial" w:hAnsi="Arial"/>
                <w:sz w:val="15"/>
                <w:szCs w:val="15"/>
                <w:color w:val="auto"/>
              </w:rPr>
              <w:t>(4)</w:t>
            </w: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earnings (loss) attributable to Eastman Kodak Company</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202"/>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net earnings (loss) per share attributable to Eastman Kodak</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1"/>
              </w:rPr>
              <w:t>$ 0.57</w:t>
            </w:r>
          </w:p>
        </w:tc>
        <w:tc>
          <w:tcPr>
            <w:tcW w:w="660" w:type="dxa"/>
            <w:vAlign w:val="bottom"/>
          </w:tcPr>
          <w:p>
            <w:pPr>
              <w:spacing w:after="0"/>
              <w:rPr>
                <w:sz w:val="18"/>
                <w:szCs w:val="18"/>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 (0.34)</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 (0.57)</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$ 0.57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(0.53</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9"/>
              </w:rPr>
              <w:t>$ (0.57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6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20" w:type="dxa"/>
            <w:vAlign w:val="bottom"/>
          </w:tcPr>
          <w:p>
            <w:pPr>
              <w:spacing w:after="0"/>
              <w:rPr>
                <w:sz w:val="24"/>
                <w:szCs w:val="24"/>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8"/>
              </w:rPr>
              <w:t>4th Qtr.</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3rd Qtr.</w:t>
            </w:r>
          </w:p>
        </w:tc>
        <w:tc>
          <w:tcPr>
            <w:tcW w:w="20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2nd Qtr.</w:t>
            </w:r>
          </w:p>
        </w:tc>
        <w:tc>
          <w:tcPr>
            <w:tcW w:w="2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1st Qtr.</w:t>
            </w: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2014</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revenues from continuing operations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1"/>
              </w:rPr>
              <w:t>$  532</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568</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528</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$ 488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from continuing operations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(Loss) earnings from continuing operations</w:t>
            </w:r>
          </w:p>
        </w:tc>
        <w:tc>
          <w:tcPr>
            <w:tcW w:w="1160" w:type="dxa"/>
            <w:vAlign w:val="bottom"/>
            <w:gridSpan w:val="4"/>
          </w:tcPr>
          <w:p>
            <w:pPr>
              <w:jc w:val="right"/>
              <w:ind w:right="400"/>
              <w:spacing w:after="0"/>
              <w:rPr>
                <w:sz w:val="20"/>
                <w:szCs w:val="20"/>
                <w:color w:val="auto"/>
              </w:rPr>
            </w:pPr>
            <w:r>
              <w:rPr>
                <w:rFonts w:ascii="Arial" w:cs="Arial" w:eastAsia="Arial" w:hAnsi="Arial"/>
                <w:sz w:val="18"/>
                <w:szCs w:val="18"/>
                <w:color w:val="auto"/>
              </w:rPr>
              <w:t xml:space="preserve">(40)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(Loss) earnings from discontinued operations </w:t>
            </w:r>
            <w:r>
              <w:rPr>
                <w:rFonts w:ascii="Arial" w:cs="Arial" w:eastAsia="Arial" w:hAnsi="Arial"/>
                <w:sz w:val="15"/>
                <w:szCs w:val="15"/>
                <w:color w:val="auto"/>
              </w:rPr>
              <w:t>(4)</w:t>
            </w:r>
          </w:p>
        </w:tc>
        <w:tc>
          <w:tcPr>
            <w:tcW w:w="11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(loss) earnings attributable to Eastman Kodak Company</w:t>
            </w:r>
          </w:p>
        </w:tc>
        <w:tc>
          <w:tcPr>
            <w:tcW w:w="1160" w:type="dxa"/>
            <w:vAlign w:val="bottom"/>
            <w:gridSpan w:val="4"/>
          </w:tcPr>
          <w:p>
            <w:pPr>
              <w:jc w:val="right"/>
              <w:ind w:right="6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earnings per share attributable to Eastman Kodak Company</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160" w:type="dxa"/>
            <w:vAlign w:val="bottom"/>
            <w:gridSpan w:val="4"/>
          </w:tcPr>
          <w:p>
            <w:pPr>
              <w:jc w:val="right"/>
              <w:ind w:right="620"/>
              <w:spacing w:after="0"/>
              <w:rPr>
                <w:sz w:val="20"/>
                <w:szCs w:val="20"/>
                <w:color w:val="auto"/>
              </w:rPr>
            </w:pPr>
            <w:r>
              <w:rPr>
                <w:rFonts w:ascii="Arial" w:cs="Arial" w:eastAsia="Arial" w:hAnsi="Arial"/>
                <w:sz w:val="18"/>
                <w:szCs w:val="18"/>
                <w:color w:val="auto"/>
                <w:w w:val="83"/>
              </w:rPr>
              <w:t>$ (0.98)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0.70</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 (1.44)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1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(0.05)</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 xml:space="preserve"> (1.00</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9"/>
              </w:rPr>
              <w:t>$ (1.49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(0.86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earnings per share attributable to Eastman Kodak Company</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Continuing operations</w:t>
            </w:r>
          </w:p>
        </w:tc>
        <w:tc>
          <w:tcPr>
            <w:tcW w:w="1160" w:type="dxa"/>
            <w:vAlign w:val="bottom"/>
            <w:gridSpan w:val="4"/>
          </w:tcPr>
          <w:p>
            <w:pPr>
              <w:jc w:val="right"/>
              <w:ind w:right="620"/>
              <w:spacing w:after="0"/>
              <w:rPr>
                <w:sz w:val="20"/>
                <w:szCs w:val="20"/>
                <w:color w:val="auto"/>
              </w:rPr>
            </w:pPr>
            <w:r>
              <w:rPr>
                <w:rFonts w:ascii="Arial" w:cs="Arial" w:eastAsia="Arial" w:hAnsi="Arial"/>
                <w:sz w:val="18"/>
                <w:szCs w:val="18"/>
                <w:color w:val="auto"/>
                <w:w w:val="83"/>
              </w:rPr>
              <w:t>$ (0.98)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0.67</w:t>
            </w:r>
          </w:p>
        </w:tc>
        <w:tc>
          <w:tcPr>
            <w:tcW w:w="1000" w:type="dxa"/>
            <w:vAlign w:val="bottom"/>
            <w:gridSpan w:val="4"/>
          </w:tcPr>
          <w:p>
            <w:pPr>
              <w:jc w:val="right"/>
              <w:ind w:right="140"/>
              <w:spacing w:after="0"/>
              <w:rPr>
                <w:sz w:val="20"/>
                <w:szCs w:val="20"/>
                <w:color w:val="auto"/>
              </w:rPr>
            </w:pPr>
            <w:r>
              <w:rPr>
                <w:rFonts w:ascii="Arial" w:cs="Arial" w:eastAsia="Arial" w:hAnsi="Arial"/>
                <w:sz w:val="18"/>
                <w:szCs w:val="18"/>
                <w:color w:val="auto"/>
              </w:rPr>
              <w:t>$ (1.44)</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16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(0.28)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(0.05)</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r>
      <w:tr>
        <w:trPr>
          <w:trHeight w:val="223"/>
        </w:trPr>
        <w:tc>
          <w:tcPr>
            <w:tcW w:w="6640" w:type="dxa"/>
            <w:vAlign w:val="bottom"/>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8"/>
              </w:rPr>
              <w:t>$</w:t>
            </w:r>
            <w:r>
              <w:rPr>
                <w:rFonts w:ascii="Arial" w:cs="Arial" w:eastAsia="Arial" w:hAnsi="Arial"/>
                <w:sz w:val="18"/>
                <w:szCs w:val="18"/>
                <w:color w:val="auto"/>
                <w:w w:val="78"/>
              </w:rPr>
              <w:t xml:space="preserve"> (1.00</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9"/>
              </w:rPr>
              <w:t>$ (1.49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(0.86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Includes pre-tax licensing revenue of $51 million which increased net earnings from continuing operations by $51 million.</w:t>
      </w:r>
    </w:p>
    <w:p>
      <w:pPr>
        <w:spacing w:after="0" w:line="23" w:lineRule="exact"/>
        <w:rPr>
          <w:rFonts w:ascii="Arial" w:cs="Arial" w:eastAsia="Arial" w:hAnsi="Arial"/>
          <w:sz w:val="15"/>
          <w:szCs w:val="15"/>
          <w:color w:val="auto"/>
        </w:rPr>
      </w:pPr>
    </w:p>
    <w:p>
      <w:pPr>
        <w:ind w:left="460" w:right="500" w:hanging="452"/>
        <w:spacing w:after="0" w:line="250"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Includes pre-tax charge of $16 million from the remeasurement of the Venezuelan subsidiary monetary assets and liabilities, which decreased net earnings from continuing operations by $16 million.</w:t>
      </w:r>
    </w:p>
    <w:p>
      <w:pPr>
        <w:ind w:left="460" w:hanging="452"/>
        <w:spacing w:after="0"/>
        <w:tabs>
          <w:tab w:leader="none" w:pos="460" w:val="left"/>
        </w:tabs>
        <w:numPr>
          <w:ilvl w:val="0"/>
          <w:numId w:val="30"/>
        </w:numPr>
        <w:rPr>
          <w:rFonts w:ascii="Arial" w:cs="Arial" w:eastAsia="Arial" w:hAnsi="Arial"/>
          <w:sz w:val="14"/>
          <w:szCs w:val="14"/>
          <w:color w:val="auto"/>
        </w:rPr>
      </w:pPr>
      <w:r>
        <w:rPr>
          <w:rFonts w:ascii="Arial" w:cs="Arial" w:eastAsia="Arial" w:hAnsi="Arial"/>
          <w:sz w:val="16"/>
          <w:szCs w:val="16"/>
          <w:color w:val="auto"/>
        </w:rPr>
        <w:t>Includes $17 million pre-tax benefit from the change in U.S. vacation benefits, which increased net earnings from continuing operations by $17 million.</w:t>
      </w:r>
    </w:p>
    <w:p>
      <w:pPr>
        <w:spacing w:after="0" w:line="32" w:lineRule="exact"/>
        <w:rPr>
          <w:rFonts w:ascii="Arial" w:cs="Arial" w:eastAsia="Arial" w:hAnsi="Arial"/>
          <w:sz w:val="14"/>
          <w:szCs w:val="14"/>
          <w:color w:val="auto"/>
        </w:rPr>
      </w:pPr>
    </w:p>
    <w:p>
      <w:pPr>
        <w:ind w:left="460" w:hanging="452"/>
        <w:spacing w:after="0"/>
        <w:tabs>
          <w:tab w:leader="none" w:pos="460" w:val="left"/>
        </w:tabs>
        <w:numPr>
          <w:ilvl w:val="0"/>
          <w:numId w:val="30"/>
        </w:numPr>
        <w:rPr>
          <w:rFonts w:ascii="Arial" w:cs="Arial" w:eastAsia="Arial" w:hAnsi="Arial"/>
          <w:sz w:val="15"/>
          <w:szCs w:val="15"/>
          <w:color w:val="auto"/>
        </w:rPr>
      </w:pPr>
      <w:r>
        <w:rPr>
          <w:rFonts w:ascii="Arial" w:cs="Arial" w:eastAsia="Arial" w:hAnsi="Arial"/>
          <w:sz w:val="18"/>
          <w:szCs w:val="18"/>
          <w:color w:val="auto"/>
        </w:rPr>
        <w:t>Refer to Note 27, “Discontinued Operations”, in the Notes to Financial Statements for a discussion regarding discontinued operations.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0" w:right="259" w:bottom="1440" w:gutter="0" w:footer="0" w:header="0"/>
        </w:sectPr>
      </w:pPr>
    </w:p>
    <w:bookmarkStart w:id="74" w:name="page75"/>
    <w:bookmarkEnd w:id="74"/>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35" w:lineRule="exact"/>
        <w:rPr>
          <w:sz w:val="20"/>
          <w:szCs w:val="20"/>
          <w:color w:val="auto"/>
        </w:rPr>
      </w:pPr>
    </w:p>
    <w:p>
      <w:pPr>
        <w:ind w:left="5620" w:right="2459" w:hanging="5166"/>
        <w:spacing w:after="0" w:line="449" w:lineRule="auto"/>
        <w:tabs>
          <w:tab w:leader="none" w:pos="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Exhibits required as part of this report are listed in the index appearing on pages 77 through 80. 75</w:t>
      </w:r>
    </w:p>
    <w:p>
      <w:pPr>
        <w:sectPr>
          <w:pgSz w:w="11900" w:h="16838" w:orient="portrait"/>
          <w:cols w:equalWidth="0" w:num="1">
            <w:col w:w="10219"/>
          </w:cols>
          <w:pgMar w:left="240" w:top="270" w:right="1440" w:bottom="1440" w:gutter="0" w:footer="0" w:header="0"/>
        </w:sectPr>
      </w:pPr>
    </w:p>
    <w:bookmarkStart w:id="75" w:name="page76"/>
    <w:bookmarkEnd w:id="75"/>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EASTMAN KODAK COMPANY</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(Registrant)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By:  /s/ John N. McMullen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John N. McMullen</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April 1, 2016</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40"/>
          </w:cols>
          <w:pgMar w:left="240" w:top="270" w:right="7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tcPr>
          <w:p>
            <w:pPr>
              <w:ind w:left="4420"/>
              <w:spacing w:after="0"/>
              <w:rPr>
                <w:sz w:val="20"/>
                <w:szCs w:val="20"/>
                <w:color w:val="auto"/>
              </w:rPr>
            </w:pPr>
            <w:r>
              <w:rPr>
                <w:rFonts w:ascii="Arial" w:cs="Arial" w:eastAsia="Arial" w:hAnsi="Arial"/>
                <w:sz w:val="18"/>
                <w:szCs w:val="18"/>
                <w:b w:val="1"/>
                <w:bCs w:val="1"/>
                <w:color w:val="auto"/>
              </w:rPr>
              <w:t>Eastman Kodak Company</w:t>
            </w:r>
          </w:p>
        </w:tc>
        <w:tc>
          <w:tcPr>
            <w:tcW w:w="0" w:type="dxa"/>
            <w:vAlign w:val="bottom"/>
          </w:tcPr>
          <w:p>
            <w:pPr>
              <w:spacing w:after="0"/>
              <w:rPr>
                <w:sz w:val="1"/>
                <w:szCs w:val="1"/>
                <w:color w:val="auto"/>
              </w:rPr>
            </w:pPr>
          </w:p>
        </w:tc>
      </w:tr>
      <w:tr>
        <w:trPr>
          <w:trHeight w:val="234"/>
        </w:trPr>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10600" w:type="dxa"/>
            <w:vAlign w:val="bottom"/>
          </w:tcPr>
          <w:p>
            <w:pPr>
              <w:ind w:left="47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126"/>
        </w:trPr>
        <w:tc>
          <w:tcPr>
            <w:tcW w:w="800" w:type="dxa"/>
            <w:vAlign w:val="bottom"/>
            <w:gridSpan w:val="2"/>
            <w:vMerge w:val="continue"/>
          </w:tcPr>
          <w:p>
            <w:pPr>
              <w:spacing w:after="0"/>
              <w:rPr>
                <w:sz w:val="10"/>
                <w:szCs w:val="10"/>
                <w:color w:val="auto"/>
              </w:rPr>
            </w:pPr>
          </w:p>
        </w:tc>
        <w:tc>
          <w:tcPr>
            <w:tcW w:w="10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00" w:type="dxa"/>
            <w:vAlign w:val="bottom"/>
            <w:vMerge w:val="restart"/>
          </w:tcPr>
          <w:p>
            <w:pPr>
              <w:ind w:left="240"/>
              <w:spacing w:after="0"/>
              <w:rPr>
                <w:sz w:val="20"/>
                <w:szCs w:val="20"/>
                <w:color w:val="auto"/>
              </w:rPr>
            </w:pPr>
            <w:r>
              <w:rPr>
                <w:rFonts w:ascii="Arial" w:cs="Arial" w:eastAsia="Arial" w:hAnsi="Arial"/>
                <w:sz w:val="18"/>
                <w:szCs w:val="18"/>
                <w:color w:val="auto"/>
                <w:w w:val="97"/>
              </w:rPr>
              <w:t>Confirmation Order from the United States Bankruptcy Court for the Southern District of New York Confirming the First Amended Joint</w:t>
            </w:r>
          </w:p>
        </w:tc>
        <w:tc>
          <w:tcPr>
            <w:tcW w:w="0" w:type="dxa"/>
            <w:vAlign w:val="bottom"/>
          </w:tcPr>
          <w:p>
            <w:pPr>
              <w:spacing w:after="0"/>
              <w:rPr>
                <w:sz w:val="1"/>
                <w:szCs w:val="1"/>
                <w:color w:val="auto"/>
              </w:rPr>
            </w:pPr>
          </w:p>
        </w:tc>
      </w:tr>
      <w:tr>
        <w:trPr>
          <w:trHeight w:val="195"/>
        </w:trPr>
        <w:tc>
          <w:tcPr>
            <w:tcW w:w="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280" w:type="dxa"/>
            <w:vAlign w:val="bottom"/>
          </w:tcPr>
          <w:p>
            <w:pPr>
              <w:spacing w:after="0"/>
              <w:rPr>
                <w:sz w:val="16"/>
                <w:szCs w:val="16"/>
                <w:color w:val="auto"/>
              </w:rPr>
            </w:pPr>
          </w:p>
        </w:tc>
        <w:tc>
          <w:tcPr>
            <w:tcW w:w="10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Chapter 11 Plan of Reorganization, dated August 23, 2013.</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(Incorporated by reference to Exhibit 2.1 of the Company’s Current Report on Form 8-K as filed on August 29, 2013).</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First Amended Joint Chapter 11 Plan of Reorganization of Eastman Kodak Company and its Debtor Affiliates.</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(Incorporated by reference to Exhibit 2.2 of the Company’s Current Report on Form 8-K as filed on August 29,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1"/>
              </w:rPr>
              <w:t>Amended and Restated Stock and Asset Purchase Agreement between Eastman Kodak Company, Qualex, Inc., Kodak (Near East), Inc., KPP</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6"/>
              </w:rPr>
              <w:t>Trustees Limited, as Trustee for the Kodak Pension Plan of the United Kingdom, and, solely for purposes of Section 11.4, KPP Holdco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Limited, dated August 30,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1"/>
              </w:rPr>
              <w:t>(Incorporated by reference to Exhibit 2.3 of the Company’s Quarterly Report on Form 10-Q for the quarterly period ended September 30, 2013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as filed on November 12, 2013).</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Second Amended and Restated Certificate of Incorporation.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(Incorporated by reference to Exhibit 4.1 of the Company’s Registration Statement on Form S-8 as filed on September 3, 2013).</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Third Amended and Restated By-Laws.</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3"/>
              </w:rPr>
              <w:t>(Incorporated by reference to Exhibit 3.1 of the Company’s Quarterly Report on Form 10-Q for the quarterly period ended June 30, 2014 as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filed on August 5, 2014).</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1"/>
              </w:rPr>
              <w:t>Registration Rights Agreement between Eastman Kodak Company and certain stockholders listed on Schedule 1 thereto, dated September 3,</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(Incorporated by reference to Exhibit 4.1 of the Company’s Registration Statement on Form 8-A as filed on September 3, 2013).</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1"/>
              </w:rPr>
              <w:t>Warrant Agreement between Eastman Kodak Company and ComputerShare Trust Company, N.A. and ComputerShare Inc. as Warrant Agent,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dated September 3, 2013.</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(Incorporated by reference to Exhibit 4.2 of the Company’s Registration Statement on Form 8-A as filed on September 3, 2013).</w:t>
            </w: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*(10.1)</w:t>
            </w:r>
          </w:p>
        </w:tc>
        <w:tc>
          <w:tcPr>
            <w:tcW w:w="10600" w:type="dxa"/>
            <w:vAlign w:val="bottom"/>
          </w:tcPr>
          <w:p>
            <w:pPr>
              <w:ind w:left="240"/>
              <w:spacing w:after="0"/>
              <w:rPr>
                <w:sz w:val="20"/>
                <w:szCs w:val="20"/>
                <w:color w:val="auto"/>
              </w:rPr>
            </w:pPr>
            <w:r>
              <w:rPr>
                <w:rFonts w:ascii="Arial" w:cs="Arial" w:eastAsia="Arial" w:hAnsi="Arial"/>
                <w:sz w:val="18"/>
                <w:szCs w:val="18"/>
                <w:color w:val="auto"/>
              </w:rPr>
              <w:t>Eastman Kodak Company 2013 Omnibus Incentive Plan.</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(Incorporated by reference to Exhibit 4.4 of the Company’s Registration Statement on Form S-8 as filed on September 3, 2013).</w:t>
            </w: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*(10.2)</w:t>
            </w:r>
          </w:p>
        </w:tc>
        <w:tc>
          <w:tcPr>
            <w:tcW w:w="10600" w:type="dxa"/>
            <w:vAlign w:val="bottom"/>
          </w:tcPr>
          <w:p>
            <w:pPr>
              <w:ind w:left="240"/>
              <w:spacing w:after="0"/>
              <w:rPr>
                <w:sz w:val="20"/>
                <w:szCs w:val="20"/>
                <w:color w:val="auto"/>
              </w:rPr>
            </w:pPr>
            <w:r>
              <w:rPr>
                <w:rFonts w:ascii="Arial" w:cs="Arial" w:eastAsia="Arial" w:hAnsi="Arial"/>
                <w:sz w:val="18"/>
                <w:szCs w:val="18"/>
                <w:color w:val="auto"/>
              </w:rPr>
              <w:t>Eastman Kodak 2013 Omnibus Incentive Plan Form of Executive Restricted Stock Unit Award Agreement.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4"/>
              </w:rPr>
              <w:t>(Incorporated by reference to Exhibit 10.2 of the Company’s Quarterly Report on Form 10-Q for the quarterly period ended September 30,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2013 as filed on November 12, 2013).</w:t>
            </w: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color w:val="auto"/>
              </w:rPr>
              <w:t>*(10.3)</w:t>
            </w:r>
          </w:p>
        </w:tc>
        <w:tc>
          <w:tcPr>
            <w:tcW w:w="10600" w:type="dxa"/>
            <w:vAlign w:val="bottom"/>
          </w:tcPr>
          <w:p>
            <w:pPr>
              <w:ind w:left="240"/>
              <w:spacing w:after="0"/>
              <w:rPr>
                <w:sz w:val="20"/>
                <w:szCs w:val="20"/>
                <w:color w:val="auto"/>
              </w:rPr>
            </w:pPr>
            <w:r>
              <w:rPr>
                <w:rFonts w:ascii="Arial" w:cs="Arial" w:eastAsia="Arial" w:hAnsi="Arial"/>
                <w:sz w:val="18"/>
                <w:szCs w:val="18"/>
                <w:color w:val="auto"/>
              </w:rPr>
              <w:t>Eastman Kodak Company 2013 Omnibus Incentive Plan Form of Director Restricted Stock Unit Award Agreement.</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w w:val="91"/>
              </w:rPr>
              <w:t>(Incorporated by reference to Exhibit 10.3 of the Company’s Annual Report on Form 10-K for the fiscal year ended December 31, 2013 as filed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tcPr>
          <w:p>
            <w:pPr>
              <w:ind w:left="240"/>
              <w:spacing w:after="0"/>
              <w:rPr>
                <w:sz w:val="20"/>
                <w:szCs w:val="20"/>
                <w:color w:val="auto"/>
              </w:rPr>
            </w:pPr>
            <w:r>
              <w:rPr>
                <w:rFonts w:ascii="Arial" w:cs="Arial" w:eastAsia="Arial" w:hAnsi="Arial"/>
                <w:sz w:val="18"/>
                <w:szCs w:val="18"/>
                <w:color w:val="auto"/>
              </w:rPr>
              <w:t>on March 19, 2014).</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0" w:type="dxa"/>
            <w:vAlign w:val="bottom"/>
          </w:tcPr>
          <w:p>
            <w:pPr>
              <w:ind w:left="48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00"/>
          </w:cols>
          <w:pgMar w:left="240" w:top="270"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77" w:name="page78"/>
    <w:bookmarkEnd w:id="77"/>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0420" w:type="dxa"/>
            <w:vAlign w:val="bottom"/>
          </w:tcPr>
          <w:p>
            <w:pPr>
              <w:ind w:left="280"/>
              <w:spacing w:after="0"/>
              <w:rPr>
                <w:sz w:val="20"/>
                <w:szCs w:val="20"/>
                <w:color w:val="auto"/>
              </w:rPr>
            </w:pPr>
            <w:r>
              <w:rPr>
                <w:rFonts w:ascii="Arial" w:cs="Arial" w:eastAsia="Arial" w:hAnsi="Arial"/>
                <w:sz w:val="18"/>
                <w:szCs w:val="18"/>
                <w:color w:val="auto"/>
              </w:rPr>
              <w:t>Eastman Kodak Company 2013 Omnibus Incentive Plan Form of Nonqualified Stock Option Agreement.</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 of the Company’s Quarterly Report on Form 10-Q for the quarterly period ended March 31, 2015</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as filed on May 7, 2015).</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Credit Agreement dated September 3, 2013 among Eastman Kodak Company as Borrower, the guarantors named therein as Guarantors, the</w:t>
            </w:r>
          </w:p>
        </w:tc>
      </w:tr>
      <w:tr>
        <w:trPr>
          <w:trHeight w:val="216"/>
        </w:trPr>
        <w:tc>
          <w:tcPr>
            <w:tcW w:w="8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lenders named therein as Lenders, Bank of America, N.A. as Administrative and Collateral Agent, Barclays Bank PLC as Syndication Agent</w:t>
            </w:r>
          </w:p>
        </w:tc>
      </w:tr>
      <w:tr>
        <w:trPr>
          <w:trHeight w:val="216"/>
        </w:trPr>
        <w:tc>
          <w:tcPr>
            <w:tcW w:w="8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and Merrill Lynch, Pierce, Fenner &amp; Smith Incorporated, Barclays Bank PLC and J.P. Morgan Securities LLC as Joint Lead Arrangers and</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Joint Bookrunners.</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10.3 of the Company’s Quarterly Report on Form 10-Q for the quarterly period ended September 30,</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10420" w:type="dxa"/>
            <w:vAlign w:val="bottom"/>
          </w:tcPr>
          <w:p>
            <w:pPr>
              <w:ind w:left="280"/>
              <w:spacing w:after="0"/>
              <w:rPr>
                <w:sz w:val="20"/>
                <w:szCs w:val="20"/>
                <w:color w:val="auto"/>
              </w:rPr>
            </w:pPr>
            <w:r>
              <w:rPr>
                <w:rFonts w:ascii="Arial" w:cs="Arial" w:eastAsia="Arial" w:hAnsi="Arial"/>
                <w:sz w:val="18"/>
                <w:szCs w:val="18"/>
                <w:color w:val="auto"/>
                <w:w w:val="97"/>
              </w:rPr>
              <w:t>Security Agreement dated September 3, 2013 from the grantors referred to therein as Grantors to Bank of America, N.A. as Agent.</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10.4 of the Company’s Quarterly Report on Form 10-Q for the quarterly period ended September 30,</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10420" w:type="dxa"/>
            <w:vAlign w:val="bottom"/>
          </w:tcPr>
          <w:p>
            <w:pPr>
              <w:ind w:left="280"/>
              <w:spacing w:after="0"/>
              <w:rPr>
                <w:sz w:val="20"/>
                <w:szCs w:val="20"/>
                <w:color w:val="auto"/>
              </w:rPr>
            </w:pPr>
            <w:r>
              <w:rPr>
                <w:rFonts w:ascii="Arial" w:cs="Arial" w:eastAsia="Arial" w:hAnsi="Arial"/>
                <w:sz w:val="18"/>
                <w:szCs w:val="18"/>
                <w:color w:val="auto"/>
                <w:w w:val="98"/>
              </w:rPr>
              <w:t>Intercreditor Agreement dated September 3, 2013 among Bank of America, N.A. as Representative with respect to the ABL Credit</w:t>
            </w:r>
          </w:p>
        </w:tc>
      </w:tr>
      <w:tr>
        <w:trPr>
          <w:trHeight w:val="216"/>
        </w:trPr>
        <w:tc>
          <w:tcPr>
            <w:tcW w:w="8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4"/>
              </w:rPr>
              <w:t>Agreement, JPMorgan Chase Bank, N.A. as Representative with respect to the Senior Term Loan Agreement, Barclays Bank PLC, as</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8"/>
              </w:rPr>
              <w:t>Representative with respect to the Junior Term Loan Agreement, Eastman Kodak Company and the other grantors party thereto.</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10.5 of the Company’s Quarterly Report on Form 10-Q for the quarterly period ended September 30,</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10420" w:type="dxa"/>
            <w:vAlign w:val="bottom"/>
          </w:tcPr>
          <w:p>
            <w:pPr>
              <w:ind w:left="280"/>
              <w:spacing w:after="0"/>
              <w:rPr>
                <w:sz w:val="20"/>
                <w:szCs w:val="20"/>
                <w:color w:val="auto"/>
              </w:rPr>
            </w:pPr>
            <w:r>
              <w:rPr>
                <w:rFonts w:ascii="Arial" w:cs="Arial" w:eastAsia="Arial" w:hAnsi="Arial"/>
                <w:sz w:val="18"/>
                <w:szCs w:val="18"/>
                <w:color w:val="auto"/>
                <w:w w:val="90"/>
              </w:rPr>
              <w:t>Senior Secured First Lien Term Credit Agreement dated September 3, 2013 among Eastman Kodak Company, as the Borrower, the lenders</w:t>
            </w:r>
          </w:p>
        </w:tc>
      </w:tr>
      <w:tr>
        <w:trPr>
          <w:trHeight w:val="216"/>
        </w:trPr>
        <w:tc>
          <w:tcPr>
            <w:tcW w:w="8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party hereto, JPMorgan Chase Bank, N.A. as Administrative Agent, and J.P. Morgan Securities LLC, Barclays Bank PLC and Merrill Lynch,</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Pierce, Fenner &amp; Smith Incorporated, as Joint Lead Arrangers and Joint Bookrunners.</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10.6 of the Company’s Quarterly Report on Form 10-Q for the quarterly period ended September 30,</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Guarantee and Collateral Agreement dated September 3, 2013 from the grantors referred to therein as Grantors to JPMorgan Chase Bank,</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N.A. as Administrative Agent.</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10.7 of the Company’s Quarterly Report on Form 10-Q for the quarterly period ended September 30,</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Senior Secured Second Lien Term Credit Agreement dated September 3, 2013, among Eastman Kodak Company, as the Borrower and the</w:t>
            </w:r>
          </w:p>
        </w:tc>
      </w:tr>
      <w:tr>
        <w:trPr>
          <w:trHeight w:val="216"/>
        </w:trPr>
        <w:tc>
          <w:tcPr>
            <w:tcW w:w="8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lenders party thereto, Barclays Bank PLC, as Administrative Agent and J.P. Morgan Securities LLC, Barclays Bank PLC and Merrill Lynch,</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Pierce, Fenner &amp; Smith Incorporated, as Joint Lead Arrangers and Joint Bookrunners.</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10.8 of the Company’s Quarterly Report on Form 10-Q for the quarterly period ended September 30,</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Guarantee and Collateral Agreement dated September 3, 2013 from the grantors referred to therein as Grantors to Barclays Bank PLC as</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Administrative Agent.</w:t>
            </w:r>
          </w:p>
        </w:tc>
      </w:tr>
      <w:tr>
        <w:trPr>
          <w:trHeight w:val="310"/>
        </w:trPr>
        <w:tc>
          <w:tcPr>
            <w:tcW w:w="880" w:type="dxa"/>
            <w:vAlign w:val="bottom"/>
          </w:tcPr>
          <w:p>
            <w:pPr>
              <w:spacing w:after="0"/>
              <w:rPr>
                <w:sz w:val="24"/>
                <w:szCs w:val="24"/>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2"/>
              </w:rPr>
              <w:t>(Incorporated by reference to Exhibit 10.9 of the Company’s Quarterly Report on Form 10-Q for the quarterly period ended September 30,</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10"/>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420" w:type="dxa"/>
            <w:vAlign w:val="bottom"/>
          </w:tcPr>
          <w:p>
            <w:pPr>
              <w:ind w:left="280"/>
              <w:spacing w:after="0"/>
              <w:rPr>
                <w:sz w:val="20"/>
                <w:szCs w:val="20"/>
                <w:color w:val="auto"/>
              </w:rPr>
            </w:pPr>
            <w:r>
              <w:rPr>
                <w:rFonts w:ascii="Arial" w:cs="Arial" w:eastAsia="Arial" w:hAnsi="Arial"/>
                <w:sz w:val="18"/>
                <w:szCs w:val="18"/>
                <w:color w:val="auto"/>
                <w:w w:val="89"/>
              </w:rPr>
              <w:t>Amended and Restated Settlement Agreement (Eastman Business Park) between Eastman Kodak Company, the New York State Department</w:t>
            </w:r>
          </w:p>
        </w:tc>
      </w:tr>
      <w:tr>
        <w:trPr>
          <w:trHeight w:val="216"/>
        </w:trPr>
        <w:tc>
          <w:tcPr>
            <w:tcW w:w="880" w:type="dxa"/>
            <w:vAlign w:val="bottom"/>
          </w:tcPr>
          <w:p>
            <w:pPr>
              <w:spacing w:after="0"/>
              <w:rPr>
                <w:sz w:val="18"/>
                <w:szCs w:val="18"/>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w w:val="91"/>
              </w:rPr>
              <w:t>of Environmental Conservation, and the New York State Urban Development Corporation d/b/a Empire State Development, dated August 6,</w:t>
            </w:r>
          </w:p>
        </w:tc>
      </w:tr>
      <w:tr>
        <w:trPr>
          <w:trHeight w:val="230"/>
        </w:trPr>
        <w:tc>
          <w:tcPr>
            <w:tcW w:w="880" w:type="dxa"/>
            <w:vAlign w:val="bottom"/>
          </w:tcPr>
          <w:p>
            <w:pPr>
              <w:spacing w:after="0"/>
              <w:rPr>
                <w:sz w:val="20"/>
                <w:szCs w:val="20"/>
                <w:color w:val="auto"/>
              </w:rPr>
            </w:pPr>
          </w:p>
        </w:tc>
        <w:tc>
          <w:tcPr>
            <w:tcW w:w="10420" w:type="dxa"/>
            <w:vAlign w:val="bottom"/>
          </w:tcPr>
          <w:p>
            <w:pPr>
              <w:ind w:left="280"/>
              <w:spacing w:after="0"/>
              <w:rPr>
                <w:sz w:val="20"/>
                <w:szCs w:val="20"/>
                <w:color w:val="auto"/>
              </w:rPr>
            </w:pPr>
            <w:r>
              <w:rPr>
                <w:rFonts w:ascii="Arial" w:cs="Arial" w:eastAsia="Arial" w:hAnsi="Arial"/>
                <w:sz w:val="18"/>
                <w:szCs w:val="18"/>
                <w:color w:val="auto"/>
              </w:rPr>
              <w:t>2013.</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160" w:right="60"/>
        <w:spacing w:after="0" w:line="277" w:lineRule="auto"/>
        <w:rPr>
          <w:sz w:val="20"/>
          <w:szCs w:val="20"/>
          <w:color w:val="auto"/>
        </w:rPr>
      </w:pPr>
      <w:r>
        <w:rPr>
          <w:rFonts w:ascii="Arial" w:cs="Arial" w:eastAsia="Arial" w:hAnsi="Arial"/>
          <w:sz w:val="18"/>
          <w:szCs w:val="18"/>
          <w:color w:val="auto"/>
        </w:rPr>
        <w:t>(Incorporated by reference to Exhibit 10.10 of the Company’s Quarterly Report on Form 10-Q for the quarterly period ended September 30, 2013 as filed on November 12, 2013).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274" w:right="3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*(10.13)</w:t>
            </w:r>
          </w:p>
        </w:tc>
        <w:tc>
          <w:tcPr>
            <w:tcW w:w="10440" w:type="dxa"/>
            <w:vAlign w:val="bottom"/>
          </w:tcPr>
          <w:p>
            <w:pPr>
              <w:ind w:left="280"/>
              <w:spacing w:after="0"/>
              <w:rPr>
                <w:sz w:val="20"/>
                <w:szCs w:val="20"/>
                <w:color w:val="auto"/>
              </w:rPr>
            </w:pPr>
            <w:r>
              <w:rPr>
                <w:rFonts w:ascii="Arial" w:cs="Arial" w:eastAsia="Arial" w:hAnsi="Arial"/>
                <w:sz w:val="18"/>
                <w:szCs w:val="18"/>
                <w:color w:val="auto"/>
              </w:rPr>
              <w:t>Employment Agreement between Eastman Kodak Company and John N. McMullen, dated May 16, 2014.</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10.1 of the Company’s Quarterly Report on Form 10-Q for the quarterly period ended June 30, 2014 as</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filed on August 5, 2014).</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*(10.14)</w:t>
            </w:r>
          </w:p>
        </w:tc>
        <w:tc>
          <w:tcPr>
            <w:tcW w:w="10440" w:type="dxa"/>
            <w:vAlign w:val="bottom"/>
          </w:tcPr>
          <w:p>
            <w:pPr>
              <w:ind w:left="280"/>
              <w:spacing w:after="0"/>
              <w:rPr>
                <w:sz w:val="20"/>
                <w:szCs w:val="20"/>
                <w:color w:val="auto"/>
              </w:rPr>
            </w:pPr>
            <w:r>
              <w:rPr>
                <w:rFonts w:ascii="Arial" w:cs="Arial" w:eastAsia="Arial" w:hAnsi="Arial"/>
                <w:sz w:val="18"/>
                <w:szCs w:val="18"/>
                <w:color w:val="auto"/>
              </w:rPr>
              <w:t>Employment Agreement between Eastman Kodak Company and Jeffrey J. Clarke, dated March 10, 2014.</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 of the Company’s Quarterly Report on Form 10-Q for the quarterly period ended March 31, 2014</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as filed on May 6, 2014).</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*#(10.15)</w:t>
            </w:r>
          </w:p>
        </w:tc>
        <w:tc>
          <w:tcPr>
            <w:tcW w:w="10440" w:type="dxa"/>
            <w:vAlign w:val="bottom"/>
          </w:tcPr>
          <w:p>
            <w:pPr>
              <w:ind w:left="280"/>
              <w:spacing w:after="0"/>
              <w:rPr>
                <w:sz w:val="20"/>
                <w:szCs w:val="20"/>
                <w:color w:val="auto"/>
              </w:rPr>
            </w:pPr>
            <w:r>
              <w:rPr>
                <w:rFonts w:ascii="Arial" w:cs="Arial" w:eastAsia="Arial" w:hAnsi="Arial"/>
                <w:sz w:val="18"/>
                <w:szCs w:val="18"/>
                <w:color w:val="auto"/>
              </w:rPr>
              <w:t>Management Agreement with Douglas J. Edwards, dated September 3, 2013.</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10.11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*(10.16)</w:t>
            </w:r>
          </w:p>
        </w:tc>
        <w:tc>
          <w:tcPr>
            <w:tcW w:w="10440" w:type="dxa"/>
            <w:vAlign w:val="bottom"/>
          </w:tcPr>
          <w:p>
            <w:pPr>
              <w:ind w:left="280"/>
              <w:spacing w:after="0"/>
              <w:rPr>
                <w:sz w:val="20"/>
                <w:szCs w:val="20"/>
                <w:color w:val="auto"/>
              </w:rPr>
            </w:pPr>
            <w:r>
              <w:rPr>
                <w:rFonts w:ascii="Arial" w:cs="Arial" w:eastAsia="Arial" w:hAnsi="Arial"/>
                <w:sz w:val="18"/>
                <w:szCs w:val="18"/>
                <w:color w:val="auto"/>
              </w:rPr>
              <w:t>Management Agreement with Antonio M. Perez, dated September 3, 2013.</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10.12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*#(10.17)</w:t>
            </w:r>
          </w:p>
        </w:tc>
        <w:tc>
          <w:tcPr>
            <w:tcW w:w="10440" w:type="dxa"/>
            <w:vAlign w:val="bottom"/>
          </w:tcPr>
          <w:p>
            <w:pPr>
              <w:ind w:left="280"/>
              <w:spacing w:after="0"/>
              <w:rPr>
                <w:sz w:val="20"/>
                <w:szCs w:val="20"/>
                <w:color w:val="auto"/>
              </w:rPr>
            </w:pPr>
            <w:r>
              <w:rPr>
                <w:rFonts w:ascii="Arial" w:cs="Arial" w:eastAsia="Arial" w:hAnsi="Arial"/>
                <w:sz w:val="18"/>
                <w:szCs w:val="18"/>
                <w:color w:val="auto"/>
              </w:rPr>
              <w:t>Management Agreement with Patrick M. Sheller, dated September 3, 2013.</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10.14 of the Company’s Quarterly Report on Form 10-Q for the quarterly period ended September 30,</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2013 as filed on November 12,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*(10.18)</w:t>
            </w:r>
          </w:p>
        </w:tc>
        <w:tc>
          <w:tcPr>
            <w:tcW w:w="10440" w:type="dxa"/>
            <w:vAlign w:val="bottom"/>
          </w:tcPr>
          <w:p>
            <w:pPr>
              <w:ind w:left="280"/>
              <w:spacing w:after="0"/>
              <w:rPr>
                <w:sz w:val="20"/>
                <w:szCs w:val="20"/>
                <w:color w:val="auto"/>
              </w:rPr>
            </w:pPr>
            <w:r>
              <w:rPr>
                <w:rFonts w:ascii="Arial" w:cs="Arial" w:eastAsia="Arial" w:hAnsi="Arial"/>
                <w:sz w:val="18"/>
                <w:szCs w:val="18"/>
                <w:color w:val="auto"/>
              </w:rPr>
              <w:t>Management Agreement with Brad Kruchten, dated September 3, 2013.</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10.16 of the Company’s Annual Report on Form 10-K for the fiscal year ended December 31, 2013 as</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filed on March 19, 2014).</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10440" w:type="dxa"/>
            <w:vAlign w:val="bottom"/>
          </w:tcPr>
          <w:p>
            <w:pPr>
              <w:ind w:left="280"/>
              <w:spacing w:after="0"/>
              <w:rPr>
                <w:sz w:val="20"/>
                <w:szCs w:val="20"/>
                <w:color w:val="auto"/>
              </w:rPr>
            </w:pPr>
            <w:r>
              <w:rPr>
                <w:rFonts w:ascii="Arial" w:cs="Arial" w:eastAsia="Arial" w:hAnsi="Arial"/>
                <w:sz w:val="18"/>
                <w:szCs w:val="18"/>
                <w:color w:val="auto"/>
                <w:w w:val="96"/>
              </w:rPr>
              <w:t>Settlement Agreement between Eastman Kodak Company, Kodak Limited, Kodak International Finance Limited, Kodak Polychrome</w:t>
            </w:r>
          </w:p>
        </w:tc>
      </w:tr>
      <w:tr>
        <w:trPr>
          <w:trHeight w:val="216"/>
        </w:trPr>
        <w:tc>
          <w:tcPr>
            <w:tcW w:w="980" w:type="dxa"/>
            <w:vAlign w:val="bottom"/>
          </w:tcPr>
          <w:p>
            <w:pPr>
              <w:spacing w:after="0"/>
              <w:rPr>
                <w:sz w:val="18"/>
                <w:szCs w:val="18"/>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Graphics Finance UK Limited, and the KPP Trustees Limited, as trustee for the Kodak Pension Plan of the United Kingdom, dated April 26,</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2013.</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10.1 of the Company’s Quarterly Report on Form 10-Q for the quarterly period ended June 30, 2013 as</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filed on August 7,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10440" w:type="dxa"/>
            <w:vAlign w:val="bottom"/>
          </w:tcPr>
          <w:p>
            <w:pPr>
              <w:ind w:left="280"/>
              <w:spacing w:after="0"/>
              <w:rPr>
                <w:sz w:val="20"/>
                <w:szCs w:val="20"/>
                <w:color w:val="auto"/>
              </w:rPr>
            </w:pPr>
            <w:r>
              <w:rPr>
                <w:rFonts w:ascii="Arial" w:cs="Arial" w:eastAsia="Arial" w:hAnsi="Arial"/>
                <w:sz w:val="18"/>
                <w:szCs w:val="18"/>
                <w:color w:val="auto"/>
                <w:w w:val="97"/>
              </w:rPr>
              <w:t>Backstop Commitment Agreement among Eastman Kodak Company and the Backstop Parties party thereto, dated June 18, 2013.</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0"/>
              </w:rPr>
              <w:t>(Incorporated by reference to Exhibit 10.3 of the Company’s Quarterly Report on Form 10-Q for the quarterly period ended June 30, 2013 as</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filed on August 7, 2013).</w:t>
            </w:r>
          </w:p>
        </w:tc>
      </w:tr>
      <w:tr>
        <w:trPr>
          <w:trHeight w:val="324"/>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10440" w:type="dxa"/>
            <w:vAlign w:val="bottom"/>
          </w:tcPr>
          <w:p>
            <w:pPr>
              <w:ind w:left="280"/>
              <w:spacing w:after="0"/>
              <w:rPr>
                <w:sz w:val="20"/>
                <w:szCs w:val="20"/>
                <w:color w:val="auto"/>
              </w:rPr>
            </w:pPr>
            <w:r>
              <w:rPr>
                <w:rFonts w:ascii="Arial" w:cs="Arial" w:eastAsia="Arial" w:hAnsi="Arial"/>
                <w:sz w:val="18"/>
                <w:szCs w:val="18"/>
                <w:color w:val="auto"/>
              </w:rPr>
              <w:t>Eastman Kodak Company Executive Compensation for Excellence and Leadership Plan, dated January 1, 2014.</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10.2 of the Company’s Quarterly Report on Form 10-Q for the quarterly period ended March 31, 2014</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as filed on May 6, 2014).</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Eastman Kodak Company Administrative Guide for the 2014 Performance Period under the Executive Compensation for Excellence and</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Leadership Plan.</w:t>
            </w:r>
          </w:p>
        </w:tc>
      </w:tr>
      <w:tr>
        <w:trPr>
          <w:trHeight w:val="310"/>
        </w:trPr>
        <w:tc>
          <w:tcPr>
            <w:tcW w:w="980" w:type="dxa"/>
            <w:vAlign w:val="bottom"/>
          </w:tcPr>
          <w:p>
            <w:pPr>
              <w:spacing w:after="0"/>
              <w:rPr>
                <w:sz w:val="24"/>
                <w:szCs w:val="24"/>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w w:val="91"/>
              </w:rPr>
              <w:t>(Incorporated by reference to Exhibit 10.3 of the Company’s Quarterly Report on Form 10-Q for the quarterly period ended March 31, 2014</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as filed on May 6, 2014).</w:t>
            </w:r>
          </w:p>
        </w:tc>
      </w:tr>
      <w:tr>
        <w:trPr>
          <w:trHeight w:val="310"/>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440" w:type="dxa"/>
            <w:vAlign w:val="bottom"/>
          </w:tcPr>
          <w:p>
            <w:pPr>
              <w:ind w:left="280"/>
              <w:spacing w:after="0"/>
              <w:rPr>
                <w:sz w:val="20"/>
                <w:szCs w:val="20"/>
                <w:color w:val="auto"/>
              </w:rPr>
            </w:pPr>
            <w:r>
              <w:rPr>
                <w:rFonts w:ascii="Arial" w:cs="Arial" w:eastAsia="Arial" w:hAnsi="Arial"/>
                <w:sz w:val="18"/>
                <w:szCs w:val="18"/>
                <w:color w:val="auto"/>
                <w:w w:val="93"/>
              </w:rPr>
              <w:t>Eastman Kodak Company Administrative Guide for the 2015 Performance Period under the Executive Compensation for Excellence and</w:t>
            </w:r>
          </w:p>
        </w:tc>
      </w:tr>
      <w:tr>
        <w:trPr>
          <w:trHeight w:val="230"/>
        </w:trPr>
        <w:tc>
          <w:tcPr>
            <w:tcW w:w="980" w:type="dxa"/>
            <w:vAlign w:val="bottom"/>
          </w:tcPr>
          <w:p>
            <w:pPr>
              <w:spacing w:after="0"/>
              <w:rPr>
                <w:sz w:val="20"/>
                <w:szCs w:val="20"/>
                <w:color w:val="auto"/>
              </w:rPr>
            </w:pPr>
          </w:p>
        </w:tc>
        <w:tc>
          <w:tcPr>
            <w:tcW w:w="10440" w:type="dxa"/>
            <w:vAlign w:val="bottom"/>
          </w:tcPr>
          <w:p>
            <w:pPr>
              <w:ind w:left="280"/>
              <w:spacing w:after="0"/>
              <w:rPr>
                <w:sz w:val="20"/>
                <w:szCs w:val="20"/>
                <w:color w:val="auto"/>
              </w:rPr>
            </w:pPr>
            <w:r>
              <w:rPr>
                <w:rFonts w:ascii="Arial" w:cs="Arial" w:eastAsia="Arial" w:hAnsi="Arial"/>
                <w:sz w:val="18"/>
                <w:szCs w:val="18"/>
                <w:color w:val="auto"/>
              </w:rPr>
              <w:t>Leadership Plan.</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260" w:right="60"/>
        <w:spacing w:after="0" w:line="277" w:lineRule="auto"/>
        <w:rPr>
          <w:sz w:val="20"/>
          <w:szCs w:val="20"/>
          <w:color w:val="auto"/>
        </w:rPr>
      </w:pPr>
      <w:r>
        <w:rPr>
          <w:rFonts w:ascii="Arial" w:cs="Arial" w:eastAsia="Arial" w:hAnsi="Arial"/>
          <w:sz w:val="18"/>
          <w:szCs w:val="18"/>
          <w:color w:val="auto"/>
        </w:rPr>
        <w:t>(Incorporated by reference to Exhibit 10.2 of the Company’s Quarterly Report on Form 10-Q for the quarterly period ended March 31, 2015 as filed on May 7,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79" w:name="page80"/>
    <w:bookmarkEnd w:id="79"/>
    <w:p>
      <w:pPr>
        <w:spacing w:after="0"/>
        <w:tabs>
          <w:tab w:leader="none" w:pos="1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*(10.24)</w:t>
      </w:r>
      <w:r>
        <w:rPr>
          <w:sz w:val="20"/>
          <w:szCs w:val="20"/>
          <w:color w:val="auto"/>
        </w:rPr>
        <w:tab/>
      </w:r>
      <w:r>
        <w:rPr>
          <w:rFonts w:ascii="Arial" w:cs="Arial" w:eastAsia="Arial" w:hAnsi="Arial"/>
          <w:sz w:val="16"/>
          <w:szCs w:val="16"/>
          <w:color w:val="auto"/>
        </w:rPr>
        <w:t>Eastman Kodak Company Deferred Compensation Plan for Directors dated December 26, 2013.</w:t>
      </w:r>
    </w:p>
    <w:p>
      <w:pPr>
        <w:spacing w:after="0" w:line="117" w:lineRule="exact"/>
        <w:rPr>
          <w:sz w:val="20"/>
          <w:szCs w:val="20"/>
          <w:color w:val="auto"/>
        </w:rPr>
      </w:pPr>
    </w:p>
    <w:p>
      <w:pPr>
        <w:ind w:left="1260"/>
        <w:spacing w:after="0" w:line="277" w:lineRule="auto"/>
        <w:rPr>
          <w:sz w:val="20"/>
          <w:szCs w:val="20"/>
          <w:color w:val="auto"/>
        </w:rPr>
      </w:pPr>
      <w:r>
        <w:rPr>
          <w:rFonts w:ascii="Arial" w:cs="Arial" w:eastAsia="Arial" w:hAnsi="Arial"/>
          <w:sz w:val="18"/>
          <w:szCs w:val="18"/>
          <w:color w:val="auto"/>
        </w:rPr>
        <w:t>(Incorporated by reference to Exhibit 10.23 of the Company’s Annual Report on Form 10-K for the fiscal year ended December 31, 2013 as filed on March 19, 2014).</w:t>
      </w:r>
    </w:p>
    <w:p>
      <w:pPr>
        <w:spacing w:after="0" w:line="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Eastman Kodak Company Officer Severance Policy, previously filed.</w:t>
      </w:r>
    </w:p>
    <w:p>
      <w:pPr>
        <w:spacing w:after="0" w:line="117" w:lineRule="exact"/>
        <w:rPr>
          <w:sz w:val="20"/>
          <w:szCs w:val="20"/>
          <w:color w:val="auto"/>
        </w:rPr>
      </w:pPr>
    </w:p>
    <w:p>
      <w:pPr>
        <w:ind w:left="1260" w:hanging="1252"/>
        <w:spacing w:after="0"/>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Statement regarding Computation of Ratio of Earnings to Fixed Charges, previously filed.</w:t>
      </w:r>
    </w:p>
    <w:p>
      <w:pPr>
        <w:spacing w:after="0" w:line="117" w:lineRule="exact"/>
        <w:rPr>
          <w:sz w:val="20"/>
          <w:szCs w:val="20"/>
          <w:color w:val="auto"/>
        </w:rPr>
      </w:pPr>
    </w:p>
    <w:p>
      <w:pPr>
        <w:ind w:left="1260" w:hanging="1252"/>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Subsidiaries of Eastman Kodak Company, previously filed.</w:t>
      </w:r>
    </w:p>
    <w:p>
      <w:pPr>
        <w:spacing w:after="0" w:line="117" w:lineRule="exact"/>
        <w:rPr>
          <w:sz w:val="20"/>
          <w:szCs w:val="20"/>
          <w:color w:val="auto"/>
        </w:rPr>
      </w:pPr>
    </w:p>
    <w:p>
      <w:pPr>
        <w:ind w:left="1260" w:hanging="1252"/>
        <w:spacing w:after="0"/>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Consents of Independent Registered Public Accounting Firm, previously filed.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220"/>
              <w:spacing w:after="0"/>
              <w:rPr>
                <w:sz w:val="20"/>
                <w:szCs w:val="20"/>
                <w:color w:val="auto"/>
              </w:rPr>
            </w:pPr>
            <w:r>
              <w:rPr>
                <w:rFonts w:ascii="Arial" w:cs="Arial" w:eastAsia="Arial" w:hAnsi="Arial"/>
                <w:sz w:val="18"/>
                <w:szCs w:val="18"/>
                <w:color w:val="auto"/>
              </w:rPr>
              <w:t>Certification signed by Jeffrey J. Clarke,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220"/>
              <w:spacing w:after="0"/>
              <w:rPr>
                <w:sz w:val="20"/>
                <w:szCs w:val="20"/>
                <w:color w:val="auto"/>
              </w:rPr>
            </w:pPr>
            <w:r>
              <w:rPr>
                <w:rFonts w:ascii="Arial" w:cs="Arial" w:eastAsia="Arial" w:hAnsi="Arial"/>
                <w:sz w:val="18"/>
                <w:szCs w:val="18"/>
                <w:color w:val="auto"/>
              </w:rPr>
              <w:t>Certification signed by John N. McMullen, filed herewith.</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signed by Jeffrey</w:t>
            </w:r>
          </w:p>
        </w:tc>
      </w:tr>
      <w:tr>
        <w:trPr>
          <w:trHeight w:val="230"/>
        </w:trPr>
        <w:tc>
          <w:tcPr>
            <w:tcW w:w="1040" w:type="dxa"/>
            <w:vAlign w:val="bottom"/>
          </w:tcPr>
          <w:p>
            <w:pPr>
              <w:spacing w:after="0"/>
              <w:rPr>
                <w:sz w:val="20"/>
                <w:szCs w:val="20"/>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J. Clarke, furnished herewith.</w:t>
            </w:r>
          </w:p>
        </w:tc>
      </w:tr>
      <w:tr>
        <w:trPr>
          <w:trHeight w:val="310"/>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22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 signed by John N.</w:t>
            </w:r>
          </w:p>
        </w:tc>
      </w:tr>
      <w:tr>
        <w:trPr>
          <w:trHeight w:val="230"/>
        </w:trPr>
        <w:tc>
          <w:tcPr>
            <w:tcW w:w="1040" w:type="dxa"/>
            <w:vAlign w:val="bottom"/>
          </w:tcPr>
          <w:p>
            <w:pPr>
              <w:spacing w:after="0"/>
              <w:rPr>
                <w:sz w:val="20"/>
                <w:szCs w:val="20"/>
                <w:color w:val="auto"/>
              </w:rPr>
            </w:pPr>
          </w:p>
        </w:tc>
        <w:tc>
          <w:tcPr>
            <w:tcW w:w="10300" w:type="dxa"/>
            <w:vAlign w:val="bottom"/>
          </w:tcPr>
          <w:p>
            <w:pPr>
              <w:ind w:left="220"/>
              <w:spacing w:after="0"/>
              <w:rPr>
                <w:sz w:val="20"/>
                <w:szCs w:val="20"/>
                <w:color w:val="auto"/>
              </w:rPr>
            </w:pPr>
            <w:r>
              <w:rPr>
                <w:rFonts w:ascii="Arial" w:cs="Arial" w:eastAsia="Arial" w:hAnsi="Arial"/>
                <w:sz w:val="18"/>
                <w:szCs w:val="18"/>
                <w:color w:val="auto"/>
              </w:rPr>
              <w:t>McMullen, furnished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10300" w:type="dxa"/>
            <w:vAlign w:val="bottom"/>
          </w:tcPr>
          <w:p>
            <w:pPr>
              <w:ind w:left="220"/>
              <w:spacing w:after="0"/>
              <w:rPr>
                <w:sz w:val="20"/>
                <w:szCs w:val="20"/>
                <w:color w:val="auto"/>
              </w:rPr>
            </w:pPr>
            <w:r>
              <w:rPr>
                <w:rFonts w:ascii="Arial" w:cs="Arial" w:eastAsia="Arial" w:hAnsi="Arial"/>
                <w:sz w:val="18"/>
                <w:szCs w:val="18"/>
                <w:color w:val="auto"/>
              </w:rPr>
              <w:t>Section 13(r) Disclosure, previously filed.</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tcPr>
          <w:p>
            <w:pPr>
              <w:ind w:left="220"/>
              <w:spacing w:after="0"/>
              <w:rPr>
                <w:sz w:val="20"/>
                <w:szCs w:val="20"/>
                <w:color w:val="auto"/>
              </w:rPr>
            </w:pPr>
            <w:r>
              <w:rPr>
                <w:rFonts w:ascii="Arial" w:cs="Arial" w:eastAsia="Arial" w:hAnsi="Arial"/>
                <w:sz w:val="18"/>
                <w:szCs w:val="18"/>
                <w:color w:val="auto"/>
              </w:rPr>
              <w:t>XBRL Instance Document,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tcPr>
          <w:p>
            <w:pPr>
              <w:ind w:left="220"/>
              <w:spacing w:after="0"/>
              <w:rPr>
                <w:sz w:val="20"/>
                <w:szCs w:val="20"/>
                <w:color w:val="auto"/>
              </w:rPr>
            </w:pPr>
            <w:r>
              <w:rPr>
                <w:rFonts w:ascii="Arial" w:cs="Arial" w:eastAsia="Arial" w:hAnsi="Arial"/>
                <w:sz w:val="18"/>
                <w:szCs w:val="18"/>
                <w:color w:val="auto"/>
              </w:rPr>
              <w:t>XBRL Taxonomy Extension Scheme Linkbase, filed herewith.</w:t>
            </w: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filed herewith.</w:t>
            </w:r>
          </w:p>
        </w:tc>
      </w:tr>
    </w:tbl>
    <w:p>
      <w:pPr>
        <w:spacing w:after="0" w:line="22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460" w:right="180" w:hanging="452"/>
        <w:spacing w:after="0" w:line="32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274" w:right="31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J. Clarke, certify that:</w:t>
      </w:r>
    </w:p>
    <w:p>
      <w:pPr>
        <w:spacing w:after="0" w:line="13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2016</w:t>
      </w:r>
    </w:p>
    <w:p>
      <w:pPr>
        <w:sectPr>
          <w:pgSz w:w="11900" w:h="16838" w:orient="portrait"/>
          <w:cols w:equalWidth="0" w:num="1">
            <w:col w:w="11420"/>
          </w:cols>
          <w:pgMar w:left="240" w:top="1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N. McMullen, certify that:</w:t>
      </w:r>
    </w:p>
    <w:p>
      <w:pPr>
        <w:spacing w:after="0" w:line="131"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10-K;</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John N. McMullen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N. McMullen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2016</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2015 as filed with the Securities and Exchange Commission (the “SEC”) on March 15, 2016 and amended by Amendment No. 1 thereto as filed with the SEC on March 18, 2016 and Amendment No. 2 thereto as filed with the SEC on the date hereof (the “Report”), I, Jeffrey J. Clarke, Chief Executive Officer of the Company, certify, pursuant to 18 U.S.C. Section 1350, as adopted pursuant to Section 906 of the Sarbanes-Oxley Act of 2002, that to the best of my knowledge:</w:t>
      </w:r>
    </w:p>
    <w:p>
      <w:pPr>
        <w:spacing w:after="0" w:line="46" w:lineRule="exact"/>
        <w:rPr>
          <w:sz w:val="20"/>
          <w:szCs w:val="20"/>
          <w:color w:val="auto"/>
        </w:rPr>
      </w:pPr>
    </w:p>
    <w:p>
      <w:pPr>
        <w:ind w:left="660" w:hanging="19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Jeffrey J.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J. Clarke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2016</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2015 as filed with the Securities and Exchange Commission (the “SEC”) on March 15, 2016 and amended by Amendment No. 1 thereto as filed with the SEC on March 18, 2016 and Amendment No. 2 thereto as filed with the SEC on the date hereof (the “Report”), I, John N. McMullen, Chief Financial Officer of the Company, certify, pursuant to 18 U.S.C. Section 1350, as adopted pursuant to Section 906 of the Sarbanes-Oxley Act of 2002, that to the best of my knowledge:</w:t>
      </w:r>
    </w:p>
    <w:p>
      <w:pPr>
        <w:spacing w:after="0" w:line="46" w:lineRule="exact"/>
        <w:rPr>
          <w:sz w:val="20"/>
          <w:szCs w:val="20"/>
          <w:color w:val="auto"/>
        </w:rPr>
      </w:pPr>
    </w:p>
    <w:p>
      <w:pPr>
        <w:ind w:left="660" w:hanging="19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196"/>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John N. McMullen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N. McMullen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4"/>
    </w:lvl>
  </w:abstractNum>
  <w:abstractNum w:abstractNumId="4">
    <w:nsid w:val="2443A858"/>
    <w:multiLevelType w:val="hybridMultilevel"/>
    <w:lvl w:ilvl="0">
      <w:lvlJc w:val="left"/>
      <w:lvlText w:val="(%1)"/>
      <w:numFmt w:val="lowerRoman"/>
      <w:start w:val="3"/>
    </w:lvl>
  </w:abstractNum>
  <w:abstractNum w:abstractNumId="5">
    <w:nsid w:val="2D1D5AE9"/>
    <w:multiLevelType w:val="hybridMultilevel"/>
    <w:lvl w:ilvl="0">
      <w:lvlJc w:val="left"/>
      <w:lvlText w:val="(%1)"/>
      <w:numFmt w:val="lowerRoman"/>
      <w:start w:val="4"/>
    </w:lvl>
  </w:abstractNum>
  <w:abstractNum w:abstractNumId="6">
    <w:nsid w:val="6763845E"/>
    <w:multiLevelType w:val="hybridMultilevel"/>
    <w:lvl w:ilvl="0">
      <w:lvlJc w:val="left"/>
      <w:lvlText w:val="(%1)"/>
      <w:numFmt w:val="lowerRoman"/>
      <w:start w:val="4"/>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lowerRoman"/>
      <w:start w:val="2"/>
    </w:lvl>
  </w:abstractNum>
  <w:abstractNum w:abstractNumId="11">
    <w:nsid w:val="B03E0C6"/>
    <w:multiLevelType w:val="hybridMultilevel"/>
    <w:lvl w:ilvl="0">
      <w:lvlJc w:val="left"/>
      <w:lvlText w:val="(%1)"/>
      <w:numFmt w:val="lowerLetter"/>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1)"/>
      <w:numFmt w:val="decimal"/>
      <w:start w:val="13"/>
    </w:lvl>
  </w:abstractNum>
  <w:abstractNum w:abstractNumId="22">
    <w:nsid w:val="737B8DDC"/>
    <w:multiLevelType w:val="hybridMultilevel"/>
    <w:lvl w:ilvl="0">
      <w:lvlJc w:val="left"/>
      <w:lvlText w:val="(%1)"/>
      <w:numFmt w:val="decimal"/>
      <w:start w:val="18"/>
    </w:lvl>
  </w:abstractNum>
  <w:abstractNum w:abstractNumId="23">
    <w:nsid w:val="6CEAF087"/>
    <w:multiLevelType w:val="hybridMultilevel"/>
    <w:lvl w:ilvl="0">
      <w:lvlJc w:val="left"/>
      <w:lvlText w:val="(%1)"/>
      <w:numFmt w:val="decimal"/>
      <w:start w:val="21"/>
    </w:lvl>
    <w:lvl w:ilvl="1">
      <w:lvlJc w:val="left"/>
      <w:lvlText w:val="•"/>
      <w:numFmt w:val="bullet"/>
      <w:start w:val="1"/>
    </w:lvl>
  </w:abstractNum>
  <w:abstractNum w:abstractNumId="24">
    <w:nsid w:val="22221A70"/>
    <w:multiLevelType w:val="hybridMultilevel"/>
    <w:lvl w:ilvl="0">
      <w:lvlJc w:val="left"/>
      <w:lvlText w:val="(%1)"/>
      <w:numFmt w:val="decimal"/>
      <w:start w:val="22"/>
    </w:lvl>
  </w:abstractNum>
  <w:abstractNum w:abstractNumId="25">
    <w:nsid w:val="4516DDE9"/>
    <w:multiLevelType w:val="hybridMultilevel"/>
    <w:lvl w:ilvl="0">
      <w:lvlJc w:val="left"/>
      <w:lvlText w:val="(%1)"/>
      <w:numFmt w:val="decimal"/>
      <w:start w:val="24"/>
    </w:lvl>
    <w:lvl w:ilvl="1">
      <w:lvlJc w:val="left"/>
      <w:lvlText w:val="•"/>
      <w:numFmt w:val="bullet"/>
      <w:start w:val="1"/>
    </w:lvl>
  </w:abstractNum>
  <w:abstractNum w:abstractNumId="26">
    <w:nsid w:val="3006C83E"/>
    <w:multiLevelType w:val="hybridMultilevel"/>
    <w:lvl w:ilvl="0">
      <w:lvlJc w:val="left"/>
      <w:lvlText w:val="(%1)"/>
      <w:numFmt w:val="decimal"/>
      <w:start w:val="25"/>
    </w:lvl>
  </w:abstractNum>
  <w:abstractNum w:abstractNumId="27">
    <w:nsid w:val="614FD4A1"/>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28">
    <w:nsid w:val="419AC241"/>
    <w:multiLevelType w:val="hybridMultilevel"/>
    <w:lvl w:ilvl="0">
      <w:lvlJc w:val="left"/>
      <w:lvlText w:val="(%1)"/>
      <w:numFmt w:val="decimal"/>
      <w:start w:val="27"/>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decimal"/>
      <w:start w:val="12"/>
    </w:lvl>
  </w:abstractNum>
  <w:abstractNum w:abstractNumId="32">
    <w:nsid w:val="3804823E"/>
    <w:multiLevelType w:val="hybridMultilevel"/>
    <w:lvl w:ilvl="0">
      <w:lvlJc w:val="left"/>
      <w:lvlText w:val="(%1)"/>
      <w:numFmt w:val="decimal"/>
      <w:start w:val="21"/>
    </w:lvl>
  </w:abstractNum>
  <w:abstractNum w:abstractNumId="33">
    <w:nsid w:val="77465F01"/>
    <w:multiLevelType w:val="hybridMultilevel"/>
    <w:lvl w:ilvl="0">
      <w:lvlJc w:val="left"/>
      <w:lvlText w:val="(%1)"/>
      <w:numFmt w:val="decimal"/>
      <w:start w:val="23"/>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2019-12-05T05:15:07Z</dcterms:created>
  <dcterms:modified xsi:type="dcterms:W3CDTF">2019-12-05T05:15:07Z</dcterms:modified>
</cp:coreProperties>
</file>